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33" w:rsidRDefault="00E002C6">
      <w:pPr>
        <w:rPr>
          <w:rFonts w:ascii="Calibri" w:eastAsia="Calibri" w:hAnsi="Calibri" w:cs="Calibri"/>
          <w:sz w:val="28"/>
          <w:szCs w:val="28"/>
          <w:u w:val="single"/>
        </w:rPr>
      </w:pPr>
      <w:r>
        <w:rPr>
          <w:rFonts w:ascii="Calibri" w:eastAsia="Calibri" w:hAnsi="Calibri" w:cs="Calibri"/>
          <w:b/>
          <w:sz w:val="32"/>
          <w:szCs w:val="32"/>
          <w:u w:val="single"/>
        </w:rPr>
        <w:t>Course syllabus:</w:t>
      </w:r>
      <w:r>
        <w:rPr>
          <w:rFonts w:ascii="Calibri" w:eastAsia="Calibri" w:hAnsi="Calibri" w:cs="Calibri"/>
          <w:b/>
          <w:sz w:val="32"/>
          <w:szCs w:val="32"/>
        </w:rPr>
        <w:t xml:space="preserve"> Legal translation and interpreting </w:t>
      </w:r>
      <w:r w:rsidR="00E54905">
        <w:rPr>
          <w:rFonts w:ascii="Calibri" w:eastAsia="Calibri" w:hAnsi="Calibri" w:cs="Calibri"/>
          <w:b/>
          <w:sz w:val="32"/>
          <w:szCs w:val="32"/>
        </w:rPr>
        <w:t>MA</w:t>
      </w:r>
      <w:bookmarkStart w:id="0" w:name="_GoBack"/>
      <w:bookmarkEnd w:id="0"/>
    </w:p>
    <w:p w:rsidR="00E87433" w:rsidRDefault="00E87433">
      <w:pPr>
        <w:rPr>
          <w:rFonts w:ascii="Calibri" w:eastAsia="Calibri" w:hAnsi="Calibri" w:cs="Calibri"/>
        </w:rPr>
      </w:pPr>
    </w:p>
    <w:tbl>
      <w:tblPr>
        <w:tblStyle w:val="a"/>
        <w:tblW w:w="97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7"/>
        <w:gridCol w:w="1425"/>
        <w:gridCol w:w="1770"/>
        <w:gridCol w:w="2926"/>
      </w:tblGrid>
      <w:tr w:rsidR="00E87433">
        <w:tc>
          <w:tcPr>
            <w:tcW w:w="9738" w:type="dxa"/>
            <w:gridSpan w:val="4"/>
            <w:shd w:val="clear" w:color="auto" w:fill="B8CCE4"/>
          </w:tcPr>
          <w:p w:rsidR="00E87433" w:rsidRDefault="00E87433">
            <w:pPr>
              <w:pBdr>
                <w:top w:val="nil"/>
                <w:left w:val="nil"/>
                <w:bottom w:val="nil"/>
                <w:right w:val="nil"/>
                <w:between w:val="nil"/>
              </w:pBdr>
              <w:rPr>
                <w:rFonts w:ascii="Calibri" w:eastAsia="Calibri" w:hAnsi="Calibri" w:cs="Calibri"/>
                <w:color w:val="000000"/>
              </w:rPr>
            </w:pP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Academic unit: </w:t>
            </w:r>
          </w:p>
        </w:tc>
        <w:tc>
          <w:tcPr>
            <w:tcW w:w="6121" w:type="dxa"/>
            <w:gridSpan w:val="3"/>
          </w:tcPr>
          <w:p w:rsidR="00E87433" w:rsidRDefault="00E002C6">
            <w:pPr>
              <w:pBdr>
                <w:top w:val="nil"/>
                <w:left w:val="nil"/>
                <w:bottom w:val="nil"/>
                <w:right w:val="nil"/>
                <w:between w:val="nil"/>
              </w:pBdr>
              <w:rPr>
                <w:color w:val="000000"/>
              </w:rPr>
            </w:pPr>
            <w:r>
              <w:rPr>
                <w:b/>
                <w:color w:val="000000"/>
              </w:rPr>
              <w:t>Faculty of Philology – Department of English Language and Literature</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Course:</w:t>
            </w:r>
          </w:p>
        </w:tc>
        <w:tc>
          <w:tcPr>
            <w:tcW w:w="6121" w:type="dxa"/>
            <w:gridSpan w:val="3"/>
          </w:tcPr>
          <w:p w:rsidR="00E87433" w:rsidRDefault="00E002C6">
            <w:pPr>
              <w:pBdr>
                <w:top w:val="nil"/>
                <w:left w:val="nil"/>
                <w:bottom w:val="nil"/>
                <w:right w:val="nil"/>
                <w:between w:val="nil"/>
              </w:pBdr>
              <w:rPr>
                <w:color w:val="000000"/>
              </w:rPr>
            </w:pPr>
            <w:r>
              <w:rPr>
                <w:b/>
                <w:color w:val="000000"/>
              </w:rPr>
              <w:t xml:space="preserve">Legal translation and interpreting </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Level:</w:t>
            </w:r>
          </w:p>
        </w:tc>
        <w:tc>
          <w:tcPr>
            <w:tcW w:w="6121" w:type="dxa"/>
            <w:gridSpan w:val="3"/>
          </w:tcPr>
          <w:p w:rsidR="00E87433" w:rsidRDefault="00E002C6">
            <w:pPr>
              <w:pBdr>
                <w:top w:val="nil"/>
                <w:left w:val="nil"/>
                <w:bottom w:val="nil"/>
                <w:right w:val="nil"/>
                <w:between w:val="nil"/>
              </w:pBdr>
              <w:rPr>
                <w:color w:val="000000"/>
              </w:rPr>
            </w:pPr>
            <w:r>
              <w:rPr>
                <w:b/>
                <w:color w:val="000000"/>
              </w:rPr>
              <w:t>Master</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Course status:</w:t>
            </w:r>
          </w:p>
        </w:tc>
        <w:tc>
          <w:tcPr>
            <w:tcW w:w="6121" w:type="dxa"/>
            <w:gridSpan w:val="3"/>
          </w:tcPr>
          <w:p w:rsidR="00E87433" w:rsidRDefault="00E002C6">
            <w:pPr>
              <w:pBdr>
                <w:top w:val="nil"/>
                <w:left w:val="nil"/>
                <w:bottom w:val="nil"/>
                <w:right w:val="nil"/>
                <w:between w:val="nil"/>
              </w:pBdr>
              <w:rPr>
                <w:color w:val="000000"/>
              </w:rPr>
            </w:pPr>
            <w:r>
              <w:rPr>
                <w:b/>
                <w:color w:val="000000"/>
              </w:rPr>
              <w:t>Elective</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Year:</w:t>
            </w:r>
          </w:p>
        </w:tc>
        <w:tc>
          <w:tcPr>
            <w:tcW w:w="6121" w:type="dxa"/>
            <w:gridSpan w:val="3"/>
          </w:tcPr>
          <w:p w:rsidR="00E87433" w:rsidRDefault="00E002C6">
            <w:pPr>
              <w:pBdr>
                <w:top w:val="nil"/>
                <w:left w:val="nil"/>
                <w:bottom w:val="nil"/>
                <w:right w:val="nil"/>
                <w:between w:val="nil"/>
              </w:pBdr>
              <w:rPr>
                <w:color w:val="000000"/>
              </w:rPr>
            </w:pPr>
            <w:r>
              <w:rPr>
                <w:b/>
                <w:color w:val="000000"/>
              </w:rPr>
              <w:t>1</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Hours per week:</w:t>
            </w:r>
          </w:p>
        </w:tc>
        <w:tc>
          <w:tcPr>
            <w:tcW w:w="6121" w:type="dxa"/>
            <w:gridSpan w:val="3"/>
          </w:tcPr>
          <w:p w:rsidR="00E87433" w:rsidRDefault="00E002C6">
            <w:pPr>
              <w:pBdr>
                <w:top w:val="nil"/>
                <w:left w:val="nil"/>
                <w:bottom w:val="nil"/>
                <w:right w:val="nil"/>
                <w:between w:val="nil"/>
              </w:pBdr>
              <w:rPr>
                <w:color w:val="000000"/>
              </w:rPr>
            </w:pPr>
            <w:r>
              <w:rPr>
                <w:b/>
                <w:color w:val="000000"/>
              </w:rPr>
              <w:t>1+2</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ECTS:</w:t>
            </w:r>
          </w:p>
        </w:tc>
        <w:tc>
          <w:tcPr>
            <w:tcW w:w="6121" w:type="dxa"/>
            <w:gridSpan w:val="3"/>
          </w:tcPr>
          <w:p w:rsidR="00E87433" w:rsidRDefault="00E002C6">
            <w:pPr>
              <w:pBdr>
                <w:top w:val="nil"/>
                <w:left w:val="nil"/>
                <w:bottom w:val="nil"/>
                <w:right w:val="nil"/>
                <w:between w:val="nil"/>
              </w:pBdr>
              <w:rPr>
                <w:color w:val="000000"/>
              </w:rPr>
            </w:pPr>
            <w:r>
              <w:rPr>
                <w:b/>
              </w:rPr>
              <w:t>3</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Time / location:</w:t>
            </w:r>
          </w:p>
        </w:tc>
        <w:tc>
          <w:tcPr>
            <w:tcW w:w="6121" w:type="dxa"/>
            <w:gridSpan w:val="3"/>
          </w:tcPr>
          <w:p w:rsidR="00E87433" w:rsidRDefault="00E002C6">
            <w:pPr>
              <w:pBdr>
                <w:top w:val="nil"/>
                <w:left w:val="nil"/>
                <w:bottom w:val="nil"/>
                <w:right w:val="nil"/>
                <w:between w:val="nil"/>
              </w:pBdr>
              <w:rPr>
                <w:color w:val="000000"/>
              </w:rPr>
            </w:pPr>
            <w:r>
              <w:rPr>
                <w:b/>
                <w:color w:val="000000"/>
              </w:rPr>
              <w:t>Department of English Language and Literature</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Teacher:</w:t>
            </w:r>
          </w:p>
        </w:tc>
        <w:tc>
          <w:tcPr>
            <w:tcW w:w="6121" w:type="dxa"/>
            <w:gridSpan w:val="3"/>
          </w:tcPr>
          <w:p w:rsidR="00E87433" w:rsidRDefault="00E002C6">
            <w:pPr>
              <w:pBdr>
                <w:top w:val="nil"/>
                <w:left w:val="nil"/>
                <w:bottom w:val="nil"/>
                <w:right w:val="nil"/>
                <w:between w:val="nil"/>
              </w:pBdr>
              <w:rPr>
                <w:color w:val="000000"/>
              </w:rPr>
            </w:pPr>
            <w:r>
              <w:rPr>
                <w:b/>
              </w:rPr>
              <w:t xml:space="preserve">Dr. Phil. </w:t>
            </w:r>
            <w:proofErr w:type="spellStart"/>
            <w:r>
              <w:rPr>
                <w:b/>
                <w:color w:val="000000"/>
              </w:rPr>
              <w:t>Zinaide</w:t>
            </w:r>
            <w:proofErr w:type="spellEnd"/>
            <w:r>
              <w:rPr>
                <w:b/>
                <w:color w:val="000000"/>
              </w:rPr>
              <w:t xml:space="preserve"> </w:t>
            </w:r>
            <w:proofErr w:type="spellStart"/>
            <w:r>
              <w:rPr>
                <w:b/>
                <w:color w:val="000000"/>
              </w:rPr>
              <w:t>Gruda</w:t>
            </w:r>
            <w:proofErr w:type="spellEnd"/>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Contact details: </w:t>
            </w:r>
          </w:p>
        </w:tc>
        <w:tc>
          <w:tcPr>
            <w:tcW w:w="6121" w:type="dxa"/>
            <w:gridSpan w:val="3"/>
          </w:tcPr>
          <w:p w:rsidR="00E87433" w:rsidRDefault="00E002C6">
            <w:pPr>
              <w:pBdr>
                <w:top w:val="nil"/>
                <w:left w:val="nil"/>
                <w:bottom w:val="nil"/>
                <w:right w:val="nil"/>
                <w:between w:val="nil"/>
              </w:pBdr>
              <w:rPr>
                <w:color w:val="000000"/>
              </w:rPr>
            </w:pPr>
            <w:hyperlink r:id="rId8">
              <w:r>
                <w:rPr>
                  <w:b/>
                  <w:color w:val="0000FF"/>
                  <w:u w:val="single"/>
                </w:rPr>
                <w:t>zinaide.gruda@uni-pr.edu</w:t>
              </w:r>
            </w:hyperlink>
          </w:p>
        </w:tc>
      </w:tr>
      <w:tr w:rsidR="00E87433">
        <w:tc>
          <w:tcPr>
            <w:tcW w:w="9738" w:type="dxa"/>
            <w:gridSpan w:val="4"/>
            <w:shd w:val="clear" w:color="auto" w:fill="B8CCE4"/>
          </w:tcPr>
          <w:p w:rsidR="00E87433" w:rsidRDefault="00E87433">
            <w:pPr>
              <w:pBdr>
                <w:top w:val="nil"/>
                <w:left w:val="nil"/>
                <w:bottom w:val="nil"/>
                <w:right w:val="nil"/>
                <w:between w:val="nil"/>
              </w:pBdr>
              <w:rPr>
                <w:rFonts w:ascii="Calibri" w:eastAsia="Calibri" w:hAnsi="Calibri" w:cs="Calibri"/>
                <w:color w:val="000000"/>
              </w:rPr>
            </w:pP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Course description</w:t>
            </w:r>
          </w:p>
        </w:tc>
        <w:tc>
          <w:tcPr>
            <w:tcW w:w="6121" w:type="dxa"/>
            <w:gridSpan w:val="3"/>
          </w:tcPr>
          <w:p w:rsidR="00E87433" w:rsidRDefault="00E002C6">
            <w:pPr>
              <w:jc w:val="both"/>
              <w:rPr>
                <w:sz w:val="23"/>
                <w:szCs w:val="23"/>
              </w:rPr>
            </w:pPr>
            <w:r>
              <w:rPr>
                <w:color w:val="000000"/>
                <w:highlight w:val="white"/>
              </w:rPr>
              <w:t>The course is designed to prepare graduate students in the specialized area of legal translation and interpreting. This course will include a broad range of legal contexts, while building the student’s practical legal terminology and written and oral communication skills.</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Course objectives:</w:t>
            </w:r>
          </w:p>
        </w:tc>
        <w:tc>
          <w:tcPr>
            <w:tcW w:w="6121" w:type="dxa"/>
            <w:gridSpan w:val="3"/>
          </w:tcPr>
          <w:p w:rsidR="00E87433" w:rsidRDefault="00E002C6">
            <w:pPr>
              <w:jc w:val="both"/>
            </w:pPr>
            <w:r>
              <w:rPr>
                <w:color w:val="000000"/>
              </w:rPr>
              <w:t>The course aims at introducing students to the characteristics and terminology of the legal language, the challenges and difficulties in legal translation as well as equivalence in translating legal texts and interpreting in this specialized area.</w:t>
            </w: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Learning outcomes:</w:t>
            </w:r>
          </w:p>
        </w:tc>
        <w:tc>
          <w:tcPr>
            <w:tcW w:w="6121" w:type="dxa"/>
            <w:gridSpan w:val="3"/>
          </w:tcPr>
          <w:p w:rsidR="00E87433" w:rsidRDefault="00E002C6">
            <w:pPr>
              <w:jc w:val="both"/>
              <w:rPr>
                <w:color w:val="000000"/>
              </w:rPr>
            </w:pPr>
            <w:r>
              <w:rPr>
                <w:color w:val="000000"/>
              </w:rPr>
              <w:t>Upon successful completion of the course, students will be able to:</w:t>
            </w:r>
          </w:p>
          <w:p w:rsidR="00E87433" w:rsidRDefault="00E002C6">
            <w:pPr>
              <w:numPr>
                <w:ilvl w:val="0"/>
                <w:numId w:val="1"/>
              </w:numPr>
              <w:spacing w:line="276" w:lineRule="auto"/>
              <w:jc w:val="both"/>
              <w:rPr>
                <w:color w:val="000000"/>
              </w:rPr>
            </w:pPr>
            <w:r>
              <w:rPr>
                <w:color w:val="000000"/>
              </w:rPr>
              <w:t>demonstrate critical reading and thinking skills in both Albanian and English, and will expand their vocabulary in both languages,</w:t>
            </w:r>
          </w:p>
          <w:p w:rsidR="00E87433" w:rsidRDefault="00E002C6">
            <w:pPr>
              <w:numPr>
                <w:ilvl w:val="0"/>
                <w:numId w:val="1"/>
              </w:numPr>
              <w:spacing w:line="276" w:lineRule="auto"/>
              <w:jc w:val="both"/>
              <w:rPr>
                <w:color w:val="000000"/>
              </w:rPr>
            </w:pPr>
            <w:r>
              <w:rPr>
                <w:color w:val="000000"/>
              </w:rPr>
              <w:t>explain the general characteristics and terminology of the legal language, as well as difficulties and challenges encountered in legal translation and interpreting,</w:t>
            </w:r>
          </w:p>
          <w:p w:rsidR="00E87433" w:rsidRDefault="00E002C6">
            <w:pPr>
              <w:numPr>
                <w:ilvl w:val="0"/>
                <w:numId w:val="1"/>
              </w:numPr>
              <w:spacing w:line="276" w:lineRule="auto"/>
              <w:jc w:val="both"/>
              <w:rPr>
                <w:color w:val="000000"/>
              </w:rPr>
            </w:pPr>
            <w:r>
              <w:rPr>
                <w:color w:val="000000"/>
              </w:rPr>
              <w:t>apply solutions to difficulties encountered in translation of legal texts and in interpreting,</w:t>
            </w:r>
          </w:p>
          <w:p w:rsidR="00E87433" w:rsidRDefault="00E002C6">
            <w:pPr>
              <w:numPr>
                <w:ilvl w:val="0"/>
                <w:numId w:val="1"/>
              </w:numPr>
              <w:spacing w:line="276" w:lineRule="auto"/>
              <w:jc w:val="both"/>
              <w:rPr>
                <w:color w:val="000000"/>
              </w:rPr>
            </w:pPr>
            <w:r>
              <w:rPr>
                <w:color w:val="000000"/>
              </w:rPr>
              <w:t>ensure equivalence in translating legal texts and in interpreting</w:t>
            </w:r>
          </w:p>
          <w:p w:rsidR="00E87433" w:rsidRDefault="00E002C6">
            <w:pPr>
              <w:numPr>
                <w:ilvl w:val="0"/>
                <w:numId w:val="1"/>
              </w:numPr>
              <w:spacing w:line="276" w:lineRule="auto"/>
              <w:jc w:val="both"/>
              <w:rPr>
                <w:color w:val="000000"/>
              </w:rPr>
            </w:pPr>
            <w:r>
              <w:rPr>
                <w:color w:val="000000"/>
              </w:rPr>
              <w:t>apply techniques, use technology and practice accurate legal translation and interpreting</w:t>
            </w:r>
          </w:p>
          <w:p w:rsidR="00E87433" w:rsidRDefault="00E002C6">
            <w:pPr>
              <w:numPr>
                <w:ilvl w:val="0"/>
                <w:numId w:val="1"/>
              </w:numPr>
              <w:pBdr>
                <w:top w:val="nil"/>
                <w:left w:val="nil"/>
                <w:bottom w:val="nil"/>
                <w:right w:val="nil"/>
                <w:between w:val="nil"/>
              </w:pBdr>
              <w:jc w:val="both"/>
              <w:rPr>
                <w:color w:val="000000"/>
              </w:rPr>
            </w:pPr>
            <w:r>
              <w:rPr>
                <w:color w:val="000000"/>
              </w:rPr>
              <w:t>translate different types of legal texts</w:t>
            </w:r>
          </w:p>
        </w:tc>
      </w:tr>
      <w:tr w:rsidR="00E87433">
        <w:tc>
          <w:tcPr>
            <w:tcW w:w="9738" w:type="dxa"/>
            <w:gridSpan w:val="4"/>
            <w:shd w:val="clear" w:color="auto" w:fill="B8CCE4"/>
          </w:tcPr>
          <w:p w:rsidR="00E87433" w:rsidRDefault="00E87433">
            <w:pPr>
              <w:pBdr>
                <w:top w:val="nil"/>
                <w:left w:val="nil"/>
                <w:bottom w:val="nil"/>
                <w:right w:val="nil"/>
                <w:between w:val="nil"/>
              </w:pBdr>
              <w:rPr>
                <w:rFonts w:ascii="Calibri" w:eastAsia="Calibri" w:hAnsi="Calibri" w:cs="Calibri"/>
                <w:color w:val="000000"/>
                <w:sz w:val="22"/>
                <w:szCs w:val="22"/>
              </w:rPr>
            </w:pPr>
          </w:p>
        </w:tc>
      </w:tr>
      <w:tr w:rsidR="00E87433">
        <w:tc>
          <w:tcPr>
            <w:tcW w:w="9738" w:type="dxa"/>
            <w:gridSpan w:val="4"/>
            <w:shd w:val="clear" w:color="auto" w:fill="B8CCE4"/>
          </w:tcPr>
          <w:p w:rsidR="00E87433" w:rsidRDefault="00E002C6">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Student’s workload</w:t>
            </w:r>
          </w:p>
        </w:tc>
      </w:tr>
      <w:tr w:rsidR="00E87433">
        <w:tc>
          <w:tcPr>
            <w:tcW w:w="3617" w:type="dxa"/>
            <w:tcBorders>
              <w:right w:val="single" w:sz="4" w:space="0" w:color="000000"/>
            </w:tcBorders>
            <w:shd w:val="clear" w:color="auto" w:fill="B8CCE4"/>
          </w:tcPr>
          <w:p w:rsidR="00E87433" w:rsidRDefault="00E002C6">
            <w:pPr>
              <w:rPr>
                <w:rFonts w:ascii="Calibri" w:eastAsia="Calibri" w:hAnsi="Calibri" w:cs="Calibri"/>
                <w:sz w:val="22"/>
                <w:szCs w:val="22"/>
              </w:rPr>
            </w:pPr>
            <w:r>
              <w:rPr>
                <w:rFonts w:ascii="Calibri" w:eastAsia="Calibri" w:hAnsi="Calibri" w:cs="Calibri"/>
                <w:b/>
                <w:sz w:val="22"/>
                <w:szCs w:val="22"/>
              </w:rPr>
              <w:t>Activity</w:t>
            </w:r>
          </w:p>
        </w:tc>
        <w:tc>
          <w:tcPr>
            <w:tcW w:w="1425" w:type="dxa"/>
            <w:tcBorders>
              <w:left w:val="single" w:sz="4" w:space="0" w:color="000000"/>
              <w:right w:val="single" w:sz="4" w:space="0" w:color="000000"/>
            </w:tcBorders>
            <w:shd w:val="clear" w:color="auto" w:fill="B8CCE4"/>
          </w:tcPr>
          <w:p w:rsidR="00E87433" w:rsidRDefault="00E002C6">
            <w:pPr>
              <w:rPr>
                <w:rFonts w:ascii="Calibri" w:eastAsia="Calibri" w:hAnsi="Calibri" w:cs="Calibri"/>
                <w:sz w:val="22"/>
                <w:szCs w:val="22"/>
              </w:rPr>
            </w:pPr>
            <w:r>
              <w:rPr>
                <w:rFonts w:ascii="Calibri" w:eastAsia="Calibri" w:hAnsi="Calibri" w:cs="Calibri"/>
                <w:b/>
                <w:sz w:val="22"/>
                <w:szCs w:val="22"/>
              </w:rPr>
              <w:t xml:space="preserve">Hours </w:t>
            </w:r>
          </w:p>
        </w:tc>
        <w:tc>
          <w:tcPr>
            <w:tcW w:w="1770" w:type="dxa"/>
            <w:tcBorders>
              <w:left w:val="single" w:sz="4" w:space="0" w:color="000000"/>
              <w:right w:val="single" w:sz="4" w:space="0" w:color="000000"/>
            </w:tcBorders>
            <w:shd w:val="clear" w:color="auto" w:fill="B8CCE4"/>
          </w:tcPr>
          <w:p w:rsidR="00E87433" w:rsidRDefault="00E002C6">
            <w:pPr>
              <w:rPr>
                <w:rFonts w:ascii="Calibri" w:eastAsia="Calibri" w:hAnsi="Calibri" w:cs="Calibri"/>
                <w:sz w:val="22"/>
                <w:szCs w:val="22"/>
              </w:rPr>
            </w:pPr>
            <w:r>
              <w:rPr>
                <w:rFonts w:ascii="Calibri" w:eastAsia="Calibri" w:hAnsi="Calibri" w:cs="Calibri"/>
                <w:b/>
                <w:sz w:val="22"/>
                <w:szCs w:val="22"/>
              </w:rPr>
              <w:t xml:space="preserve">Day/week  </w:t>
            </w:r>
          </w:p>
        </w:tc>
        <w:tc>
          <w:tcPr>
            <w:tcW w:w="2926" w:type="dxa"/>
            <w:tcBorders>
              <w:left w:val="single" w:sz="4" w:space="0" w:color="000000"/>
            </w:tcBorders>
            <w:shd w:val="clear" w:color="auto" w:fill="B8CCE4"/>
          </w:tcPr>
          <w:p w:rsidR="00E87433" w:rsidRDefault="00E002C6">
            <w:pPr>
              <w:rPr>
                <w:rFonts w:ascii="Calibri" w:eastAsia="Calibri" w:hAnsi="Calibri" w:cs="Calibri"/>
                <w:sz w:val="22"/>
                <w:szCs w:val="22"/>
              </w:rPr>
            </w:pPr>
            <w:r>
              <w:rPr>
                <w:rFonts w:ascii="Calibri" w:eastAsia="Calibri" w:hAnsi="Calibri" w:cs="Calibri"/>
                <w:b/>
                <w:sz w:val="22"/>
                <w:szCs w:val="22"/>
              </w:rPr>
              <w:t>Total</w:t>
            </w: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lastRenderedPageBreak/>
              <w:t>Lecture</w:t>
            </w:r>
          </w:p>
        </w:tc>
        <w:tc>
          <w:tcPr>
            <w:tcW w:w="1425"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1</w:t>
            </w:r>
          </w:p>
        </w:tc>
        <w:tc>
          <w:tcPr>
            <w:tcW w:w="1770"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15</w:t>
            </w:r>
          </w:p>
        </w:tc>
        <w:tc>
          <w:tcPr>
            <w:tcW w:w="2926" w:type="dxa"/>
            <w:tcBorders>
              <w:lef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15</w:t>
            </w: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Theory / lab work</w:t>
            </w:r>
          </w:p>
        </w:tc>
        <w:tc>
          <w:tcPr>
            <w:tcW w:w="1425"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2</w:t>
            </w:r>
          </w:p>
        </w:tc>
        <w:tc>
          <w:tcPr>
            <w:tcW w:w="1770"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15</w:t>
            </w:r>
          </w:p>
        </w:tc>
        <w:tc>
          <w:tcPr>
            <w:tcW w:w="2926" w:type="dxa"/>
            <w:tcBorders>
              <w:lef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30</w:t>
            </w: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 xml:space="preserve">Practice </w:t>
            </w:r>
          </w:p>
        </w:tc>
        <w:tc>
          <w:tcPr>
            <w:tcW w:w="1425"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sz w:val="22"/>
                <w:szCs w:val="22"/>
              </w:rPr>
            </w:pPr>
          </w:p>
        </w:tc>
        <w:tc>
          <w:tcPr>
            <w:tcW w:w="1770"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sz w:val="22"/>
                <w:szCs w:val="22"/>
              </w:rPr>
            </w:pPr>
          </w:p>
        </w:tc>
        <w:tc>
          <w:tcPr>
            <w:tcW w:w="2926" w:type="dxa"/>
            <w:tcBorders>
              <w:left w:val="single" w:sz="4" w:space="0" w:color="000000"/>
            </w:tcBorders>
            <w:shd w:val="clear" w:color="auto" w:fill="FFFFFF"/>
          </w:tcPr>
          <w:p w:rsidR="00E87433" w:rsidRDefault="00E87433">
            <w:pPr>
              <w:jc w:val="center"/>
              <w:rPr>
                <w:rFonts w:ascii="Calibri" w:eastAsia="Calibri" w:hAnsi="Calibri" w:cs="Calibri"/>
                <w:sz w:val="22"/>
                <w:szCs w:val="22"/>
              </w:rPr>
            </w:pP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color w:val="000000"/>
                <w:sz w:val="22"/>
                <w:szCs w:val="22"/>
              </w:rPr>
              <w:t>Contact/consultation with the course instructor</w:t>
            </w:r>
          </w:p>
        </w:tc>
        <w:tc>
          <w:tcPr>
            <w:tcW w:w="1425"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color w:val="000000"/>
                <w:sz w:val="22"/>
                <w:szCs w:val="22"/>
              </w:rPr>
              <w:t>20 minutes per student</w:t>
            </w:r>
          </w:p>
        </w:tc>
        <w:tc>
          <w:tcPr>
            <w:tcW w:w="1770"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15</w:t>
            </w:r>
          </w:p>
        </w:tc>
        <w:tc>
          <w:tcPr>
            <w:tcW w:w="2926" w:type="dxa"/>
            <w:tcBorders>
              <w:left w:val="single" w:sz="4" w:space="0" w:color="000000"/>
            </w:tcBorders>
            <w:shd w:val="clear" w:color="auto" w:fill="FFFFFF"/>
          </w:tcPr>
          <w:p w:rsidR="00E87433" w:rsidRDefault="00E002C6">
            <w:pPr>
              <w:jc w:val="center"/>
              <w:rPr>
                <w:rFonts w:ascii="Calibri" w:eastAsia="Calibri" w:hAnsi="Calibri" w:cs="Calibri"/>
                <w:sz w:val="22"/>
                <w:szCs w:val="22"/>
              </w:rPr>
            </w:pPr>
            <w:r>
              <w:rPr>
                <w:rFonts w:ascii="Calibri" w:eastAsia="Calibri" w:hAnsi="Calibri" w:cs="Calibri"/>
                <w:sz w:val="22"/>
                <w:szCs w:val="22"/>
              </w:rPr>
              <w:t>5</w:t>
            </w: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Field practice</w:t>
            </w:r>
          </w:p>
        </w:tc>
        <w:tc>
          <w:tcPr>
            <w:tcW w:w="1425" w:type="dxa"/>
            <w:tcBorders>
              <w:left w:val="single" w:sz="4" w:space="0" w:color="000000"/>
              <w:right w:val="single" w:sz="4" w:space="0" w:color="000000"/>
            </w:tcBorders>
            <w:shd w:val="clear" w:color="auto" w:fill="FFFFFF"/>
          </w:tcPr>
          <w:p w:rsidR="00E87433" w:rsidRDefault="00E87433">
            <w:pPr>
              <w:rPr>
                <w:rFonts w:ascii="Calibri" w:eastAsia="Calibri" w:hAnsi="Calibri" w:cs="Calibri"/>
                <w:sz w:val="22"/>
                <w:szCs w:val="22"/>
              </w:rPr>
            </w:pPr>
          </w:p>
        </w:tc>
        <w:tc>
          <w:tcPr>
            <w:tcW w:w="1770" w:type="dxa"/>
            <w:tcBorders>
              <w:left w:val="single" w:sz="4" w:space="0" w:color="000000"/>
              <w:right w:val="single" w:sz="4" w:space="0" w:color="000000"/>
            </w:tcBorders>
            <w:shd w:val="clear" w:color="auto" w:fill="FFFFFF"/>
          </w:tcPr>
          <w:p w:rsidR="00E87433" w:rsidRDefault="00E87433">
            <w:pPr>
              <w:rPr>
                <w:rFonts w:ascii="Calibri" w:eastAsia="Calibri" w:hAnsi="Calibri" w:cs="Calibri"/>
                <w:sz w:val="22"/>
                <w:szCs w:val="22"/>
              </w:rPr>
            </w:pPr>
          </w:p>
        </w:tc>
        <w:tc>
          <w:tcPr>
            <w:tcW w:w="2926" w:type="dxa"/>
            <w:tcBorders>
              <w:left w:val="single" w:sz="4" w:space="0" w:color="000000"/>
            </w:tcBorders>
            <w:shd w:val="clear" w:color="auto" w:fill="FFFFFF"/>
          </w:tcPr>
          <w:p w:rsidR="00E87433" w:rsidRDefault="00E87433">
            <w:pPr>
              <w:rPr>
                <w:rFonts w:ascii="Calibri" w:eastAsia="Calibri" w:hAnsi="Calibri" w:cs="Calibri"/>
                <w:sz w:val="22"/>
                <w:szCs w:val="22"/>
              </w:rPr>
            </w:pP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Pre-tests, seminars</w:t>
            </w:r>
          </w:p>
        </w:tc>
        <w:tc>
          <w:tcPr>
            <w:tcW w:w="1425"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1770"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2926" w:type="dxa"/>
            <w:tcBorders>
              <w:lef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Homework</w:t>
            </w:r>
          </w:p>
        </w:tc>
        <w:tc>
          <w:tcPr>
            <w:tcW w:w="1425"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color w:val="000000"/>
                <w:sz w:val="22"/>
                <w:szCs w:val="22"/>
              </w:rPr>
            </w:pPr>
            <w:r>
              <w:rPr>
                <w:rFonts w:ascii="Calibri" w:eastAsia="Calibri" w:hAnsi="Calibri" w:cs="Calibri"/>
                <w:sz w:val="22"/>
                <w:szCs w:val="22"/>
              </w:rPr>
              <w:t>1</w:t>
            </w:r>
          </w:p>
        </w:tc>
        <w:tc>
          <w:tcPr>
            <w:tcW w:w="1770"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sz w:val="22"/>
                <w:szCs w:val="22"/>
              </w:rPr>
              <w:t>0</w:t>
            </w:r>
          </w:p>
        </w:tc>
        <w:tc>
          <w:tcPr>
            <w:tcW w:w="2926" w:type="dxa"/>
            <w:tcBorders>
              <w:left w:val="single" w:sz="4" w:space="0" w:color="000000"/>
            </w:tcBorders>
            <w:shd w:val="clear" w:color="auto" w:fill="FFFFFF"/>
          </w:tcPr>
          <w:p w:rsidR="00E87433" w:rsidRDefault="00E002C6">
            <w:pPr>
              <w:jc w:val="center"/>
              <w:rPr>
                <w:rFonts w:ascii="Calibri" w:eastAsia="Calibri" w:hAnsi="Calibri" w:cs="Calibri"/>
                <w:color w:val="000000"/>
                <w:sz w:val="22"/>
                <w:szCs w:val="22"/>
              </w:rPr>
            </w:pPr>
            <w:r>
              <w:rPr>
                <w:rFonts w:ascii="Calibri" w:eastAsia="Calibri" w:hAnsi="Calibri" w:cs="Calibri"/>
                <w:sz w:val="22"/>
                <w:szCs w:val="22"/>
              </w:rPr>
              <w:t>10</w:t>
            </w: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Self-study (library / home)</w:t>
            </w:r>
          </w:p>
        </w:tc>
        <w:tc>
          <w:tcPr>
            <w:tcW w:w="1425"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770" w:type="dxa"/>
            <w:tcBorders>
              <w:left w:val="single" w:sz="4" w:space="0" w:color="000000"/>
              <w:right w:val="single" w:sz="4" w:space="0" w:color="000000"/>
            </w:tcBorders>
            <w:shd w:val="clear" w:color="auto" w:fill="FFFFFF"/>
          </w:tcPr>
          <w:p w:rsidR="00E87433" w:rsidRDefault="00E002C6">
            <w:pPr>
              <w:jc w:val="center"/>
              <w:rPr>
                <w:rFonts w:ascii="Calibri" w:eastAsia="Calibri" w:hAnsi="Calibri" w:cs="Calibri"/>
                <w:color w:val="000000"/>
                <w:sz w:val="22"/>
                <w:szCs w:val="22"/>
              </w:rPr>
            </w:pPr>
            <w:r>
              <w:rPr>
                <w:rFonts w:ascii="Calibri" w:eastAsia="Calibri" w:hAnsi="Calibri" w:cs="Calibri"/>
                <w:color w:val="000000"/>
                <w:sz w:val="22"/>
                <w:szCs w:val="22"/>
              </w:rPr>
              <w:t>15</w:t>
            </w:r>
          </w:p>
        </w:tc>
        <w:tc>
          <w:tcPr>
            <w:tcW w:w="2926" w:type="dxa"/>
            <w:tcBorders>
              <w:left w:val="single" w:sz="4" w:space="0" w:color="000000"/>
            </w:tcBorders>
            <w:shd w:val="clear" w:color="auto" w:fill="FFFFFF"/>
          </w:tcPr>
          <w:p w:rsidR="00E87433" w:rsidRDefault="00E002C6">
            <w:pPr>
              <w:jc w:val="center"/>
              <w:rPr>
                <w:rFonts w:ascii="Calibri" w:eastAsia="Calibri" w:hAnsi="Calibri" w:cs="Calibri"/>
                <w:color w:val="000000"/>
                <w:sz w:val="22"/>
                <w:szCs w:val="22"/>
              </w:rPr>
            </w:pPr>
            <w:r>
              <w:rPr>
                <w:rFonts w:ascii="Calibri" w:eastAsia="Calibri" w:hAnsi="Calibri" w:cs="Calibri"/>
                <w:color w:val="000000"/>
                <w:sz w:val="22"/>
                <w:szCs w:val="22"/>
              </w:rPr>
              <w:t>15</w:t>
            </w: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Final preparation for the exam</w:t>
            </w:r>
          </w:p>
        </w:tc>
        <w:tc>
          <w:tcPr>
            <w:tcW w:w="1425"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1770"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2926" w:type="dxa"/>
            <w:tcBorders>
              <w:lef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Assessment time (tests, quiz, final exam)</w:t>
            </w:r>
          </w:p>
        </w:tc>
        <w:tc>
          <w:tcPr>
            <w:tcW w:w="1425"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1770"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2926" w:type="dxa"/>
            <w:tcBorders>
              <w:lef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r>
      <w:tr w:rsidR="00E87433">
        <w:tc>
          <w:tcPr>
            <w:tcW w:w="3617" w:type="dxa"/>
            <w:tcBorders>
              <w:right w:val="single" w:sz="4" w:space="0" w:color="000000"/>
            </w:tcBorders>
            <w:shd w:val="clear" w:color="auto" w:fill="FFFFFF"/>
          </w:tcPr>
          <w:p w:rsidR="00E87433" w:rsidRDefault="00E002C6">
            <w:pPr>
              <w:rPr>
                <w:rFonts w:ascii="Calibri" w:eastAsia="Calibri" w:hAnsi="Calibri" w:cs="Calibri"/>
                <w:sz w:val="22"/>
                <w:szCs w:val="22"/>
              </w:rPr>
            </w:pPr>
            <w:r>
              <w:rPr>
                <w:rFonts w:ascii="Calibri" w:eastAsia="Calibri" w:hAnsi="Calibri" w:cs="Calibri"/>
                <w:sz w:val="22"/>
                <w:szCs w:val="22"/>
              </w:rPr>
              <w:t>Projects, presentations, etc.</w:t>
            </w:r>
          </w:p>
          <w:p w:rsidR="00E87433" w:rsidRDefault="00E002C6">
            <w:pPr>
              <w:rPr>
                <w:rFonts w:ascii="Calibri" w:eastAsia="Calibri" w:hAnsi="Calibri" w:cs="Calibri"/>
                <w:sz w:val="22"/>
                <w:szCs w:val="22"/>
              </w:rPr>
            </w:pPr>
            <w:r>
              <w:rPr>
                <w:rFonts w:ascii="Calibri" w:eastAsia="Calibri" w:hAnsi="Calibri" w:cs="Calibri"/>
                <w:sz w:val="22"/>
                <w:szCs w:val="22"/>
              </w:rPr>
              <w:t xml:space="preserve"> </w:t>
            </w:r>
          </w:p>
        </w:tc>
        <w:tc>
          <w:tcPr>
            <w:tcW w:w="1425"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1770" w:type="dxa"/>
            <w:tcBorders>
              <w:left w:val="single" w:sz="4" w:space="0" w:color="000000"/>
              <w:righ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c>
          <w:tcPr>
            <w:tcW w:w="2926" w:type="dxa"/>
            <w:tcBorders>
              <w:left w:val="single" w:sz="4" w:space="0" w:color="000000"/>
            </w:tcBorders>
            <w:shd w:val="clear" w:color="auto" w:fill="FFFFFF"/>
          </w:tcPr>
          <w:p w:rsidR="00E87433" w:rsidRDefault="00E87433">
            <w:pPr>
              <w:jc w:val="center"/>
              <w:rPr>
                <w:rFonts w:ascii="Calibri" w:eastAsia="Calibri" w:hAnsi="Calibri" w:cs="Calibri"/>
                <w:color w:val="000000"/>
                <w:sz w:val="22"/>
                <w:szCs w:val="22"/>
              </w:rPr>
            </w:pPr>
          </w:p>
        </w:tc>
      </w:tr>
      <w:tr w:rsidR="00E87433">
        <w:tc>
          <w:tcPr>
            <w:tcW w:w="3617" w:type="dxa"/>
            <w:tcBorders>
              <w:right w:val="single" w:sz="4" w:space="0" w:color="000000"/>
            </w:tcBorders>
            <w:shd w:val="clear" w:color="auto" w:fill="B8CCE4"/>
          </w:tcPr>
          <w:p w:rsidR="00E87433" w:rsidRDefault="00E002C6">
            <w:pPr>
              <w:rPr>
                <w:rFonts w:ascii="Calibri" w:eastAsia="Calibri" w:hAnsi="Calibri" w:cs="Calibri"/>
                <w:sz w:val="22"/>
                <w:szCs w:val="22"/>
              </w:rPr>
            </w:pPr>
            <w:r>
              <w:rPr>
                <w:rFonts w:ascii="Calibri" w:eastAsia="Calibri" w:hAnsi="Calibri" w:cs="Calibri"/>
                <w:b/>
                <w:sz w:val="22"/>
                <w:szCs w:val="22"/>
              </w:rPr>
              <w:t>Total</w:t>
            </w:r>
          </w:p>
          <w:p w:rsidR="00E87433" w:rsidRDefault="00E87433">
            <w:pPr>
              <w:rPr>
                <w:rFonts w:ascii="Calibri" w:eastAsia="Calibri" w:hAnsi="Calibri" w:cs="Calibri"/>
                <w:sz w:val="22"/>
                <w:szCs w:val="22"/>
              </w:rPr>
            </w:pPr>
          </w:p>
        </w:tc>
        <w:tc>
          <w:tcPr>
            <w:tcW w:w="1425" w:type="dxa"/>
            <w:tcBorders>
              <w:left w:val="single" w:sz="4" w:space="0" w:color="000000"/>
              <w:right w:val="single" w:sz="4" w:space="0" w:color="000000"/>
            </w:tcBorders>
            <w:shd w:val="clear" w:color="auto" w:fill="B8CCE4"/>
          </w:tcPr>
          <w:p w:rsidR="00E87433" w:rsidRDefault="00E87433">
            <w:pPr>
              <w:rPr>
                <w:rFonts w:ascii="Calibri" w:eastAsia="Calibri" w:hAnsi="Calibri" w:cs="Calibri"/>
                <w:sz w:val="22"/>
                <w:szCs w:val="22"/>
              </w:rPr>
            </w:pPr>
          </w:p>
        </w:tc>
        <w:tc>
          <w:tcPr>
            <w:tcW w:w="1770" w:type="dxa"/>
            <w:tcBorders>
              <w:left w:val="single" w:sz="4" w:space="0" w:color="000000"/>
              <w:right w:val="single" w:sz="4" w:space="0" w:color="000000"/>
            </w:tcBorders>
            <w:shd w:val="clear" w:color="auto" w:fill="B8CCE4"/>
          </w:tcPr>
          <w:p w:rsidR="00E87433" w:rsidRDefault="00E87433">
            <w:pPr>
              <w:rPr>
                <w:rFonts w:ascii="Calibri" w:eastAsia="Calibri" w:hAnsi="Calibri" w:cs="Calibri"/>
                <w:sz w:val="22"/>
                <w:szCs w:val="22"/>
              </w:rPr>
            </w:pPr>
          </w:p>
        </w:tc>
        <w:tc>
          <w:tcPr>
            <w:tcW w:w="2926" w:type="dxa"/>
            <w:tcBorders>
              <w:left w:val="single" w:sz="4" w:space="0" w:color="000000"/>
            </w:tcBorders>
            <w:shd w:val="clear" w:color="auto" w:fill="B8CCE4"/>
          </w:tcPr>
          <w:p w:rsidR="00E87433" w:rsidRDefault="00E002C6">
            <w:pPr>
              <w:rPr>
                <w:rFonts w:ascii="Calibri" w:eastAsia="Calibri" w:hAnsi="Calibri" w:cs="Calibri"/>
                <w:sz w:val="22"/>
                <w:szCs w:val="22"/>
              </w:rPr>
            </w:pPr>
            <w:r>
              <w:rPr>
                <w:rFonts w:ascii="Calibri" w:eastAsia="Calibri" w:hAnsi="Calibri" w:cs="Calibri"/>
                <w:b/>
                <w:sz w:val="22"/>
                <w:szCs w:val="22"/>
              </w:rPr>
              <w:t>75 hours = 3 ECTS</w:t>
            </w:r>
          </w:p>
        </w:tc>
      </w:tr>
      <w:tr w:rsidR="00E87433">
        <w:trPr>
          <w:trHeight w:val="323"/>
        </w:trPr>
        <w:tc>
          <w:tcPr>
            <w:tcW w:w="9738" w:type="dxa"/>
            <w:gridSpan w:val="4"/>
            <w:shd w:val="clear" w:color="auto" w:fill="B8CCE4"/>
          </w:tcPr>
          <w:p w:rsidR="00E87433" w:rsidRDefault="00E87433">
            <w:pPr>
              <w:rPr>
                <w:rFonts w:ascii="Calibri" w:eastAsia="Calibri" w:hAnsi="Calibri" w:cs="Calibri"/>
                <w:sz w:val="22"/>
                <w:szCs w:val="22"/>
              </w:rPr>
            </w:pP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Teaching methodology:  </w:t>
            </w:r>
          </w:p>
        </w:tc>
        <w:tc>
          <w:tcPr>
            <w:tcW w:w="6121" w:type="dxa"/>
            <w:gridSpan w:val="3"/>
          </w:tcPr>
          <w:p w:rsidR="00E87433" w:rsidRDefault="00E002C6">
            <w:pPr>
              <w:pBdr>
                <w:top w:val="nil"/>
                <w:left w:val="nil"/>
                <w:bottom w:val="nil"/>
                <w:right w:val="nil"/>
                <w:between w:val="nil"/>
              </w:pBdr>
              <w:rPr>
                <w:color w:val="000000"/>
              </w:rPr>
            </w:pPr>
            <w:r>
              <w:rPr>
                <w:color w:val="000000"/>
              </w:rPr>
              <w:t>Interactive method will be applied.</w:t>
            </w:r>
          </w:p>
          <w:p w:rsidR="00E87433" w:rsidRDefault="00E87433">
            <w:pPr>
              <w:pBdr>
                <w:top w:val="nil"/>
                <w:left w:val="nil"/>
                <w:bottom w:val="nil"/>
                <w:right w:val="nil"/>
                <w:between w:val="nil"/>
              </w:pBdr>
              <w:jc w:val="both"/>
              <w:rPr>
                <w:color w:val="000000"/>
              </w:rPr>
            </w:pPr>
          </w:p>
        </w:tc>
      </w:tr>
      <w:tr w:rsidR="00E87433">
        <w:tc>
          <w:tcPr>
            <w:tcW w:w="3617" w:type="dxa"/>
          </w:tcPr>
          <w:p w:rsidR="00E87433" w:rsidRDefault="00E002C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Evaluation methods:</w:t>
            </w:r>
          </w:p>
        </w:tc>
        <w:tc>
          <w:tcPr>
            <w:tcW w:w="6121" w:type="dxa"/>
            <w:gridSpan w:val="3"/>
          </w:tcPr>
          <w:p w:rsidR="00E87433" w:rsidRDefault="00E87433">
            <w:pPr>
              <w:pBdr>
                <w:top w:val="nil"/>
                <w:left w:val="nil"/>
                <w:bottom w:val="nil"/>
                <w:right w:val="nil"/>
                <w:between w:val="nil"/>
              </w:pBdr>
              <w:rPr>
                <w:color w:val="000000"/>
                <w:sz w:val="23"/>
                <w:szCs w:val="23"/>
              </w:rPr>
            </w:pPr>
          </w:p>
          <w:p w:rsidR="00E87433" w:rsidRDefault="00E002C6">
            <w:pPr>
              <w:jc w:val="both"/>
              <w:rPr>
                <w:color w:val="000000"/>
              </w:rPr>
            </w:pPr>
            <w:r>
              <w:rPr>
                <w:color w:val="000000"/>
              </w:rPr>
              <w:t>Class</w:t>
            </w:r>
            <w:r>
              <w:t xml:space="preserve"> discussion </w:t>
            </w:r>
            <w:r>
              <w:rPr>
                <w:color w:val="000000"/>
              </w:rPr>
              <w:tab/>
              <w:t xml:space="preserve">                        </w:t>
            </w:r>
            <w:r w:rsidR="00CA25E5">
              <w:rPr>
                <w:color w:val="000000"/>
              </w:rPr>
              <w:t>2</w:t>
            </w:r>
            <w:r>
              <w:t>0</w:t>
            </w:r>
            <w:r w:rsidR="00CA25E5">
              <w:t xml:space="preserve"> points</w:t>
            </w:r>
          </w:p>
          <w:p w:rsidR="00E87433" w:rsidRDefault="00E002C6">
            <w:pPr>
              <w:jc w:val="both"/>
              <w:rPr>
                <w:color w:val="000000"/>
              </w:rPr>
            </w:pPr>
            <w:r>
              <w:t>Class a</w:t>
            </w:r>
            <w:r>
              <w:rPr>
                <w:color w:val="000000"/>
              </w:rPr>
              <w:t xml:space="preserve">ssignments         </w:t>
            </w:r>
            <w:r>
              <w:rPr>
                <w:color w:val="000000"/>
              </w:rPr>
              <w:tab/>
            </w:r>
            <w:r>
              <w:rPr>
                <w:color w:val="000000"/>
              </w:rPr>
              <w:tab/>
            </w:r>
            <w:r w:rsidR="00CA25E5">
              <w:t>2</w:t>
            </w:r>
            <w:r>
              <w:rPr>
                <w:color w:val="000000"/>
              </w:rPr>
              <w:t>0</w:t>
            </w:r>
            <w:r w:rsidR="00CA25E5">
              <w:rPr>
                <w:color w:val="000000"/>
              </w:rPr>
              <w:t xml:space="preserve"> points</w:t>
            </w:r>
          </w:p>
          <w:p w:rsidR="00E87433" w:rsidRDefault="00E002C6">
            <w:pPr>
              <w:jc w:val="both"/>
              <w:rPr>
                <w:color w:val="000000"/>
              </w:rPr>
            </w:pPr>
            <w:r>
              <w:rPr>
                <w:color w:val="000000"/>
              </w:rPr>
              <w:t>Portfolio</w:t>
            </w:r>
            <w:r>
              <w:rPr>
                <w:color w:val="000000"/>
              </w:rPr>
              <w:tab/>
            </w:r>
            <w:r>
              <w:rPr>
                <w:color w:val="000000"/>
              </w:rPr>
              <w:tab/>
            </w:r>
            <w:r>
              <w:rPr>
                <w:color w:val="000000"/>
              </w:rPr>
              <w:tab/>
            </w:r>
            <w:r>
              <w:rPr>
                <w:color w:val="000000"/>
              </w:rPr>
              <w:tab/>
            </w:r>
            <w:r>
              <w:t>60</w:t>
            </w:r>
            <w:r w:rsidR="00CA25E5">
              <w:t xml:space="preserve"> points</w:t>
            </w:r>
          </w:p>
          <w:p w:rsidR="00E87433" w:rsidRDefault="00E87433">
            <w:pPr>
              <w:jc w:val="both"/>
              <w:rPr>
                <w:sz w:val="23"/>
                <w:szCs w:val="23"/>
              </w:rPr>
            </w:pPr>
          </w:p>
        </w:tc>
      </w:tr>
      <w:tr w:rsidR="00E87433">
        <w:tc>
          <w:tcPr>
            <w:tcW w:w="9738" w:type="dxa"/>
            <w:gridSpan w:val="4"/>
            <w:shd w:val="clear" w:color="auto" w:fill="B8CCE4"/>
          </w:tcPr>
          <w:p w:rsidR="00E87433" w:rsidRDefault="00E002C6">
            <w:pPr>
              <w:pBdr>
                <w:top w:val="nil"/>
                <w:left w:val="nil"/>
                <w:bottom w:val="nil"/>
                <w:right w:val="nil"/>
                <w:between w:val="nil"/>
              </w:pBdr>
              <w:rPr>
                <w:color w:val="000000"/>
              </w:rPr>
            </w:pPr>
            <w:r>
              <w:rPr>
                <w:b/>
                <w:color w:val="000000"/>
              </w:rPr>
              <w:t xml:space="preserve">Literature </w:t>
            </w:r>
          </w:p>
        </w:tc>
      </w:tr>
      <w:tr w:rsidR="00E87433">
        <w:tc>
          <w:tcPr>
            <w:tcW w:w="3617" w:type="dxa"/>
          </w:tcPr>
          <w:p w:rsidR="00E87433" w:rsidRDefault="00E002C6">
            <w:pPr>
              <w:pBdr>
                <w:top w:val="nil"/>
                <w:left w:val="nil"/>
                <w:bottom w:val="nil"/>
                <w:right w:val="nil"/>
                <w:between w:val="nil"/>
              </w:pBdr>
              <w:rPr>
                <w:color w:val="000000"/>
              </w:rPr>
            </w:pPr>
            <w:r>
              <w:rPr>
                <w:b/>
                <w:color w:val="000000"/>
              </w:rPr>
              <w:t xml:space="preserve">Readings:  </w:t>
            </w:r>
          </w:p>
        </w:tc>
        <w:tc>
          <w:tcPr>
            <w:tcW w:w="6121" w:type="dxa"/>
            <w:gridSpan w:val="3"/>
          </w:tcPr>
          <w:p w:rsidR="00E87433" w:rsidRDefault="00E002C6">
            <w:pPr>
              <w:jc w:val="both"/>
              <w:rPr>
                <w:color w:val="000000"/>
              </w:rPr>
            </w:pPr>
            <w:r>
              <w:rPr>
                <w:color w:val="000000"/>
              </w:rPr>
              <w:t>-</w:t>
            </w:r>
            <w:proofErr w:type="spellStart"/>
            <w:r>
              <w:rPr>
                <w:color w:val="000000"/>
              </w:rPr>
              <w:t>Alcaraz</w:t>
            </w:r>
            <w:proofErr w:type="spellEnd"/>
            <w:r>
              <w:rPr>
                <w:color w:val="000000"/>
              </w:rPr>
              <w:t xml:space="preserve"> </w:t>
            </w:r>
            <w:proofErr w:type="spellStart"/>
            <w:r>
              <w:rPr>
                <w:color w:val="000000"/>
              </w:rPr>
              <w:t>Varó</w:t>
            </w:r>
            <w:proofErr w:type="spellEnd"/>
            <w:r>
              <w:rPr>
                <w:color w:val="000000"/>
              </w:rPr>
              <w:t>, E. and Hughes, B. (2002). Legal Translation Explained. Manchester: St. Jerome Publishing.</w:t>
            </w:r>
          </w:p>
          <w:p w:rsidR="00E87433" w:rsidRDefault="00E002C6">
            <w:pPr>
              <w:jc w:val="both"/>
              <w:rPr>
                <w:color w:val="000000"/>
              </w:rPr>
            </w:pPr>
            <w:r>
              <w:rPr>
                <w:color w:val="000000"/>
              </w:rPr>
              <w:t xml:space="preserve">-Cao, D. (2007). Translating Law. Multilingual Matters: </w:t>
            </w:r>
            <w:proofErr w:type="spellStart"/>
            <w:r>
              <w:rPr>
                <w:color w:val="000000"/>
              </w:rPr>
              <w:t>Clevedon</w:t>
            </w:r>
            <w:proofErr w:type="spellEnd"/>
            <w:r>
              <w:rPr>
                <w:color w:val="000000"/>
              </w:rPr>
              <w:t xml:space="preserve">, Buffalo, Toronto. </w:t>
            </w:r>
          </w:p>
          <w:p w:rsidR="00E87433" w:rsidRDefault="00E002C6">
            <w:pPr>
              <w:jc w:val="both"/>
            </w:pPr>
            <w:r>
              <w:rPr>
                <w:color w:val="000000"/>
              </w:rPr>
              <w:t>-</w:t>
            </w:r>
            <w:proofErr w:type="spellStart"/>
            <w:r>
              <w:rPr>
                <w:color w:val="000000"/>
              </w:rPr>
              <w:t>Sarcevic</w:t>
            </w:r>
            <w:proofErr w:type="spellEnd"/>
            <w:r>
              <w:rPr>
                <w:color w:val="000000"/>
              </w:rPr>
              <w:t xml:space="preserve">, S. (1997). New Approach to Legal Translation. The Hague: </w:t>
            </w:r>
            <w:proofErr w:type="spellStart"/>
            <w:r>
              <w:rPr>
                <w:color w:val="000000"/>
              </w:rPr>
              <w:t>Kluver</w:t>
            </w:r>
            <w:proofErr w:type="spellEnd"/>
            <w:r>
              <w:rPr>
                <w:color w:val="000000"/>
              </w:rPr>
              <w:t xml:space="preserve"> Law International.</w:t>
            </w:r>
          </w:p>
        </w:tc>
      </w:tr>
    </w:tbl>
    <w:p w:rsidR="00E87433" w:rsidRDefault="00E87433"/>
    <w:tbl>
      <w:tblPr>
        <w:tblStyle w:val="a0"/>
        <w:tblpPr w:leftFromText="180" w:rightFromText="180" w:vertAnchor="text" w:tblpY="4"/>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6120"/>
      </w:tblGrid>
      <w:tr w:rsidR="00E87433">
        <w:tc>
          <w:tcPr>
            <w:tcW w:w="9738" w:type="dxa"/>
            <w:gridSpan w:val="2"/>
            <w:shd w:val="clear" w:color="auto" w:fill="B8CCE4"/>
          </w:tcPr>
          <w:p w:rsidR="00E87433" w:rsidRDefault="00E002C6">
            <w:r>
              <w:rPr>
                <w:b/>
              </w:rPr>
              <w:t>Course syllabus</w:t>
            </w:r>
          </w:p>
        </w:tc>
      </w:tr>
      <w:tr w:rsidR="00E87433">
        <w:tc>
          <w:tcPr>
            <w:tcW w:w="3618" w:type="dxa"/>
            <w:shd w:val="clear" w:color="auto" w:fill="B8CCE4"/>
          </w:tcPr>
          <w:p w:rsidR="00E87433" w:rsidRDefault="00E002C6">
            <w:r>
              <w:rPr>
                <w:b/>
              </w:rPr>
              <w:t>Week</w:t>
            </w:r>
          </w:p>
        </w:tc>
        <w:tc>
          <w:tcPr>
            <w:tcW w:w="6120" w:type="dxa"/>
            <w:shd w:val="clear" w:color="auto" w:fill="B8CCE4"/>
          </w:tcPr>
          <w:p w:rsidR="00E87433" w:rsidRDefault="00E002C6">
            <w:r>
              <w:rPr>
                <w:b/>
              </w:rPr>
              <w:t>Course content</w:t>
            </w:r>
          </w:p>
        </w:tc>
      </w:tr>
      <w:tr w:rsidR="00E87433">
        <w:tc>
          <w:tcPr>
            <w:tcW w:w="3618" w:type="dxa"/>
          </w:tcPr>
          <w:p w:rsidR="00E87433" w:rsidRDefault="00E002C6">
            <w:r>
              <w:rPr>
                <w:b/>
                <w:i/>
              </w:rPr>
              <w:t>Week 1:</w:t>
            </w:r>
          </w:p>
        </w:tc>
        <w:tc>
          <w:tcPr>
            <w:tcW w:w="6120" w:type="dxa"/>
          </w:tcPr>
          <w:p w:rsidR="00E87433" w:rsidRDefault="00E002C6">
            <w:r>
              <w:rPr>
                <w:i/>
              </w:rPr>
              <w:t>Introduction to the course</w:t>
            </w:r>
          </w:p>
        </w:tc>
      </w:tr>
      <w:tr w:rsidR="00E87433">
        <w:tc>
          <w:tcPr>
            <w:tcW w:w="3618" w:type="dxa"/>
          </w:tcPr>
          <w:p w:rsidR="00E87433" w:rsidRDefault="00E002C6">
            <w:r>
              <w:rPr>
                <w:b/>
                <w:i/>
              </w:rPr>
              <w:t>Week 2:</w:t>
            </w:r>
          </w:p>
        </w:tc>
        <w:tc>
          <w:tcPr>
            <w:tcW w:w="6120" w:type="dxa"/>
          </w:tcPr>
          <w:p w:rsidR="00E87433" w:rsidRDefault="00E002C6">
            <w:r>
              <w:rPr>
                <w:i/>
              </w:rPr>
              <w:t>Introduction to translation and interpreting</w:t>
            </w:r>
          </w:p>
        </w:tc>
      </w:tr>
      <w:tr w:rsidR="00E87433">
        <w:tc>
          <w:tcPr>
            <w:tcW w:w="3618" w:type="dxa"/>
          </w:tcPr>
          <w:p w:rsidR="00E87433" w:rsidRDefault="00E002C6">
            <w:r>
              <w:rPr>
                <w:b/>
                <w:i/>
              </w:rPr>
              <w:t>Week 3</w:t>
            </w:r>
            <w:r>
              <w:rPr>
                <w:b/>
              </w:rPr>
              <w:t>:</w:t>
            </w:r>
          </w:p>
        </w:tc>
        <w:tc>
          <w:tcPr>
            <w:tcW w:w="6120" w:type="dxa"/>
          </w:tcPr>
          <w:p w:rsidR="00E87433" w:rsidRDefault="00E002C6">
            <w:r>
              <w:rPr>
                <w:i/>
              </w:rPr>
              <w:t>Text analysis</w:t>
            </w:r>
          </w:p>
        </w:tc>
      </w:tr>
      <w:tr w:rsidR="00E87433">
        <w:tc>
          <w:tcPr>
            <w:tcW w:w="3618" w:type="dxa"/>
          </w:tcPr>
          <w:p w:rsidR="00E87433" w:rsidRDefault="00E002C6">
            <w:r>
              <w:rPr>
                <w:b/>
                <w:i/>
              </w:rPr>
              <w:t>Week 4:</w:t>
            </w:r>
          </w:p>
        </w:tc>
        <w:tc>
          <w:tcPr>
            <w:tcW w:w="6120" w:type="dxa"/>
          </w:tcPr>
          <w:p w:rsidR="00E87433" w:rsidRDefault="00E002C6">
            <w:r>
              <w:rPr>
                <w:i/>
              </w:rPr>
              <w:t>Memory and split attention</w:t>
            </w:r>
          </w:p>
        </w:tc>
      </w:tr>
      <w:tr w:rsidR="00E87433">
        <w:tc>
          <w:tcPr>
            <w:tcW w:w="3618" w:type="dxa"/>
          </w:tcPr>
          <w:p w:rsidR="00E87433" w:rsidRDefault="00E002C6">
            <w:r>
              <w:rPr>
                <w:b/>
                <w:i/>
              </w:rPr>
              <w:t>Week 5:</w:t>
            </w:r>
            <w:r>
              <w:rPr>
                <w:b/>
              </w:rPr>
              <w:t xml:space="preserve">  </w:t>
            </w:r>
          </w:p>
        </w:tc>
        <w:tc>
          <w:tcPr>
            <w:tcW w:w="6120" w:type="dxa"/>
          </w:tcPr>
          <w:p w:rsidR="00E87433" w:rsidRDefault="00E002C6">
            <w:r>
              <w:rPr>
                <w:i/>
              </w:rPr>
              <w:t>Note-taking and key words</w:t>
            </w:r>
          </w:p>
        </w:tc>
      </w:tr>
      <w:tr w:rsidR="00E87433">
        <w:tc>
          <w:tcPr>
            <w:tcW w:w="3618" w:type="dxa"/>
          </w:tcPr>
          <w:p w:rsidR="00E87433" w:rsidRDefault="00E002C6">
            <w:r>
              <w:rPr>
                <w:b/>
                <w:i/>
              </w:rPr>
              <w:t>Week 6</w:t>
            </w:r>
            <w:r>
              <w:rPr>
                <w:b/>
              </w:rPr>
              <w:t>:</w:t>
            </w:r>
          </w:p>
        </w:tc>
        <w:tc>
          <w:tcPr>
            <w:tcW w:w="6120" w:type="dxa"/>
          </w:tcPr>
          <w:p w:rsidR="00E87433" w:rsidRDefault="00E002C6">
            <w:r>
              <w:rPr>
                <w:i/>
              </w:rPr>
              <w:t>Features of legal language</w:t>
            </w:r>
          </w:p>
        </w:tc>
      </w:tr>
      <w:tr w:rsidR="00E87433">
        <w:tc>
          <w:tcPr>
            <w:tcW w:w="3618" w:type="dxa"/>
          </w:tcPr>
          <w:p w:rsidR="00E87433" w:rsidRDefault="00E002C6">
            <w:r>
              <w:rPr>
                <w:b/>
                <w:i/>
              </w:rPr>
              <w:t>Week 7:</w:t>
            </w:r>
            <w:r>
              <w:rPr>
                <w:b/>
              </w:rPr>
              <w:t xml:space="preserve">  </w:t>
            </w:r>
          </w:p>
        </w:tc>
        <w:tc>
          <w:tcPr>
            <w:tcW w:w="6120" w:type="dxa"/>
          </w:tcPr>
          <w:p w:rsidR="00E87433" w:rsidRDefault="00E002C6">
            <w:r>
              <w:rPr>
                <w:i/>
              </w:rPr>
              <w:t>Dealing with terminology</w:t>
            </w:r>
          </w:p>
        </w:tc>
      </w:tr>
      <w:tr w:rsidR="00E87433">
        <w:tc>
          <w:tcPr>
            <w:tcW w:w="3618" w:type="dxa"/>
          </w:tcPr>
          <w:p w:rsidR="00E87433" w:rsidRDefault="00E002C6">
            <w:r>
              <w:rPr>
                <w:b/>
                <w:i/>
              </w:rPr>
              <w:t>Week 8:</w:t>
            </w:r>
            <w:r>
              <w:rPr>
                <w:b/>
              </w:rPr>
              <w:t xml:space="preserve">  </w:t>
            </w:r>
          </w:p>
        </w:tc>
        <w:tc>
          <w:tcPr>
            <w:tcW w:w="6120" w:type="dxa"/>
          </w:tcPr>
          <w:p w:rsidR="00E87433" w:rsidRDefault="00E002C6">
            <w:r>
              <w:rPr>
                <w:i/>
              </w:rPr>
              <w:t>Translation Practice: Power of Attorney</w:t>
            </w:r>
          </w:p>
        </w:tc>
      </w:tr>
      <w:tr w:rsidR="00E87433">
        <w:tc>
          <w:tcPr>
            <w:tcW w:w="3618" w:type="dxa"/>
          </w:tcPr>
          <w:p w:rsidR="00E87433" w:rsidRDefault="00E002C6">
            <w:r>
              <w:rPr>
                <w:b/>
                <w:i/>
              </w:rPr>
              <w:t>Week 9:</w:t>
            </w:r>
            <w:r>
              <w:rPr>
                <w:b/>
              </w:rPr>
              <w:t xml:space="preserve">  </w:t>
            </w:r>
          </w:p>
        </w:tc>
        <w:tc>
          <w:tcPr>
            <w:tcW w:w="6120" w:type="dxa"/>
          </w:tcPr>
          <w:p w:rsidR="00E87433" w:rsidRDefault="00E002C6">
            <w:r>
              <w:rPr>
                <w:i/>
              </w:rPr>
              <w:t>Translating Contracts I</w:t>
            </w:r>
          </w:p>
        </w:tc>
      </w:tr>
      <w:tr w:rsidR="00E87433">
        <w:tc>
          <w:tcPr>
            <w:tcW w:w="3618" w:type="dxa"/>
          </w:tcPr>
          <w:p w:rsidR="00E87433" w:rsidRDefault="00E002C6">
            <w:r>
              <w:rPr>
                <w:b/>
                <w:i/>
              </w:rPr>
              <w:t>Week 10:</w:t>
            </w:r>
          </w:p>
        </w:tc>
        <w:tc>
          <w:tcPr>
            <w:tcW w:w="6120" w:type="dxa"/>
          </w:tcPr>
          <w:p w:rsidR="00E87433" w:rsidRDefault="00E002C6">
            <w:r>
              <w:rPr>
                <w:i/>
              </w:rPr>
              <w:t>Translating Contracts II</w:t>
            </w:r>
          </w:p>
        </w:tc>
      </w:tr>
      <w:tr w:rsidR="00E87433">
        <w:tc>
          <w:tcPr>
            <w:tcW w:w="3618" w:type="dxa"/>
          </w:tcPr>
          <w:p w:rsidR="00E87433" w:rsidRDefault="00E002C6">
            <w:r>
              <w:rPr>
                <w:b/>
                <w:i/>
              </w:rPr>
              <w:t>Week 11</w:t>
            </w:r>
            <w:r>
              <w:rPr>
                <w:b/>
              </w:rPr>
              <w:t>:</w:t>
            </w:r>
          </w:p>
        </w:tc>
        <w:tc>
          <w:tcPr>
            <w:tcW w:w="6120" w:type="dxa"/>
          </w:tcPr>
          <w:p w:rsidR="00E87433" w:rsidRDefault="00E002C6">
            <w:proofErr w:type="spellStart"/>
            <w:r>
              <w:rPr>
                <w:i/>
              </w:rPr>
              <w:t>Labour</w:t>
            </w:r>
            <w:proofErr w:type="spellEnd"/>
            <w:r>
              <w:rPr>
                <w:i/>
              </w:rPr>
              <w:t xml:space="preserve"> Law</w:t>
            </w:r>
          </w:p>
        </w:tc>
      </w:tr>
      <w:tr w:rsidR="00E87433">
        <w:tc>
          <w:tcPr>
            <w:tcW w:w="3618" w:type="dxa"/>
          </w:tcPr>
          <w:p w:rsidR="00E87433" w:rsidRDefault="00E002C6">
            <w:r>
              <w:rPr>
                <w:b/>
                <w:i/>
              </w:rPr>
              <w:t>Week 12</w:t>
            </w:r>
            <w:r>
              <w:rPr>
                <w:b/>
              </w:rPr>
              <w:t xml:space="preserve">:  </w:t>
            </w:r>
          </w:p>
        </w:tc>
        <w:tc>
          <w:tcPr>
            <w:tcW w:w="6120" w:type="dxa"/>
          </w:tcPr>
          <w:p w:rsidR="00E87433" w:rsidRDefault="00E002C6">
            <w:r>
              <w:rPr>
                <w:i/>
              </w:rPr>
              <w:t>International Law I</w:t>
            </w:r>
          </w:p>
        </w:tc>
      </w:tr>
      <w:tr w:rsidR="00E87433">
        <w:tc>
          <w:tcPr>
            <w:tcW w:w="3618" w:type="dxa"/>
          </w:tcPr>
          <w:p w:rsidR="00E87433" w:rsidRDefault="00E002C6">
            <w:r>
              <w:rPr>
                <w:b/>
                <w:i/>
              </w:rPr>
              <w:lastRenderedPageBreak/>
              <w:t>Week 13</w:t>
            </w:r>
            <w:r>
              <w:rPr>
                <w:b/>
              </w:rPr>
              <w:t xml:space="preserve">:    </w:t>
            </w:r>
          </w:p>
        </w:tc>
        <w:tc>
          <w:tcPr>
            <w:tcW w:w="6120" w:type="dxa"/>
          </w:tcPr>
          <w:p w:rsidR="00E87433" w:rsidRDefault="00E002C6">
            <w:r>
              <w:rPr>
                <w:i/>
              </w:rPr>
              <w:t>International Law II</w:t>
            </w:r>
          </w:p>
        </w:tc>
      </w:tr>
      <w:tr w:rsidR="00E87433">
        <w:tc>
          <w:tcPr>
            <w:tcW w:w="3618" w:type="dxa"/>
          </w:tcPr>
          <w:p w:rsidR="00E87433" w:rsidRDefault="00E002C6">
            <w:r>
              <w:rPr>
                <w:b/>
                <w:i/>
              </w:rPr>
              <w:t>Week 14</w:t>
            </w:r>
            <w:r>
              <w:rPr>
                <w:b/>
              </w:rPr>
              <w:t xml:space="preserve">:  </w:t>
            </w:r>
          </w:p>
        </w:tc>
        <w:tc>
          <w:tcPr>
            <w:tcW w:w="6120" w:type="dxa"/>
          </w:tcPr>
          <w:p w:rsidR="00E87433" w:rsidRDefault="00E002C6">
            <w:r>
              <w:rPr>
                <w:i/>
              </w:rPr>
              <w:t>Court translation and interpreting I</w:t>
            </w:r>
          </w:p>
        </w:tc>
      </w:tr>
      <w:tr w:rsidR="00E87433">
        <w:tc>
          <w:tcPr>
            <w:tcW w:w="3618" w:type="dxa"/>
          </w:tcPr>
          <w:p w:rsidR="00E87433" w:rsidRDefault="00E002C6">
            <w:r>
              <w:rPr>
                <w:b/>
                <w:i/>
              </w:rPr>
              <w:t>Week 15</w:t>
            </w:r>
            <w:r>
              <w:rPr>
                <w:b/>
              </w:rPr>
              <w:t xml:space="preserve">:   </w:t>
            </w:r>
          </w:p>
        </w:tc>
        <w:tc>
          <w:tcPr>
            <w:tcW w:w="6120" w:type="dxa"/>
          </w:tcPr>
          <w:p w:rsidR="00E87433" w:rsidRDefault="00E002C6">
            <w:r>
              <w:rPr>
                <w:i/>
              </w:rPr>
              <w:t>Court translation and interpreting II</w:t>
            </w:r>
          </w:p>
        </w:tc>
      </w:tr>
    </w:tbl>
    <w:p w:rsidR="00E87433" w:rsidRDefault="00E87433">
      <w:pPr>
        <w:rPr>
          <w:rFonts w:ascii="Calibri" w:eastAsia="Calibri" w:hAnsi="Calibri" w:cs="Calibri"/>
          <w:sz w:val="28"/>
          <w:szCs w:val="28"/>
        </w:rPr>
      </w:pPr>
    </w:p>
    <w:tbl>
      <w:tblPr>
        <w:tblStyle w:val="a1"/>
        <w:tblW w:w="97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8"/>
      </w:tblGrid>
      <w:tr w:rsidR="00E87433">
        <w:tc>
          <w:tcPr>
            <w:tcW w:w="9738" w:type="dxa"/>
            <w:shd w:val="clear" w:color="auto" w:fill="B8CCE4"/>
          </w:tcPr>
          <w:p w:rsidR="00E87433" w:rsidRDefault="00E002C6">
            <w:pPr>
              <w:jc w:val="center"/>
            </w:pPr>
            <w:r>
              <w:rPr>
                <w:b/>
              </w:rPr>
              <w:t>Academic policies and code of conduct</w:t>
            </w:r>
          </w:p>
        </w:tc>
      </w:tr>
      <w:tr w:rsidR="00E87433">
        <w:trPr>
          <w:trHeight w:val="1088"/>
        </w:trPr>
        <w:tc>
          <w:tcPr>
            <w:tcW w:w="9738" w:type="dxa"/>
          </w:tcPr>
          <w:p w:rsidR="00E87433" w:rsidRDefault="00E87433">
            <w:pPr>
              <w:jc w:val="both"/>
            </w:pPr>
          </w:p>
          <w:p w:rsidR="00E87433" w:rsidRDefault="00E002C6">
            <w:pPr>
              <w:spacing w:after="120"/>
              <w:jc w:val="both"/>
            </w:pPr>
            <w:r>
              <w:rPr>
                <w:i/>
              </w:rPr>
              <w:t xml:space="preserve">Students are expected to be punctual, show respect for their course instructor and their peers. Mobiles phones should not be used during classes, as well as during tests and exams. </w:t>
            </w:r>
          </w:p>
          <w:p w:rsidR="00E87433" w:rsidRDefault="00E002C6">
            <w:pPr>
              <w:spacing w:after="120"/>
              <w:jc w:val="both"/>
            </w:pPr>
            <w:r>
              <w:rPr>
                <w:i/>
              </w:rPr>
              <w:t>Plagiarism is considered to be the greatest academic offense. Anyone caught having plagiarized (whether copying, paraphrasing from different kinds of materials without acknowledging sources, presenting other people’s work/ideas as their own and so forth) will receive a failing grade and might be subject to disciplinary measures. Plagiarism can be easily avoided by acknowledging the sources.</w:t>
            </w:r>
          </w:p>
          <w:p w:rsidR="00E87433" w:rsidRDefault="00E002C6">
            <w:pPr>
              <w:spacing w:after="120"/>
              <w:jc w:val="both"/>
            </w:pPr>
            <w:r>
              <w:rPr>
                <w:i/>
              </w:rPr>
              <w:t>Students caught cheating on the test, ghost writing, or using other forms of academic dishonesty will receive a failing grade on that assignment/test.</w:t>
            </w:r>
          </w:p>
          <w:p w:rsidR="00E87433" w:rsidRDefault="00E87433"/>
        </w:tc>
      </w:tr>
    </w:tbl>
    <w:p w:rsidR="00E87433" w:rsidRDefault="00E87433">
      <w:pPr>
        <w:rPr>
          <w:rFonts w:ascii="Calibri" w:eastAsia="Calibri" w:hAnsi="Calibri" w:cs="Calibri"/>
          <w:sz w:val="28"/>
          <w:szCs w:val="28"/>
        </w:rPr>
      </w:pPr>
    </w:p>
    <w:sectPr w:rsidR="00E87433">
      <w:footerReference w:type="even" r:id="rId9"/>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3F0" w:rsidRDefault="00D823F0">
      <w:r>
        <w:separator/>
      </w:r>
    </w:p>
  </w:endnote>
  <w:endnote w:type="continuationSeparator" w:id="0">
    <w:p w:rsidR="00D823F0" w:rsidRDefault="00D8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33" w:rsidRDefault="00E002C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E87433" w:rsidRDefault="00E8743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33" w:rsidRDefault="00E002C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54905">
      <w:rPr>
        <w:noProof/>
        <w:color w:val="000000"/>
      </w:rPr>
      <w:t>3</w:t>
    </w:r>
    <w:r>
      <w:rPr>
        <w:color w:val="000000"/>
      </w:rPr>
      <w:fldChar w:fldCharType="end"/>
    </w:r>
  </w:p>
  <w:p w:rsidR="00E87433" w:rsidRDefault="00E8743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3F0" w:rsidRDefault="00D823F0">
      <w:r>
        <w:separator/>
      </w:r>
    </w:p>
  </w:footnote>
  <w:footnote w:type="continuationSeparator" w:id="0">
    <w:p w:rsidR="00D823F0" w:rsidRDefault="00D82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F6E9F"/>
    <w:multiLevelType w:val="multilevel"/>
    <w:tmpl w:val="2CAC07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33"/>
    <w:rsid w:val="00CA25E5"/>
    <w:rsid w:val="00D3592E"/>
    <w:rsid w:val="00D63D8D"/>
    <w:rsid w:val="00D823F0"/>
    <w:rsid w:val="00E002C6"/>
    <w:rsid w:val="00E54905"/>
    <w:rsid w:val="00E8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907FF"/>
  <w15:docId w15:val="{767E0299-BE7A-4C4E-83B0-89B5EEC9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76" w:lineRule="auto"/>
      <w:outlineLvl w:val="3"/>
    </w:pPr>
    <w:rPr>
      <w:rFonts w:ascii="Calibri" w:eastAsia="Calibri" w:hAnsi="Calibri" w:cs="Calibri"/>
      <w:b/>
      <w:sz w:val="28"/>
      <w:szCs w:val="28"/>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inaide.gruda@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gDCNVpvc8gK/qTbxcxG+61BKg==">CgMxLjA4AHIhMVJhbnlCaWZFc21GWmRMWENOcmFYZkk3WjZZSUc4enBV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2024-10-16T19:06:00Z</dcterms:created>
  <dcterms:modified xsi:type="dcterms:W3CDTF">2024-10-16T19:12:00Z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7f0a4ebad55ea9e8c447d147e2e74bdc33fa6e75d2b5320dbf86a3e1fc8ef06b</vt:lpwstr>
  </property>
</Properties>
</file>