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5"/>
        <w:gridCol w:w="627"/>
        <w:gridCol w:w="6942"/>
      </w:tblGrid>
      <w:tr w:rsidR="005469D1" w:rsidRPr="00FE22FD" w14:paraId="4E4F7871" w14:textId="77777777" w:rsidTr="005469D1">
        <w:trPr>
          <w:trHeight w:val="210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989B17" w14:textId="77777777" w:rsidR="005469D1" w:rsidRPr="00FE22FD" w:rsidRDefault="005469D1" w:rsidP="005469D1">
            <w:pPr>
              <w:pStyle w:val="NoSpacing"/>
              <w:jc w:val="center"/>
              <w:rPr>
                <w:b/>
                <w:color w:val="000000"/>
                <w:lang w:val="en-GB"/>
              </w:rPr>
            </w:pPr>
            <w:r w:rsidRPr="00FE22FD">
              <w:rPr>
                <w:b/>
                <w:color w:val="000000"/>
                <w:lang w:val="en-GB"/>
              </w:rPr>
              <w:t>S Y L A B U S</w:t>
            </w:r>
          </w:p>
          <w:p w14:paraId="7F828C5B" w14:textId="77777777" w:rsidR="005469D1" w:rsidRPr="00FE22FD" w:rsidRDefault="005469D1" w:rsidP="005469D1">
            <w:pPr>
              <w:pStyle w:val="NoSpacing"/>
              <w:rPr>
                <w:b/>
                <w:color w:val="000000"/>
                <w:lang w:val="en-GB"/>
              </w:rPr>
            </w:pPr>
          </w:p>
        </w:tc>
      </w:tr>
      <w:tr w:rsidR="005469D1" w:rsidRPr="00FE22FD" w14:paraId="553F8D75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AC7" w14:textId="77777777" w:rsidR="005469D1" w:rsidRPr="00FE22FD" w:rsidRDefault="005469D1" w:rsidP="005469D1">
            <w:pPr>
              <w:pStyle w:val="NoSpacing"/>
              <w:rPr>
                <w:b/>
              </w:rPr>
            </w:pPr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Njësia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akademike</w:t>
            </w:r>
            <w:proofErr w:type="spellEnd"/>
            <w:r w:rsidRPr="00FE22FD">
              <w:rPr>
                <w:b/>
              </w:rPr>
              <w:t xml:space="preserve">: 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4B6F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proofErr w:type="spellStart"/>
            <w:r w:rsidRPr="00FE22FD">
              <w:rPr>
                <w:color w:val="000000"/>
                <w:lang w:val="en-GB"/>
              </w:rPr>
              <w:t>Fakulteti</w:t>
            </w:r>
            <w:proofErr w:type="spellEnd"/>
            <w:r w:rsidRPr="00FE22FD">
              <w:rPr>
                <w:color w:val="000000"/>
                <w:lang w:val="en-GB"/>
              </w:rPr>
              <w:t xml:space="preserve"> </w:t>
            </w:r>
            <w:proofErr w:type="spellStart"/>
            <w:r w:rsidRPr="00FE22FD">
              <w:rPr>
                <w:color w:val="000000"/>
                <w:lang w:val="en-GB"/>
              </w:rPr>
              <w:t>Filozofik</w:t>
            </w:r>
            <w:proofErr w:type="spellEnd"/>
            <w:r>
              <w:rPr>
                <w:color w:val="000000"/>
                <w:lang w:val="en-GB"/>
              </w:rPr>
              <w:t>/</w:t>
            </w:r>
            <w:proofErr w:type="spellStart"/>
            <w:r w:rsidRPr="00FE22FD">
              <w:rPr>
                <w:color w:val="000000"/>
                <w:lang w:val="en-GB"/>
              </w:rPr>
              <w:t>Departamenti</w:t>
            </w:r>
            <w:proofErr w:type="spellEnd"/>
            <w:r w:rsidRPr="00FE22FD">
              <w:rPr>
                <w:color w:val="000000"/>
                <w:lang w:val="en-GB"/>
              </w:rPr>
              <w:t xml:space="preserve"> </w:t>
            </w:r>
            <w:proofErr w:type="spellStart"/>
            <w:r w:rsidRPr="00FE22FD">
              <w:rPr>
                <w:color w:val="000000"/>
                <w:lang w:val="en-GB"/>
              </w:rPr>
              <w:t>i</w:t>
            </w:r>
            <w:proofErr w:type="spellEnd"/>
            <w:r w:rsidRPr="00FE22FD">
              <w:rPr>
                <w:color w:val="000000"/>
                <w:lang w:val="en-GB"/>
              </w:rPr>
              <w:t xml:space="preserve"> </w:t>
            </w:r>
            <w:proofErr w:type="spellStart"/>
            <w:r w:rsidRPr="00FE22FD">
              <w:rPr>
                <w:color w:val="000000"/>
                <w:lang w:val="en-GB"/>
              </w:rPr>
              <w:t>Shkencës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Politike</w:t>
            </w:r>
            <w:proofErr w:type="spellEnd"/>
          </w:p>
        </w:tc>
      </w:tr>
      <w:tr w:rsidR="005469D1" w:rsidRPr="00FE22FD" w14:paraId="2A6B97BD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9AD3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Titulli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lëndës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318D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Media </w:t>
            </w:r>
            <w:proofErr w:type="spellStart"/>
            <w:r>
              <w:rPr>
                <w:color w:val="000000"/>
                <w:lang w:val="en-GB"/>
              </w:rPr>
              <w:t>dhe</w:t>
            </w:r>
            <w:proofErr w:type="spellEnd"/>
            <w:r>
              <w:rPr>
                <w:color w:val="000000"/>
                <w:lang w:val="en-GB"/>
              </w:rPr>
              <w:t xml:space="preserve"> Politika </w:t>
            </w:r>
          </w:p>
        </w:tc>
      </w:tr>
      <w:tr w:rsidR="005469D1" w:rsidRPr="00FE22FD" w14:paraId="65271C58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9E4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Niveli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247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</w:t>
            </w:r>
          </w:p>
        </w:tc>
      </w:tr>
      <w:tr w:rsidR="005469D1" w:rsidRPr="00FE22FD" w14:paraId="32448F03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43B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Statusi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lëndës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35E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r w:rsidRPr="00FE22FD">
              <w:rPr>
                <w:color w:val="000000"/>
                <w:lang w:val="en-GB"/>
              </w:rPr>
              <w:t>Obligative</w:t>
            </w:r>
          </w:p>
        </w:tc>
      </w:tr>
      <w:tr w:rsidR="005469D1" w:rsidRPr="00FE22FD" w14:paraId="531CE5A8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2F8" w14:textId="77777777" w:rsidR="005469D1" w:rsidRPr="00FE22FD" w:rsidRDefault="005469D1" w:rsidP="005469D1">
            <w:pPr>
              <w:pStyle w:val="NoSpacing"/>
              <w:rPr>
                <w:b/>
              </w:rPr>
            </w:pPr>
            <w:r>
              <w:rPr>
                <w:b/>
              </w:rPr>
              <w:t>Viti/</w:t>
            </w:r>
            <w:proofErr w:type="spellStart"/>
            <w:r>
              <w:rPr>
                <w:b/>
              </w:rPr>
              <w:t>semestri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582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r w:rsidRPr="00FE22FD">
              <w:rPr>
                <w:color w:val="000000"/>
                <w:lang w:val="en-GB"/>
              </w:rPr>
              <w:t>I</w:t>
            </w:r>
            <w:r>
              <w:rPr>
                <w:color w:val="000000"/>
                <w:lang w:val="en-GB"/>
              </w:rPr>
              <w:t>I/III</w:t>
            </w:r>
          </w:p>
        </w:tc>
      </w:tr>
      <w:tr w:rsidR="005469D1" w:rsidRPr="00FE22FD" w14:paraId="5FB5B586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82C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Numri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orëve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në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javë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B72B" w14:textId="77777777" w:rsidR="005469D1" w:rsidRPr="00FE22FD" w:rsidRDefault="00D47C49" w:rsidP="005469D1">
            <w:pPr>
              <w:pStyle w:val="NoSpacing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2+1</w:t>
            </w:r>
          </w:p>
        </w:tc>
      </w:tr>
      <w:tr w:rsidR="005469D1" w:rsidRPr="00FE22FD" w14:paraId="69A97E14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CBC4" w14:textId="77777777" w:rsidR="005469D1" w:rsidRPr="00FE22FD" w:rsidRDefault="005469D1" w:rsidP="005469D1">
            <w:pPr>
              <w:pStyle w:val="NoSpacing"/>
              <w:rPr>
                <w:b/>
              </w:rPr>
            </w:pPr>
            <w:r w:rsidRPr="00FE22FD">
              <w:rPr>
                <w:b/>
              </w:rPr>
              <w:t xml:space="preserve">Vlera </w:t>
            </w:r>
            <w:proofErr w:type="spellStart"/>
            <w:r w:rsidRPr="00FE22FD">
              <w:rPr>
                <w:b/>
              </w:rPr>
              <w:t>në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kredi</w:t>
            </w:r>
            <w:proofErr w:type="spellEnd"/>
            <w:r w:rsidRPr="00FE22FD">
              <w:rPr>
                <w:b/>
              </w:rPr>
              <w:t xml:space="preserve"> – ECTS: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023C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</w:t>
            </w:r>
          </w:p>
        </w:tc>
      </w:tr>
      <w:tr w:rsidR="005469D1" w:rsidRPr="00FE22FD" w14:paraId="30CFA6DD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DA5" w14:textId="77777777" w:rsidR="005469D1" w:rsidRPr="00FE22FD" w:rsidRDefault="005469D1" w:rsidP="005469D1">
            <w:pPr>
              <w:pStyle w:val="NoSpacing"/>
              <w:rPr>
                <w:b/>
              </w:rPr>
            </w:pPr>
            <w:r w:rsidRPr="00FE22FD">
              <w:rPr>
                <w:b/>
              </w:rPr>
              <w:t xml:space="preserve">Koha / </w:t>
            </w:r>
            <w:proofErr w:type="spellStart"/>
            <w:r w:rsidRPr="00FE22FD">
              <w:rPr>
                <w:b/>
              </w:rPr>
              <w:t>lokacioni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4764" w14:textId="77777777" w:rsidR="005469D1" w:rsidRPr="00FE22FD" w:rsidRDefault="005469D1" w:rsidP="005469D1">
            <w:pPr>
              <w:rPr>
                <w:color w:val="000000"/>
              </w:rPr>
            </w:pPr>
            <w:r w:rsidRPr="00FE22FD">
              <w:rPr>
                <w:color w:val="000000"/>
              </w:rPr>
              <w:t xml:space="preserve"> </w:t>
            </w:r>
            <w:r w:rsidR="008149C5">
              <w:rPr>
                <w:color w:val="000000"/>
              </w:rPr>
              <w:t>E ejte 16:1</w:t>
            </w:r>
            <w:r w:rsidR="00C110C4">
              <w:rPr>
                <w:color w:val="000000"/>
              </w:rPr>
              <w:t>5-17:45</w:t>
            </w:r>
          </w:p>
        </w:tc>
      </w:tr>
      <w:tr w:rsidR="005469D1" w:rsidRPr="00FE22FD" w14:paraId="7C859AB3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677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Mësimëdhënësi</w:t>
            </w:r>
            <w:proofErr w:type="spellEnd"/>
            <w:r w:rsidRPr="00FE22FD">
              <w:rPr>
                <w:b/>
              </w:rPr>
              <w:t xml:space="preserve"> i </w:t>
            </w:r>
            <w:proofErr w:type="spellStart"/>
            <w:r w:rsidRPr="00FE22FD">
              <w:rPr>
                <w:b/>
              </w:rPr>
              <w:t>lëndës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653" w14:textId="77777777" w:rsidR="005469D1" w:rsidRDefault="005469D1" w:rsidP="005469D1">
            <w:pPr>
              <w:pStyle w:val="NoSpacing"/>
              <w:rPr>
                <w:color w:val="000000"/>
                <w:lang w:val="en-GB"/>
              </w:rPr>
            </w:pPr>
            <w:r w:rsidRPr="00FE22FD">
              <w:rPr>
                <w:color w:val="000000"/>
                <w:lang w:val="en-GB"/>
              </w:rPr>
              <w:t xml:space="preserve">Prof. </w:t>
            </w:r>
            <w:proofErr w:type="spellStart"/>
            <w:r>
              <w:rPr>
                <w:color w:val="000000"/>
                <w:lang w:val="en-GB"/>
              </w:rPr>
              <w:t>as</w:t>
            </w:r>
            <w:r w:rsidR="00C110C4">
              <w:rPr>
                <w:color w:val="000000"/>
                <w:lang w:val="en-GB"/>
              </w:rPr>
              <w:t>o</w:t>
            </w:r>
            <w:r>
              <w:rPr>
                <w:color w:val="000000"/>
                <w:lang w:val="en-GB"/>
              </w:rPr>
              <w:t>c.dr</w:t>
            </w:r>
            <w:proofErr w:type="spellEnd"/>
            <w:r w:rsidRPr="00FE22FD">
              <w:rPr>
                <w:color w:val="000000"/>
                <w:lang w:val="en-GB"/>
              </w:rPr>
              <w:t>.</w:t>
            </w:r>
            <w:r w:rsidR="00266025">
              <w:rPr>
                <w:color w:val="000000"/>
                <w:lang w:val="en-GB"/>
              </w:rPr>
              <w:t xml:space="preserve"> Zenun Halili</w:t>
            </w:r>
          </w:p>
          <w:p w14:paraId="553DC8D9" w14:textId="77777777" w:rsidR="00C110C4" w:rsidRDefault="00C110C4" w:rsidP="005469D1">
            <w:pPr>
              <w:pStyle w:val="NoSpacing"/>
              <w:rPr>
                <w:color w:val="000000"/>
                <w:lang w:val="en-GB"/>
              </w:rPr>
            </w:pPr>
            <w:hyperlink r:id="rId4" w:history="1">
              <w:r w:rsidRPr="006C74E5">
                <w:rPr>
                  <w:rStyle w:val="Hyperlink"/>
                  <w:lang w:val="en-GB"/>
                </w:rPr>
                <w:t>Zenun.halili@uni-pr.edu</w:t>
              </w:r>
            </w:hyperlink>
          </w:p>
          <w:p w14:paraId="3E4F1FD9" w14:textId="473FC5B5" w:rsidR="00C110C4" w:rsidRPr="00C110C4" w:rsidRDefault="009E4C24" w:rsidP="005469D1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en-GB"/>
              </w:rPr>
              <w:t xml:space="preserve">Ass. </w:t>
            </w:r>
            <w:r w:rsidR="00BC346D">
              <w:rPr>
                <w:color w:val="000000"/>
                <w:lang w:val="en-GB"/>
              </w:rPr>
              <w:t>Leonora Bajrami</w:t>
            </w:r>
          </w:p>
        </w:tc>
      </w:tr>
      <w:tr w:rsidR="005469D1" w:rsidRPr="00FE22FD" w14:paraId="492580F9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12F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Detajet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kontaktuese</w:t>
            </w:r>
            <w:proofErr w:type="spellEnd"/>
            <w:r w:rsidRPr="00FE22FD">
              <w:rPr>
                <w:b/>
              </w:rPr>
              <w:t xml:space="preserve">: 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012A" w14:textId="77777777" w:rsidR="005469D1" w:rsidRPr="00FE22FD" w:rsidRDefault="00266025" w:rsidP="005469D1">
            <w:pPr>
              <w:pStyle w:val="NoSpacing"/>
              <w:rPr>
                <w:color w:val="000000"/>
                <w:lang w:val="en-GB"/>
              </w:rPr>
            </w:pPr>
            <w:hyperlink r:id="rId5" w:history="1">
              <w:r w:rsidRPr="004C1FC6">
                <w:rPr>
                  <w:rStyle w:val="Hyperlink"/>
                  <w:lang w:val="en-GB"/>
                </w:rPr>
                <w:t>zenun.halili@uni-pr.edu</w:t>
              </w:r>
            </w:hyperlink>
          </w:p>
        </w:tc>
      </w:tr>
      <w:tr w:rsidR="005469D1" w:rsidRPr="00FE22FD" w14:paraId="0CDAF325" w14:textId="77777777" w:rsidTr="005469D1">
        <w:trPr>
          <w:trHeight w:val="210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D1ACB2" w14:textId="77777777" w:rsidR="005469D1" w:rsidRPr="00FE22FD" w:rsidRDefault="005469D1" w:rsidP="005469D1">
            <w:pPr>
              <w:pStyle w:val="NoSpacing"/>
              <w:rPr>
                <w:color w:val="000000"/>
                <w:lang w:val="en-GB"/>
              </w:rPr>
            </w:pPr>
          </w:p>
        </w:tc>
      </w:tr>
      <w:tr w:rsidR="005469D1" w:rsidRPr="00FE22FD" w14:paraId="14BE6E9D" w14:textId="77777777" w:rsidTr="00D47C49">
        <w:trPr>
          <w:trHeight w:val="3455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9B0C" w14:textId="77777777" w:rsidR="005469D1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Përshkrimi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i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lëndës</w:t>
            </w:r>
            <w:proofErr w:type="spellEnd"/>
            <w:r>
              <w:rPr>
                <w:b/>
              </w:rPr>
              <w:t>:</w:t>
            </w:r>
          </w:p>
          <w:p w14:paraId="337EF593" w14:textId="77777777" w:rsidR="005469D1" w:rsidRPr="00FE22FD" w:rsidRDefault="005469D1" w:rsidP="005469D1">
            <w:pPr>
              <w:pStyle w:val="NoSpacing"/>
              <w:rPr>
                <w:b/>
              </w:rPr>
            </w:pPr>
            <w:r>
              <w:rPr>
                <w:b/>
              </w:rPr>
              <w:t>Course de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68E" w14:textId="77777777" w:rsidR="005469D1" w:rsidRDefault="005469D1" w:rsidP="005469D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lang w:val="en-US"/>
              </w:rPr>
            </w:pPr>
            <w:r w:rsidRPr="00754567">
              <w:rPr>
                <w:color w:val="000000"/>
                <w:lang w:val="en-US"/>
              </w:rPr>
              <w:t xml:space="preserve">Kjo lëndë përfshinë funksionet, parimet, teoritë, mjetet konceptuale dhe metodat për të kuptuar rolin e mediave në politikë. Ajo trajton rolin e komunikimeve (të ndërmjetësuar) nga aktorët politikë;  mediave dhe individëve si në mediat tradicionale ashtu edhe në ato dixhitale; rolin e mediave në zhvillimin e opinionit publik; rolin e mediave në imazhe dhe perceptime të figurave dhe politikave publike; përdorimin dhe efektet e saj në zgjedhje dhe si mediat kufizojnë dhe detyrojnë politikën. </w:t>
            </w:r>
          </w:p>
          <w:p w14:paraId="16F6CA5F" w14:textId="77777777" w:rsidR="005469D1" w:rsidRPr="00FE22FD" w:rsidRDefault="005469D1" w:rsidP="005469D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</w:rPr>
            </w:pPr>
            <w:r w:rsidRPr="00754567">
              <w:rPr>
                <w:color w:val="000000"/>
                <w:lang w:val="en-US"/>
              </w:rPr>
              <w:t>Kjo lëndë ofron njohuri krahasuese dhe praktike (të bazuara në raste studimi) në shumëllojshmërinë e studimit të çështjeve bashkëkohore të tilla si diskursi i partive politike, zgjedhjet, ndikimi i mediave sociale, konfliktet ndër-shtetërore dhe ndërshtetërore, ndërtimi i paqes dhe teknologjitë e reja të mediave.</w:t>
            </w:r>
          </w:p>
        </w:tc>
      </w:tr>
      <w:tr w:rsidR="005469D1" w:rsidRPr="00FE22FD" w14:paraId="49592B00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372D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Qëllimet</w:t>
            </w:r>
            <w:proofErr w:type="spellEnd"/>
            <w:r w:rsidRPr="00FE22FD">
              <w:rPr>
                <w:b/>
              </w:rPr>
              <w:t xml:space="preserve"> e </w:t>
            </w:r>
            <w:proofErr w:type="spellStart"/>
            <w:r w:rsidRPr="00FE22FD">
              <w:rPr>
                <w:b/>
              </w:rPr>
              <w:t>lëndës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7C0" w14:textId="77777777" w:rsidR="005469D1" w:rsidRPr="00FE22FD" w:rsidRDefault="005469D1" w:rsidP="005469D1">
            <w:pPr>
              <w:jc w:val="both"/>
              <w:rPr>
                <w:color w:val="000000"/>
              </w:rPr>
            </w:pPr>
            <w:r w:rsidRPr="00754567">
              <w:rPr>
                <w:color w:val="000000"/>
                <w:lang w:val="sq-AL"/>
              </w:rPr>
              <w:t>Qëllimi i kësaj lënde është t'i njohtojë studentët me konceptet dhe çështjet themelore në studimin e marrëdhënies midis mas medias dhe politikës. Në atë aspekt, theks i vecantë do t'i kushtohet zhvillimit të aftësive analitike të studentëve - teknikat e studimit për të analizuar sistematikisht ligjërimin mediatik përmes pjesëmarrjes intensive në klasë, ushtrimeve dhe detyrave, të kombinuara me ekspozimin ndaj rasteve studimore përkatëse. Pjesa metodologjike e kësaj lënde për më tepër do t'i kushtojë rëndësi prezantimit të teknikave të analizës së tekstit</w:t>
            </w:r>
          </w:p>
        </w:tc>
      </w:tr>
      <w:tr w:rsidR="005469D1" w:rsidRPr="00FE22FD" w14:paraId="5DAB4392" w14:textId="77777777" w:rsidTr="00D47C49">
        <w:trPr>
          <w:trHeight w:val="21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834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Rezultatet</w:t>
            </w:r>
            <w:proofErr w:type="spellEnd"/>
            <w:r>
              <w:rPr>
                <w:b/>
              </w:rPr>
              <w:t xml:space="preserve"> e</w:t>
            </w:r>
            <w:r w:rsidRPr="00FE22FD">
              <w:rPr>
                <w:b/>
              </w:rPr>
              <w:t xml:space="preserve"> </w:t>
            </w:r>
            <w:proofErr w:type="spellStart"/>
            <w:r w:rsidRPr="00FE22FD">
              <w:rPr>
                <w:b/>
              </w:rPr>
              <w:t>të</w:t>
            </w:r>
            <w:proofErr w:type="spellEnd"/>
            <w:r w:rsidRPr="00FE22F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nxënit</w:t>
            </w:r>
            <w:proofErr w:type="spellEnd"/>
            <w:r>
              <w:rPr>
                <w:b/>
              </w:rPr>
              <w:t>/Learning outcomes</w:t>
            </w:r>
            <w:r w:rsidRPr="00FE22FD">
              <w:rPr>
                <w:b/>
              </w:rPr>
              <w:t>: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7E7D" w14:textId="77777777" w:rsidR="005469D1" w:rsidRPr="00754567" w:rsidRDefault="005469D1" w:rsidP="005469D1">
            <w:pPr>
              <w:rPr>
                <w:color w:val="000000"/>
              </w:rPr>
            </w:pPr>
            <w:r w:rsidRPr="00754567">
              <w:rPr>
                <w:color w:val="000000"/>
              </w:rPr>
              <w:t>Pas përfundimit të suksesshëm të kësaj lënde, studentët do të jenë në gjendje:</w:t>
            </w:r>
          </w:p>
          <w:p w14:paraId="326E54F5" w14:textId="77777777" w:rsidR="005469D1" w:rsidRPr="00754567" w:rsidRDefault="005469D1" w:rsidP="005469D1">
            <w:pPr>
              <w:rPr>
                <w:color w:val="000000"/>
              </w:rPr>
            </w:pPr>
          </w:p>
          <w:p w14:paraId="4DBE02C9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Të kuptojë konceptet kryesore në studimin e medias dhe politikës</w:t>
            </w:r>
          </w:p>
          <w:p w14:paraId="0D7DB350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Të njohin rolin themelor të mediave në formësimin e perceptimeve të publikut për politikanët, qeverinë dhe strukturën politike;</w:t>
            </w:r>
          </w:p>
          <w:p w14:paraId="2A54B2D2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lastRenderedPageBreak/>
              <w:t>• Aftësi për t'u angazhuar në mënyrë kritike, analitike dhe kompetente me çështje që lidhen me rolin e medias</w:t>
            </w:r>
          </w:p>
          <w:p w14:paraId="0E5CE2F5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Kuptimi i rolit dhe pozitës së institucioneve mediatike në kontekstin më të gjerë të konfliktit socio-politik</w:t>
            </w:r>
          </w:p>
          <w:p w14:paraId="1C7B7B1E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Të kuptojë rëndësinë e internetit dhe mediave sociale në epokën moderne të informacionit dhe efektin e thellë që ajo ka në mbulimin, fushatat dhe privatësinë e mediave;</w:t>
            </w:r>
          </w:p>
          <w:p w14:paraId="482EE485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Aftësia për të lidhur çështje të lidhura me median me çështjet kyçe bashkëkohore në politikë dhe marrëdhëniet ndërkombëtare</w:t>
            </w:r>
          </w:p>
          <w:p w14:paraId="4A01AC1D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Kuptimi i rëndësisë së studimit të mediave dhe konflikteve, në kontekstin më të gjerë të praktikës bashkëkohore politike</w:t>
            </w:r>
          </w:p>
          <w:p w14:paraId="3D34C0A8" w14:textId="77777777" w:rsidR="005469D1" w:rsidRPr="00754567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Vlerësoni pikat e forta dhe të dobëta të burimeve të caktuara mediatike dhe zhvilloni mënyra për të konstatuar vlefshmërinë e informacionit nga burimet mediatike;</w:t>
            </w:r>
          </w:p>
          <w:p w14:paraId="2BCFCAFE" w14:textId="77777777" w:rsidR="005469D1" w:rsidRPr="00FE22FD" w:rsidRDefault="005469D1" w:rsidP="005469D1">
            <w:pPr>
              <w:spacing w:line="276" w:lineRule="auto"/>
              <w:rPr>
                <w:color w:val="000000"/>
              </w:rPr>
            </w:pPr>
            <w:r w:rsidRPr="00754567">
              <w:rPr>
                <w:color w:val="000000"/>
              </w:rPr>
              <w:t>• Identifikon se si figurat politike ndikohen nga media dhe mënyrat se si figurat politike reagojnë, ndikojnë ose madje manipulojnë mbulimin e lajmeve.</w:t>
            </w:r>
          </w:p>
        </w:tc>
      </w:tr>
      <w:tr w:rsidR="005469D1" w:rsidRPr="00FE22FD" w14:paraId="17CC911C" w14:textId="77777777" w:rsidTr="005469D1">
        <w:trPr>
          <w:trHeight w:val="210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4C14F4" w14:textId="77777777" w:rsidR="005469D1" w:rsidRPr="00FE22FD" w:rsidRDefault="005469D1" w:rsidP="005469D1">
            <w:pPr>
              <w:rPr>
                <w:b/>
                <w:color w:val="000000"/>
              </w:rPr>
            </w:pPr>
          </w:p>
        </w:tc>
      </w:tr>
      <w:tr w:rsidR="005469D1" w:rsidRPr="00FE22FD" w14:paraId="7811A8A3" w14:textId="77777777" w:rsidTr="00D47C49">
        <w:trPr>
          <w:trHeight w:val="21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90E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Metodologjia</w:t>
            </w:r>
            <w:proofErr w:type="spellEnd"/>
            <w:r w:rsidRPr="00FE22FD">
              <w:rPr>
                <w:b/>
              </w:rPr>
              <w:t xml:space="preserve"> e </w:t>
            </w:r>
            <w:proofErr w:type="spellStart"/>
            <w:r w:rsidRPr="00FE22FD">
              <w:rPr>
                <w:b/>
              </w:rPr>
              <w:t>mësimëdhënies</w:t>
            </w:r>
            <w:proofErr w:type="spellEnd"/>
            <w:r w:rsidRPr="00FE22FD">
              <w:rPr>
                <w:b/>
              </w:rPr>
              <w:t xml:space="preserve">: 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354F" w14:textId="77777777" w:rsidR="005469D1" w:rsidRDefault="005469D1" w:rsidP="005469D1">
            <w:pPr>
              <w:pStyle w:val="NoSpacing"/>
              <w:jc w:val="both"/>
              <w:rPr>
                <w:color w:val="000000"/>
                <w:lang w:val="sq-AL"/>
              </w:rPr>
            </w:pPr>
            <w:r w:rsidRPr="00E45501">
              <w:rPr>
                <w:color w:val="000000"/>
                <w:lang w:val="sq-AL"/>
              </w:rPr>
              <w:t>Kjo lën</w:t>
            </w:r>
            <w:r>
              <w:rPr>
                <w:color w:val="000000"/>
                <w:lang w:val="sq-AL"/>
              </w:rPr>
              <w:t xml:space="preserve">dë do të organizohet në </w:t>
            </w:r>
            <w:proofErr w:type="spellStart"/>
            <w:r>
              <w:rPr>
                <w:color w:val="000000"/>
                <w:lang w:val="sq-AL"/>
              </w:rPr>
              <w:t>ligjerata</w:t>
            </w:r>
            <w:proofErr w:type="spellEnd"/>
            <w:r w:rsidRPr="00E45501">
              <w:rPr>
                <w:color w:val="000000"/>
                <w:lang w:val="sq-AL"/>
              </w:rPr>
              <w:t xml:space="preserve"> dhe seminare. Studentëve u kërkohet të lexojnë kapitujt / faqet e caktuara, të kalojnë nëpër </w:t>
            </w:r>
            <w:proofErr w:type="spellStart"/>
            <w:r w:rsidRPr="00E45501">
              <w:rPr>
                <w:color w:val="000000"/>
                <w:lang w:val="sq-AL"/>
              </w:rPr>
              <w:t>slajdet</w:t>
            </w:r>
            <w:proofErr w:type="spellEnd"/>
            <w:r w:rsidRPr="00E45501">
              <w:rPr>
                <w:color w:val="000000"/>
                <w:lang w:val="sq-AL"/>
              </w:rPr>
              <w:t>/shënimet e leksioneve, të punojnë në projektin kërkimor dhe të përgatisin prezantimin e caktuar.</w:t>
            </w:r>
          </w:p>
          <w:p w14:paraId="3C02EC85" w14:textId="77777777" w:rsidR="005469D1" w:rsidRPr="00E45501" w:rsidRDefault="005469D1" w:rsidP="005469D1">
            <w:pPr>
              <w:pStyle w:val="NoSpacing"/>
              <w:jc w:val="both"/>
              <w:rPr>
                <w:color w:val="000000"/>
                <w:lang w:val="sq-AL"/>
              </w:rPr>
            </w:pPr>
          </w:p>
          <w:p w14:paraId="57387578" w14:textId="77777777" w:rsidR="005469D1" w:rsidRDefault="005469D1" w:rsidP="005469D1">
            <w:pPr>
              <w:pStyle w:val="NoSpacing"/>
              <w:jc w:val="both"/>
              <w:rPr>
                <w:color w:val="000000"/>
                <w:lang w:val="sq-AL"/>
              </w:rPr>
            </w:pPr>
            <w:r w:rsidRPr="00E45501">
              <w:rPr>
                <w:color w:val="000000"/>
                <w:lang w:val="sq-AL"/>
              </w:rPr>
              <w:t>Vlerësimi do të bëhet kryesish</w:t>
            </w:r>
            <w:r>
              <w:rPr>
                <w:color w:val="000000"/>
                <w:lang w:val="sq-AL"/>
              </w:rPr>
              <w:t xml:space="preserve">t në debate në orët e </w:t>
            </w:r>
            <w:r w:rsidR="00266025">
              <w:rPr>
                <w:color w:val="000000"/>
                <w:lang w:val="sq-AL"/>
              </w:rPr>
              <w:t>ligjëratave</w:t>
            </w:r>
            <w:r w:rsidRPr="00E45501">
              <w:rPr>
                <w:color w:val="000000"/>
                <w:lang w:val="sq-AL"/>
              </w:rPr>
              <w:t xml:space="preserve"> dhe orët e ushtrimeve, punimi</w:t>
            </w:r>
            <w:r>
              <w:rPr>
                <w:color w:val="000000"/>
                <w:lang w:val="sq-AL"/>
              </w:rPr>
              <w:t>n</w:t>
            </w:r>
            <w:r w:rsidRPr="00E45501">
              <w:rPr>
                <w:color w:val="000000"/>
                <w:lang w:val="sq-AL"/>
              </w:rPr>
              <w:t xml:space="preserve"> kërkimor, prezantimi</w:t>
            </w:r>
            <w:r>
              <w:rPr>
                <w:color w:val="000000"/>
                <w:lang w:val="sq-AL"/>
              </w:rPr>
              <w:t>n</w:t>
            </w:r>
            <w:r w:rsidRPr="00E45501">
              <w:rPr>
                <w:color w:val="000000"/>
                <w:lang w:val="sq-AL"/>
              </w:rPr>
              <w:t xml:space="preserve"> si dhe provimi</w:t>
            </w:r>
            <w:r>
              <w:rPr>
                <w:color w:val="000000"/>
                <w:lang w:val="sq-AL"/>
              </w:rPr>
              <w:t>n</w:t>
            </w:r>
            <w:r w:rsidRPr="00E45501">
              <w:rPr>
                <w:color w:val="000000"/>
                <w:lang w:val="sq-AL"/>
              </w:rPr>
              <w:t xml:space="preserve"> afatmesëm dhe përfundimtar. Vëmendje e veçantë do t'i kushtohet vlerësimit të punimeve kërkimore, detyrave javore me shkrim, hartimit të analizave të mediave të shkruara dhe kom</w:t>
            </w:r>
            <w:r w:rsidR="00266025">
              <w:rPr>
                <w:color w:val="000000"/>
                <w:lang w:val="sq-AL"/>
              </w:rPr>
              <w:t xml:space="preserve">entimit të materialeve </w:t>
            </w:r>
            <w:proofErr w:type="spellStart"/>
            <w:r w:rsidR="00266025">
              <w:rPr>
                <w:color w:val="000000"/>
                <w:lang w:val="sq-AL"/>
              </w:rPr>
              <w:t>mediatike</w:t>
            </w:r>
            <w:proofErr w:type="spellEnd"/>
            <w:r w:rsidRPr="00E45501">
              <w:rPr>
                <w:color w:val="000000"/>
                <w:lang w:val="sq-AL"/>
              </w:rPr>
              <w:t xml:space="preserve"> që studentët do të marrin gjatë orëve të leksioneve dhe ushtrimeve.</w:t>
            </w:r>
          </w:p>
          <w:p w14:paraId="2BFF5D8D" w14:textId="77777777" w:rsidR="005469D1" w:rsidRDefault="005469D1" w:rsidP="005469D1">
            <w:pPr>
              <w:pStyle w:val="NoSpacing"/>
              <w:jc w:val="both"/>
              <w:rPr>
                <w:color w:val="000000"/>
                <w:lang w:val="sq-AL"/>
              </w:rPr>
            </w:pPr>
          </w:p>
          <w:p w14:paraId="7EB4C5B5" w14:textId="77777777" w:rsidR="005469D1" w:rsidRPr="00FE22FD" w:rsidRDefault="005469D1" w:rsidP="005469D1">
            <w:pPr>
              <w:pStyle w:val="NoSpacing"/>
              <w:jc w:val="both"/>
              <w:rPr>
                <w:color w:val="000000"/>
                <w:lang w:val="sq-AL"/>
              </w:rPr>
            </w:pPr>
            <w:r w:rsidRPr="00754567">
              <w:rPr>
                <w:color w:val="000000"/>
                <w:lang w:val="sq-AL"/>
              </w:rPr>
              <w:t xml:space="preserve">Redaktorët / gazetarët, analistët, por edhe politikanët e qeverisë dhe partive politike do të ftohen si </w:t>
            </w:r>
            <w:r w:rsidR="00266025" w:rsidRPr="00754567">
              <w:rPr>
                <w:color w:val="000000"/>
                <w:lang w:val="sq-AL"/>
              </w:rPr>
              <w:t>ligjërues</w:t>
            </w:r>
            <w:r w:rsidRPr="00754567">
              <w:rPr>
                <w:color w:val="000000"/>
                <w:lang w:val="sq-AL"/>
              </w:rPr>
              <w:t xml:space="preserve"> mysafirë.</w:t>
            </w:r>
          </w:p>
        </w:tc>
      </w:tr>
      <w:tr w:rsidR="005469D1" w:rsidRPr="00FE22FD" w14:paraId="68A031BF" w14:textId="77777777" w:rsidTr="00D47C49">
        <w:trPr>
          <w:trHeight w:val="21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708" w14:textId="77777777" w:rsidR="005469D1" w:rsidRPr="00FE22FD" w:rsidRDefault="005469D1" w:rsidP="005469D1">
            <w:pPr>
              <w:pStyle w:val="NoSpacing"/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7473" w14:textId="77777777" w:rsidR="005469D1" w:rsidRPr="00FE22FD" w:rsidRDefault="005469D1" w:rsidP="005469D1">
            <w:pPr>
              <w:pStyle w:val="NoSpacing"/>
              <w:rPr>
                <w:i/>
                <w:color w:val="000000"/>
                <w:lang w:val="en-GB"/>
              </w:rPr>
            </w:pPr>
          </w:p>
        </w:tc>
      </w:tr>
      <w:tr w:rsidR="005469D1" w:rsidRPr="00FE22FD" w14:paraId="0FB648C8" w14:textId="77777777" w:rsidTr="00D47C49">
        <w:trPr>
          <w:trHeight w:val="21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61A6" w14:textId="77777777" w:rsidR="005469D1" w:rsidRPr="00FE22FD" w:rsidRDefault="005469D1" w:rsidP="005469D1">
            <w:pPr>
              <w:pStyle w:val="NoSpacing"/>
              <w:rPr>
                <w:b/>
              </w:rPr>
            </w:pPr>
            <w:proofErr w:type="spellStart"/>
            <w:r w:rsidRPr="00FE22FD">
              <w:rPr>
                <w:b/>
              </w:rPr>
              <w:t>Metodat</w:t>
            </w:r>
            <w:proofErr w:type="spellEnd"/>
            <w:r w:rsidRPr="00FE22FD">
              <w:rPr>
                <w:b/>
              </w:rPr>
              <w:t xml:space="preserve"> e </w:t>
            </w:r>
            <w:proofErr w:type="spellStart"/>
            <w:r w:rsidRPr="00FE22FD">
              <w:rPr>
                <w:b/>
              </w:rPr>
              <w:t>vlerësimit</w:t>
            </w:r>
            <w:proofErr w:type="spellEnd"/>
            <w:r w:rsidRPr="00FE22FD">
              <w:rPr>
                <w:b/>
              </w:rPr>
              <w:t>: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0169" w14:textId="77777777" w:rsidR="00266025" w:rsidRDefault="005469D1" w:rsidP="005469D1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Studentët do të vlerësohen në bazë të metodës </w:t>
            </w:r>
            <w:r w:rsidR="00266025">
              <w:rPr>
                <w:color w:val="000000"/>
                <w:lang w:val="sq-AL"/>
              </w:rPr>
              <w:t>së ndërtimit të notës, dhe atë:</w:t>
            </w:r>
          </w:p>
          <w:p w14:paraId="193EE666" w14:textId="77777777" w:rsidR="005469D1" w:rsidRDefault="005469D1" w:rsidP="005469D1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Vijueshmëria:</w:t>
            </w:r>
            <w:r w:rsidRPr="007F1884">
              <w:rPr>
                <w:color w:val="000000"/>
                <w:lang w:val="sq-AL"/>
              </w:rPr>
              <w:tab/>
            </w:r>
            <w:r>
              <w:rPr>
                <w:color w:val="000000"/>
                <w:lang w:val="sq-AL"/>
              </w:rPr>
              <w:t xml:space="preserve">             </w:t>
            </w:r>
            <w:r w:rsidRPr="007F1884">
              <w:rPr>
                <w:color w:val="000000"/>
                <w:lang w:val="sq-AL"/>
              </w:rPr>
              <w:t>10</w:t>
            </w:r>
            <w:r>
              <w:rPr>
                <w:color w:val="000000"/>
                <w:lang w:val="sq-AL"/>
              </w:rPr>
              <w:t xml:space="preserve"> </w:t>
            </w:r>
            <w:r w:rsidRPr="007F1884">
              <w:rPr>
                <w:color w:val="000000"/>
                <w:lang w:val="sq-AL"/>
              </w:rPr>
              <w:t>%</w:t>
            </w:r>
          </w:p>
          <w:p w14:paraId="1D1994F3" w14:textId="77777777" w:rsidR="00266025" w:rsidRPr="007F1884" w:rsidRDefault="00266025" w:rsidP="005469D1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Testi i mesëm               25%</w:t>
            </w:r>
          </w:p>
          <w:p w14:paraId="7973E319" w14:textId="77777777" w:rsidR="005469D1" w:rsidRPr="007F1884" w:rsidRDefault="005469D1" w:rsidP="005469D1">
            <w:pPr>
              <w:rPr>
                <w:color w:val="000000"/>
                <w:lang w:val="sq-AL"/>
              </w:rPr>
            </w:pPr>
            <w:r w:rsidRPr="007F1884">
              <w:rPr>
                <w:color w:val="000000"/>
                <w:lang w:val="sq-AL"/>
              </w:rPr>
              <w:t>Pr</w:t>
            </w:r>
            <w:r>
              <w:rPr>
                <w:color w:val="000000"/>
                <w:lang w:val="sq-AL"/>
              </w:rPr>
              <w:t>ezantimi d</w:t>
            </w:r>
            <w:r w:rsidR="00266025">
              <w:rPr>
                <w:color w:val="000000"/>
                <w:lang w:val="sq-AL"/>
              </w:rPr>
              <w:t>he punimi seminarik: 25</w:t>
            </w:r>
            <w:r>
              <w:rPr>
                <w:color w:val="000000"/>
                <w:lang w:val="sq-AL"/>
              </w:rPr>
              <w:t xml:space="preserve"> </w:t>
            </w:r>
            <w:r w:rsidRPr="007F1884">
              <w:rPr>
                <w:color w:val="000000"/>
                <w:lang w:val="sq-AL"/>
              </w:rPr>
              <w:t>%</w:t>
            </w:r>
          </w:p>
          <w:p w14:paraId="6DDC3874" w14:textId="77777777" w:rsidR="005469D1" w:rsidRDefault="00266025" w:rsidP="005469D1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 xml:space="preserve">Test final:                    40 </w:t>
            </w:r>
            <w:r w:rsidR="005469D1" w:rsidRPr="007F1884">
              <w:rPr>
                <w:color w:val="000000"/>
                <w:lang w:val="sq-AL"/>
              </w:rPr>
              <w:t>%</w:t>
            </w:r>
          </w:p>
          <w:p w14:paraId="346EBC71" w14:textId="77777777" w:rsidR="005469D1" w:rsidRPr="007F1884" w:rsidRDefault="005469D1" w:rsidP="005469D1">
            <w:pPr>
              <w:rPr>
                <w:color w:val="000000"/>
                <w:lang w:val="sq-AL"/>
              </w:rPr>
            </w:pPr>
          </w:p>
          <w:p w14:paraId="17401019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 w:rsidRPr="007F1884">
              <w:rPr>
                <w:color w:val="000000"/>
                <w:lang w:val="sq-AL"/>
              </w:rPr>
              <w:t>Gjithsej</w:t>
            </w:r>
            <w:r w:rsidRPr="007F1884">
              <w:rPr>
                <w:color w:val="000000"/>
                <w:lang w:val="sq-AL"/>
              </w:rPr>
              <w:tab/>
            </w:r>
            <w:r>
              <w:rPr>
                <w:color w:val="000000"/>
                <w:lang w:val="sq-AL"/>
              </w:rPr>
              <w:t xml:space="preserve">             </w:t>
            </w:r>
            <w:r w:rsidRPr="007F1884">
              <w:rPr>
                <w:color w:val="000000"/>
                <w:lang w:val="sq-AL"/>
              </w:rPr>
              <w:t>100%</w:t>
            </w:r>
          </w:p>
        </w:tc>
      </w:tr>
      <w:tr w:rsidR="005469D1" w:rsidRPr="00FE22FD" w14:paraId="6F97B713" w14:textId="77777777" w:rsidTr="005469D1">
        <w:trPr>
          <w:trHeight w:val="210"/>
        </w:trPr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F12CEE3" w14:textId="77777777" w:rsidR="005469D1" w:rsidRPr="00FE22FD" w:rsidRDefault="005469D1" w:rsidP="005469D1">
            <w:pPr>
              <w:pStyle w:val="NoSpacing"/>
              <w:rPr>
                <w:b/>
                <w:color w:val="000000"/>
                <w:lang w:val="en-GB"/>
              </w:rPr>
            </w:pPr>
            <w:r w:rsidRPr="00FE22FD">
              <w:rPr>
                <w:b/>
                <w:color w:val="000000"/>
                <w:lang w:val="en-GB"/>
              </w:rPr>
              <w:t>Literatura</w:t>
            </w:r>
          </w:p>
        </w:tc>
      </w:tr>
      <w:tr w:rsidR="005469D1" w:rsidRPr="00FE22FD" w14:paraId="2B1494AA" w14:textId="77777777" w:rsidTr="00D47C49">
        <w:trPr>
          <w:trHeight w:val="125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4139" w14:textId="77777777" w:rsidR="005469D1" w:rsidRPr="00FE22FD" w:rsidRDefault="005469D1" w:rsidP="005469D1">
            <w:pPr>
              <w:pStyle w:val="NoSpacing"/>
              <w:rPr>
                <w:b/>
                <w:color w:val="000000"/>
                <w:lang w:val="en-GB"/>
              </w:rPr>
            </w:pPr>
            <w:r w:rsidRPr="00FE22FD">
              <w:rPr>
                <w:b/>
                <w:color w:val="000000"/>
                <w:lang w:val="en-GB"/>
              </w:rPr>
              <w:lastRenderedPageBreak/>
              <w:t>Literatura bazë</w:t>
            </w: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225" w14:textId="77777777" w:rsidR="000D4F8C" w:rsidRDefault="000D4F8C" w:rsidP="005469D1">
            <w:pPr>
              <w:jc w:val="both"/>
            </w:pPr>
          </w:p>
          <w:p w14:paraId="4755287F" w14:textId="77777777" w:rsidR="000D4F8C" w:rsidRDefault="000D4F8C" w:rsidP="005469D1">
            <w:pPr>
              <w:jc w:val="both"/>
            </w:pPr>
            <w:r>
              <w:t>Jacques Gerstle &amp; Christophe Piar, Komunikimi Politik (2020) Përkthimin dhe botimin në shqip: Papirus,2021</w:t>
            </w:r>
          </w:p>
          <w:p w14:paraId="28FF6F13" w14:textId="77777777" w:rsidR="000D4F8C" w:rsidRDefault="000D4F8C" w:rsidP="005469D1">
            <w:pPr>
              <w:jc w:val="both"/>
            </w:pPr>
          </w:p>
          <w:p w14:paraId="6A54E4B2" w14:textId="77777777" w:rsidR="005469D1" w:rsidRDefault="004801AC" w:rsidP="005469D1">
            <w:pPr>
              <w:jc w:val="both"/>
            </w:pPr>
            <w:r>
              <w:t>John Street ( 2011) Mass Media, Politics and Democrac</w:t>
            </w:r>
            <w:r>
              <w:rPr>
                <w:lang w:val="en-US"/>
              </w:rPr>
              <w:t xml:space="preserve">y. </w:t>
            </w:r>
            <w:r>
              <w:t>First published in 2011 by PALGRAVE MACMILLAN.</w:t>
            </w:r>
          </w:p>
          <w:p w14:paraId="55D674BA" w14:textId="77777777" w:rsidR="004801AC" w:rsidRDefault="004801AC" w:rsidP="005469D1">
            <w:pPr>
              <w:jc w:val="both"/>
            </w:pPr>
          </w:p>
          <w:p w14:paraId="1F48EB46" w14:textId="77777777" w:rsidR="004801AC" w:rsidRDefault="004801AC" w:rsidP="005469D1">
            <w:pPr>
              <w:jc w:val="both"/>
            </w:pPr>
            <w:r>
              <w:t xml:space="preserve">Francis Balle </w:t>
            </w:r>
            <w:r w:rsidR="0045030D">
              <w:t>–Mediat &amp; Shoqëritë -</w:t>
            </w:r>
            <w:r>
              <w:t xml:space="preserve"> Botimi  i 15: Përkthimin dhe botimin në shqip: Papirus, 2011.</w:t>
            </w:r>
          </w:p>
          <w:p w14:paraId="4B769EE4" w14:textId="77777777" w:rsidR="0045030D" w:rsidRDefault="0045030D" w:rsidP="005469D1">
            <w:pPr>
              <w:jc w:val="both"/>
            </w:pPr>
          </w:p>
          <w:p w14:paraId="20BA6F17" w14:textId="77777777" w:rsidR="004801AC" w:rsidRDefault="004801AC" w:rsidP="005469D1">
            <w:pPr>
              <w:jc w:val="both"/>
            </w:pPr>
            <w:r>
              <w:t xml:space="preserve">Brian McNair- </w:t>
            </w:r>
            <w:r w:rsidR="0045030D">
              <w:t xml:space="preserve">Hyrje në Komunikimin Politik, </w:t>
            </w:r>
            <w:r>
              <w:t>Botimi i 4</w:t>
            </w:r>
            <w:r w:rsidR="0045030D">
              <w:rPr>
                <w:lang w:val="en-US"/>
              </w:rPr>
              <w:t xml:space="preserve">: </w:t>
            </w:r>
            <w:r w:rsidR="0045030D">
              <w:t>Përkthimin dhe botimin në shqip: UET-Press 2009.</w:t>
            </w:r>
          </w:p>
          <w:p w14:paraId="2B448C2A" w14:textId="77777777" w:rsidR="000D4F8C" w:rsidRDefault="000D4F8C" w:rsidP="005469D1">
            <w:pPr>
              <w:jc w:val="both"/>
            </w:pPr>
          </w:p>
          <w:p w14:paraId="7FC1F3AE" w14:textId="77777777" w:rsidR="000D4F8C" w:rsidRDefault="000D4F8C" w:rsidP="005469D1">
            <w:pPr>
              <w:jc w:val="both"/>
            </w:pPr>
            <w:r>
              <w:t>Gianluca Giansante- Komunikimi politik on line ( 2014). Përkthimin dhe botimin në shqip: Zenit Editions 2021.</w:t>
            </w:r>
          </w:p>
          <w:p w14:paraId="4EAE64E7" w14:textId="77777777" w:rsidR="0045030D" w:rsidRPr="0045030D" w:rsidRDefault="0045030D" w:rsidP="005469D1">
            <w:pPr>
              <w:jc w:val="both"/>
              <w:rPr>
                <w:lang w:val="sq-AL"/>
              </w:rPr>
            </w:pPr>
          </w:p>
          <w:p w14:paraId="1361D427" w14:textId="77777777" w:rsidR="004801AC" w:rsidRPr="004801AC" w:rsidRDefault="004801AC" w:rsidP="005469D1">
            <w:pPr>
              <w:jc w:val="both"/>
              <w:rPr>
                <w:color w:val="000000"/>
                <w:lang w:val="en-US"/>
              </w:rPr>
            </w:pPr>
          </w:p>
        </w:tc>
      </w:tr>
      <w:tr w:rsidR="005469D1" w:rsidRPr="00FE22FD" w14:paraId="0772FF2B" w14:textId="77777777" w:rsidTr="00D47C49">
        <w:trPr>
          <w:trHeight w:val="2476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5F3" w14:textId="77777777" w:rsidR="005469D1" w:rsidRPr="00FE22FD" w:rsidRDefault="005469D1" w:rsidP="005469D1">
            <w:pPr>
              <w:rPr>
                <w:color w:val="000000"/>
              </w:rPr>
            </w:pPr>
            <w:r w:rsidRPr="00FE22FD">
              <w:rPr>
                <w:b/>
                <w:color w:val="000000"/>
              </w:rPr>
              <w:t>Literatura plotësuese</w:t>
            </w:r>
          </w:p>
          <w:p w14:paraId="188EDD1A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3BC4EF69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0D215522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52CB9F7D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68B269B5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1F8E22CB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2AD977A6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73CFF418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0BD41FED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63D98D74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2C148A7C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2B118DBE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5B776B91" w14:textId="77777777" w:rsidR="005469D1" w:rsidRPr="00FE22FD" w:rsidRDefault="005469D1" w:rsidP="005469D1">
            <w:pPr>
              <w:rPr>
                <w:color w:val="000000"/>
              </w:rPr>
            </w:pPr>
          </w:p>
          <w:p w14:paraId="0F6686B3" w14:textId="77777777" w:rsidR="005469D1" w:rsidRPr="00FE22FD" w:rsidRDefault="005469D1" w:rsidP="005469D1">
            <w:pPr>
              <w:rPr>
                <w:color w:val="000000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F84" w14:textId="77777777" w:rsidR="005469D1" w:rsidRDefault="005469D1" w:rsidP="005469D1">
            <w:pPr>
              <w:jc w:val="both"/>
            </w:pPr>
            <w:r>
              <w:t>Aalberg, T., Van Aelst, P., &amp; Curran, J. (2010). Media systems and the political information environment: A cross-national comparison. The International Journal of Press/Politics, 15(3), 255-271.</w:t>
            </w:r>
          </w:p>
          <w:p w14:paraId="1A739787" w14:textId="77777777" w:rsidR="005469D1" w:rsidRDefault="005469D1" w:rsidP="005469D1">
            <w:pPr>
              <w:jc w:val="both"/>
            </w:pPr>
          </w:p>
          <w:p w14:paraId="5F88D129" w14:textId="77777777" w:rsidR="005469D1" w:rsidRDefault="005469D1" w:rsidP="005469D1">
            <w:pPr>
              <w:jc w:val="both"/>
            </w:pPr>
            <w:r>
              <w:t>Van Cuilenburg, J., &amp; McQuail, D. (2003). Media policy paradigm shifts towards a new communications policy paradigm. European Journal of Communication, 18(2), 181-207.</w:t>
            </w:r>
          </w:p>
          <w:p w14:paraId="1ECCF7CD" w14:textId="77777777" w:rsidR="005469D1" w:rsidRDefault="005469D1" w:rsidP="005469D1">
            <w:pPr>
              <w:jc w:val="both"/>
            </w:pPr>
            <w:r>
              <w:t xml:space="preserve">Strömbäck, J., &amp; Kaid, L. L. (Eds.). (2009). The handbook of election news coverage around the world. Routledge. </w:t>
            </w:r>
          </w:p>
          <w:p w14:paraId="384B2826" w14:textId="77777777" w:rsidR="005469D1" w:rsidRDefault="005469D1" w:rsidP="005469D1">
            <w:pPr>
              <w:jc w:val="both"/>
            </w:pPr>
          </w:p>
          <w:p w14:paraId="365007E2" w14:textId="77777777" w:rsidR="005469D1" w:rsidRDefault="005469D1" w:rsidP="005469D1">
            <w:pPr>
              <w:jc w:val="both"/>
            </w:pPr>
            <w:r>
              <w:t>Lecheler, S., &amp; de Vreese, C. H. (2017). News Media, Knowledge, and Political Interest: Evidence of a dual role from a field experiment. Journal of Communication, 67(4), 545-564.</w:t>
            </w:r>
          </w:p>
          <w:p w14:paraId="374B26EB" w14:textId="77777777" w:rsidR="005469D1" w:rsidRDefault="005469D1" w:rsidP="005469D1">
            <w:pPr>
              <w:jc w:val="both"/>
            </w:pPr>
          </w:p>
          <w:p w14:paraId="5920D997" w14:textId="77777777" w:rsidR="005469D1" w:rsidRDefault="005469D1" w:rsidP="005469D1">
            <w:pPr>
              <w:jc w:val="both"/>
            </w:pPr>
            <w:r>
              <w:t>Strömbäck, J., Falasca, K., &amp; Kruikemeier, S. (2018). The mix of media use matters: Investigating the effects of individual news repertoires on offline and online political participation. Political Communication, 35(3), 413-432.</w:t>
            </w:r>
          </w:p>
          <w:p w14:paraId="5C4855FD" w14:textId="77777777" w:rsidR="005469D1" w:rsidRDefault="005469D1" w:rsidP="005469D1">
            <w:pPr>
              <w:jc w:val="both"/>
            </w:pPr>
          </w:p>
          <w:p w14:paraId="5E17A679" w14:textId="77777777" w:rsidR="005469D1" w:rsidRDefault="005469D1" w:rsidP="005469D1">
            <w:pPr>
              <w:jc w:val="both"/>
            </w:pPr>
            <w:r>
              <w:t>Bennett, W. L., &amp; Iyengar, S. (2008). A new era of minimal effects? The changing foundations of political communication. Journal of Communication, 58(4), 707-731.</w:t>
            </w:r>
          </w:p>
          <w:p w14:paraId="4C5A4872" w14:textId="77777777" w:rsidR="005469D1" w:rsidRDefault="005469D1" w:rsidP="005469D1">
            <w:pPr>
              <w:jc w:val="both"/>
            </w:pPr>
          </w:p>
          <w:p w14:paraId="3E9A2B1C" w14:textId="77777777" w:rsidR="005469D1" w:rsidRDefault="005469D1" w:rsidP="005469D1">
            <w:pPr>
              <w:jc w:val="both"/>
            </w:pPr>
            <w:r>
              <w:t>Davis, A. (2009). New Media and Fat Democracy: The paradox of online participation. New media &amp; society. vol. 12, no. 5, pp. 745-761.</w:t>
            </w:r>
          </w:p>
          <w:p w14:paraId="3B74A804" w14:textId="77777777" w:rsidR="005469D1" w:rsidRDefault="005469D1" w:rsidP="005469D1">
            <w:pPr>
              <w:jc w:val="both"/>
            </w:pPr>
          </w:p>
          <w:p w14:paraId="055E68F0" w14:textId="77777777" w:rsidR="005469D1" w:rsidRDefault="005469D1" w:rsidP="005469D1">
            <w:pPr>
              <w:jc w:val="both"/>
            </w:pPr>
            <w:r>
              <w:t>Nelson, T. E., Clawson, R. A., &amp; Oxley, Z. M. (1997). Media framing of a civil liberties conflict and its effect on tolerance. American Political Science Review, 91(03), 567-583.</w:t>
            </w:r>
          </w:p>
          <w:p w14:paraId="11EC7D9B" w14:textId="77777777" w:rsidR="005469D1" w:rsidRDefault="005469D1" w:rsidP="005469D1">
            <w:pPr>
              <w:jc w:val="both"/>
            </w:pPr>
          </w:p>
          <w:p w14:paraId="389B628D" w14:textId="77777777" w:rsidR="005469D1" w:rsidRDefault="005469D1" w:rsidP="005469D1">
            <w:pPr>
              <w:jc w:val="both"/>
            </w:pPr>
            <w:r>
              <w:lastRenderedPageBreak/>
              <w:t>Langer, A. I., &amp; Sagarzazu, I. (2018). Bring Back the Party: personalisation, themedia and coalition politics. West European Politics, 41(2), 472-495.</w:t>
            </w:r>
          </w:p>
          <w:p w14:paraId="3C207A63" w14:textId="77777777" w:rsidR="005469D1" w:rsidRDefault="005469D1" w:rsidP="005469D1">
            <w:pPr>
              <w:jc w:val="both"/>
            </w:pPr>
          </w:p>
          <w:p w14:paraId="45040686" w14:textId="77777777" w:rsidR="005469D1" w:rsidRDefault="005469D1" w:rsidP="005469D1">
            <w:pPr>
              <w:jc w:val="both"/>
            </w:pPr>
            <w:r>
              <w:t xml:space="preserve">Banducci, S. A., &amp; Karp, J. A. (2003). How elections change the way citizens view the political system: campaigns, media effects and electoral outcomes in comparative perspective. British </w:t>
            </w:r>
          </w:p>
          <w:p w14:paraId="467B255C" w14:textId="77777777" w:rsidR="005469D1" w:rsidRDefault="005469D1" w:rsidP="005469D1">
            <w:pPr>
              <w:jc w:val="both"/>
            </w:pPr>
            <w:r>
              <w:t>Journal of Political Science, 33(03), 443-467.</w:t>
            </w:r>
          </w:p>
          <w:p w14:paraId="7D551CB9" w14:textId="77777777" w:rsidR="005469D1" w:rsidRDefault="005469D1" w:rsidP="005469D1">
            <w:pPr>
              <w:jc w:val="both"/>
            </w:pPr>
          </w:p>
          <w:p w14:paraId="453BF166" w14:textId="77777777" w:rsidR="005469D1" w:rsidRDefault="005469D1" w:rsidP="005469D1">
            <w:pPr>
              <w:jc w:val="both"/>
            </w:pPr>
            <w:r>
              <w:t>Strömbäck, J., &amp; Van Aelst, P. (2013). Why political parties adapt to the media. Exploring the fourth dimension of mediatization. International Communication Gazette, 75(4), 341-358.</w:t>
            </w:r>
          </w:p>
          <w:p w14:paraId="27A8AA33" w14:textId="77777777" w:rsidR="005469D1" w:rsidRDefault="005469D1" w:rsidP="005469D1">
            <w:pPr>
              <w:jc w:val="both"/>
            </w:pPr>
          </w:p>
          <w:p w14:paraId="0C963FB2" w14:textId="77777777" w:rsidR="005469D1" w:rsidRDefault="005469D1" w:rsidP="005469D1">
            <w:pPr>
              <w:jc w:val="both"/>
            </w:pPr>
            <w:r>
              <w:t>Rooduijn, M. (2014). The Mesmerising Message: The diffusion of populism in public debates in Western European Media. Political Studies, 62(4), 726-744.</w:t>
            </w:r>
          </w:p>
          <w:p w14:paraId="7B1648FB" w14:textId="77777777" w:rsidR="005469D1" w:rsidRDefault="005469D1" w:rsidP="005469D1">
            <w:pPr>
              <w:jc w:val="both"/>
            </w:pPr>
          </w:p>
          <w:p w14:paraId="20FAC3AA" w14:textId="77777777" w:rsidR="005469D1" w:rsidRDefault="005469D1" w:rsidP="005469D1">
            <w:pPr>
              <w:jc w:val="both"/>
            </w:pPr>
            <w:r>
              <w:t>Baum, M. A., &amp; Potter, P. B. (2008). The relationships between mass media, public opinion, and foreign policy: Toward a theoretical synthesis. Annu. Rev. Polit. Sci., 11, 39-65.</w:t>
            </w:r>
          </w:p>
          <w:p w14:paraId="4F311B9C" w14:textId="77777777" w:rsidR="005469D1" w:rsidRDefault="005469D1" w:rsidP="005469D1">
            <w:pPr>
              <w:jc w:val="both"/>
            </w:pPr>
          </w:p>
          <w:p w14:paraId="29FD1B1F" w14:textId="77777777" w:rsidR="00437699" w:rsidRDefault="005469D1" w:rsidP="005469D1">
            <w:pPr>
              <w:jc w:val="both"/>
            </w:pPr>
            <w:r>
              <w:t xml:space="preserve">Archetti, C. (2008). News coverage of 9/11 and the demise of the media </w:t>
            </w:r>
          </w:p>
          <w:p w14:paraId="6E0639DE" w14:textId="77777777" w:rsidR="00437699" w:rsidRDefault="00437699" w:rsidP="005469D1">
            <w:pPr>
              <w:jc w:val="both"/>
            </w:pPr>
          </w:p>
          <w:p w14:paraId="7FE6F008" w14:textId="77777777" w:rsidR="00437699" w:rsidRDefault="00437699" w:rsidP="005469D1">
            <w:pPr>
              <w:jc w:val="both"/>
            </w:pPr>
          </w:p>
          <w:p w14:paraId="599362CF" w14:textId="77777777" w:rsidR="00437699" w:rsidRDefault="00437699" w:rsidP="005469D1">
            <w:pPr>
              <w:jc w:val="both"/>
            </w:pPr>
          </w:p>
          <w:p w14:paraId="06427B71" w14:textId="77777777" w:rsidR="005469D1" w:rsidRDefault="005469D1" w:rsidP="005469D1">
            <w:pPr>
              <w:jc w:val="both"/>
            </w:pPr>
            <w:r>
              <w:t>flows, globalization and localization hypotheses. International Communication Gazette, 70(6), 463-485.</w:t>
            </w:r>
          </w:p>
          <w:p w14:paraId="3F86422B" w14:textId="77777777" w:rsidR="005469D1" w:rsidRDefault="005469D1" w:rsidP="005469D1">
            <w:pPr>
              <w:jc w:val="both"/>
            </w:pPr>
          </w:p>
          <w:p w14:paraId="1CA5343B" w14:textId="77777777" w:rsidR="005469D1" w:rsidRDefault="005469D1" w:rsidP="005469D1">
            <w:pPr>
              <w:jc w:val="both"/>
            </w:pPr>
            <w:r>
              <w:t>Plattner, M. F. (2012). Media and Democracy: The Long View. Journal of Democracy, 23(4), 62-73.</w:t>
            </w:r>
          </w:p>
          <w:p w14:paraId="08D16F4A" w14:textId="77777777" w:rsidR="005469D1" w:rsidRDefault="005469D1" w:rsidP="005469D1">
            <w:pPr>
              <w:jc w:val="both"/>
            </w:pPr>
          </w:p>
          <w:p w14:paraId="65A711AB" w14:textId="77777777" w:rsidR="005469D1" w:rsidRDefault="005469D1" w:rsidP="005469D1">
            <w:pPr>
              <w:jc w:val="both"/>
            </w:pPr>
            <w:r>
              <w:t>Castells, M. (2008). The New Public Sphere: Global civil society, communication networks, and global governance. The Annals of the American Academy of Political and Social Science, 616(1), 78-93.</w:t>
            </w:r>
          </w:p>
          <w:p w14:paraId="555DB844" w14:textId="77777777" w:rsidR="005469D1" w:rsidRPr="00901130" w:rsidRDefault="005469D1" w:rsidP="005469D1">
            <w:pPr>
              <w:jc w:val="both"/>
            </w:pPr>
          </w:p>
        </w:tc>
      </w:tr>
    </w:tbl>
    <w:p w14:paraId="61B3CEC4" w14:textId="77777777" w:rsidR="00C93E86" w:rsidRPr="00FE22FD" w:rsidRDefault="00FC0295" w:rsidP="005469D1">
      <w:pPr>
        <w:rPr>
          <w:color w:val="000000"/>
        </w:rPr>
      </w:pPr>
      <w:r>
        <w:rPr>
          <w:color w:val="000000"/>
        </w:rPr>
        <w:lastRenderedPageBreak/>
        <w:t xml:space="preserve">                          </w:t>
      </w:r>
    </w:p>
    <w:tbl>
      <w:tblPr>
        <w:tblpPr w:leftFromText="180" w:rightFromText="180" w:vertAnchor="text" w:horzAnchor="margin" w:tblpX="-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9"/>
        <w:gridCol w:w="7331"/>
      </w:tblGrid>
      <w:tr w:rsidR="005469D1" w:rsidRPr="00FE22FD" w14:paraId="64D8EDC5" w14:textId="77777777" w:rsidTr="00C93E86">
        <w:trPr>
          <w:trHeight w:val="8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100D3E" w14:textId="77777777" w:rsidR="005469D1" w:rsidRPr="00FE22FD" w:rsidRDefault="005469D1" w:rsidP="005469D1">
            <w:pPr>
              <w:jc w:val="center"/>
              <w:rPr>
                <w:b/>
                <w:color w:val="000000"/>
                <w:lang w:val="sq-AL"/>
              </w:rPr>
            </w:pPr>
          </w:p>
        </w:tc>
      </w:tr>
      <w:tr w:rsidR="005469D1" w:rsidRPr="00FE22FD" w14:paraId="0F340233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268E22" w14:textId="77777777" w:rsidR="005469D1" w:rsidRDefault="005469D1" w:rsidP="005469D1">
            <w:pPr>
              <w:rPr>
                <w:b/>
                <w:color w:val="000000"/>
                <w:lang w:val="sq-AL"/>
              </w:rPr>
            </w:pPr>
          </w:p>
          <w:p w14:paraId="6F2799F2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>Jav</w:t>
            </w:r>
            <w:r w:rsidRPr="000302EF">
              <w:rPr>
                <w:b/>
                <w:color w:val="000000"/>
                <w:lang w:val="sq-AL"/>
              </w:rPr>
              <w:t>ë</w:t>
            </w:r>
            <w:r w:rsidRPr="00FE22FD">
              <w:rPr>
                <w:b/>
                <w:color w:val="000000"/>
                <w:lang w:val="sq-AL"/>
              </w:rPr>
              <w:t>t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49D2D2" w14:textId="77777777" w:rsidR="005469D1" w:rsidRDefault="005469D1" w:rsidP="005469D1">
            <w:pPr>
              <w:rPr>
                <w:b/>
              </w:rPr>
            </w:pPr>
          </w:p>
          <w:p w14:paraId="7429B081" w14:textId="77777777" w:rsidR="005469D1" w:rsidRDefault="005469D1" w:rsidP="005469D1">
            <w:pPr>
              <w:rPr>
                <w:b/>
              </w:rPr>
            </w:pPr>
            <w:r w:rsidRPr="00FE22FD">
              <w:rPr>
                <w:b/>
              </w:rPr>
              <w:t xml:space="preserve">Ligjerata </w:t>
            </w:r>
          </w:p>
          <w:p w14:paraId="7E654C7B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</w:p>
        </w:tc>
      </w:tr>
      <w:tr w:rsidR="005469D1" w:rsidRPr="00FE22FD" w14:paraId="577DDC67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736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t xml:space="preserve">Parë: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94A8" w14:textId="77777777" w:rsidR="005469D1" w:rsidRPr="00FE22FD" w:rsidRDefault="005469D1" w:rsidP="005469D1">
            <w:pPr>
              <w:rPr>
                <w:color w:val="000000"/>
              </w:rPr>
            </w:pPr>
            <w:r>
              <w:rPr>
                <w:color w:val="000000"/>
              </w:rPr>
              <w:t>Prezentimi i lënës</w:t>
            </w:r>
          </w:p>
        </w:tc>
      </w:tr>
      <w:tr w:rsidR="005469D1" w:rsidRPr="00FE22FD" w14:paraId="7FAEB966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406D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t>Dytë: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360" w14:textId="77777777" w:rsidR="005469D1" w:rsidRPr="00FE22FD" w:rsidRDefault="00661C59" w:rsidP="005469D1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Mediat si aktorë politikë- </w:t>
            </w:r>
            <w:r w:rsidR="00296A5E">
              <w:rPr>
                <w:color w:val="000000"/>
              </w:rPr>
              <w:t>R</w:t>
            </w:r>
            <w:r w:rsidR="000D4F8C">
              <w:rPr>
                <w:color w:val="000000"/>
              </w:rPr>
              <w:t>oli i mediave në ndërmjetësimin e agjendave politike</w:t>
            </w:r>
            <w:r w:rsidR="00FB1ECF">
              <w:rPr>
                <w:color w:val="000000"/>
              </w:rPr>
              <w:t>, efektet e komunikimit politik.</w:t>
            </w:r>
          </w:p>
        </w:tc>
      </w:tr>
      <w:tr w:rsidR="005469D1" w:rsidRPr="00FE22FD" w14:paraId="09F9FC8B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8419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t>Tretë:</w:t>
            </w:r>
            <w:r w:rsidRPr="00FE22FD">
              <w:rPr>
                <w:b/>
                <w:color w:val="000000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B1A2" w14:textId="77777777" w:rsidR="005469D1" w:rsidRPr="00FE22FD" w:rsidRDefault="00296A5E" w:rsidP="005469D1">
            <w:pPr>
              <w:rPr>
                <w:color w:val="000000"/>
              </w:rPr>
            </w:pPr>
            <w:r>
              <w:rPr>
                <w:color w:val="000000"/>
              </w:rPr>
              <w:t>Politika, demokracia dhe media</w:t>
            </w:r>
          </w:p>
          <w:p w14:paraId="06C68C1E" w14:textId="77777777" w:rsidR="005469D1" w:rsidRPr="00FE22FD" w:rsidRDefault="005469D1" w:rsidP="005469D1">
            <w:pPr>
              <w:rPr>
                <w:color w:val="000000"/>
              </w:rPr>
            </w:pPr>
            <w:r w:rsidRPr="00FE22FD">
              <w:rPr>
                <w:color w:val="000000"/>
              </w:rPr>
              <w:t xml:space="preserve"> </w:t>
            </w:r>
          </w:p>
        </w:tc>
      </w:tr>
      <w:tr w:rsidR="005469D1" w:rsidRPr="00FE22FD" w14:paraId="2B77F338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2953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t>Katërt:</w:t>
            </w:r>
            <w:r w:rsidRPr="00FE22FD">
              <w:rPr>
                <w:b/>
                <w:color w:val="000000"/>
              </w:rPr>
              <w:t xml:space="preserve"> 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4445" w14:textId="77777777" w:rsidR="005469D1" w:rsidRPr="00FE22FD" w:rsidRDefault="00B8515B" w:rsidP="00B85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Praktika e komunikimit dhe pozicionet e pushtetit</w:t>
            </w:r>
            <w:r w:rsidR="00FC0295">
              <w:rPr>
                <w:color w:val="000000"/>
              </w:rPr>
              <w:t xml:space="preserve">                        </w:t>
            </w:r>
          </w:p>
        </w:tc>
      </w:tr>
      <w:tr w:rsidR="005469D1" w:rsidRPr="00FE22FD" w14:paraId="5B81CADC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7141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t>Pestë:</w:t>
            </w:r>
            <w:r w:rsidRPr="00FE22FD">
              <w:rPr>
                <w:b/>
                <w:color w:val="000000"/>
              </w:rPr>
              <w:t xml:space="preserve"> 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9026" w14:textId="77777777" w:rsidR="005469D1" w:rsidRPr="00FE22FD" w:rsidRDefault="002521E2" w:rsidP="005469D1">
            <w:pPr>
              <w:rPr>
                <w:color w:val="000000"/>
              </w:rPr>
            </w:pPr>
            <w:r>
              <w:rPr>
                <w:color w:val="000000"/>
              </w:rPr>
              <w:t>Komunikimi, informacioni dhe ushtrimi i pushtetit</w:t>
            </w:r>
          </w:p>
        </w:tc>
      </w:tr>
      <w:tr w:rsidR="005469D1" w:rsidRPr="00FE22FD" w14:paraId="75884066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796" w14:textId="77777777" w:rsidR="005469D1" w:rsidRPr="00FE22FD" w:rsidRDefault="005469D1" w:rsidP="005469D1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</w:rPr>
              <w:lastRenderedPageBreak/>
              <w:t xml:space="preserve">Gjashtë: </w:t>
            </w:r>
            <w:r w:rsidRPr="00FE22FD">
              <w:rPr>
                <w:b/>
                <w:color w:val="000000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2AEB" w14:textId="77777777" w:rsidR="005469D1" w:rsidRPr="00FE22FD" w:rsidRDefault="002521E2" w:rsidP="005469D1">
            <w:pPr>
              <w:rPr>
                <w:color w:val="000000"/>
              </w:rPr>
            </w:pPr>
            <w:r>
              <w:rPr>
                <w:color w:val="000000"/>
              </w:rPr>
              <w:t>Kontrolli shtetëror dhe propaganda shtetërore</w:t>
            </w:r>
            <w:r w:rsidR="00B80206">
              <w:rPr>
                <w:color w:val="000000"/>
              </w:rPr>
              <w:t>. Krahasimi i sistemeve mediatike.</w:t>
            </w:r>
          </w:p>
        </w:tc>
      </w:tr>
      <w:tr w:rsidR="005469D1" w:rsidRPr="00FE22FD" w14:paraId="048B48A3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0C1" w14:textId="77777777" w:rsidR="005469D1" w:rsidRPr="00FE22FD" w:rsidRDefault="005469D1" w:rsidP="005469D1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 xml:space="preserve">Shtatë: </w:t>
            </w:r>
            <w:r w:rsidRPr="00FE22FD">
              <w:rPr>
                <w:b/>
                <w:color w:val="000000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DCA" w14:textId="77777777" w:rsidR="005469D1" w:rsidRPr="00FE22FD" w:rsidRDefault="00C110C4" w:rsidP="005469D1">
            <w:pPr>
              <w:rPr>
                <w:color w:val="000000"/>
              </w:rPr>
            </w:pPr>
            <w:r>
              <w:rPr>
                <w:color w:val="000000"/>
              </w:rPr>
              <w:t>Mediat</w:t>
            </w:r>
            <w:r w:rsidR="009717E2">
              <w:rPr>
                <w:color w:val="000000"/>
              </w:rPr>
              <w:t>izimi i jetës politike, komunikimi politik partiak dhe reklama.</w:t>
            </w:r>
          </w:p>
        </w:tc>
      </w:tr>
      <w:tr w:rsidR="005469D1" w:rsidRPr="00FE22FD" w14:paraId="00D4620C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380E" w14:textId="77777777" w:rsidR="005469D1" w:rsidRPr="00FE22FD" w:rsidRDefault="005469D1" w:rsidP="005469D1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 xml:space="preserve">Tetë: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CB0" w14:textId="77777777" w:rsidR="005469D1" w:rsidRPr="00FE22FD" w:rsidRDefault="005469D1" w:rsidP="005469D1">
            <w:pPr>
              <w:rPr>
                <w:color w:val="000000"/>
              </w:rPr>
            </w:pPr>
            <w:r>
              <w:rPr>
                <w:color w:val="000000"/>
              </w:rPr>
              <w:t>Testi i mesëm</w:t>
            </w:r>
          </w:p>
          <w:p w14:paraId="06157920" w14:textId="77777777" w:rsidR="005469D1" w:rsidRPr="00FE22FD" w:rsidRDefault="005469D1" w:rsidP="005469D1">
            <w:pPr>
              <w:rPr>
                <w:color w:val="000000"/>
              </w:rPr>
            </w:pPr>
          </w:p>
        </w:tc>
      </w:tr>
      <w:tr w:rsidR="005469D1" w:rsidRPr="00FE22FD" w14:paraId="239E5AC8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1A48" w14:textId="77777777" w:rsidR="005469D1" w:rsidRPr="00FE22FD" w:rsidRDefault="005469D1" w:rsidP="005469D1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Nëntë: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37A4" w14:textId="77777777" w:rsidR="005469D1" w:rsidRPr="00FE22FD" w:rsidRDefault="009717E2" w:rsidP="005469D1">
            <w:pPr>
              <w:rPr>
                <w:color w:val="000000"/>
              </w:rPr>
            </w:pPr>
            <w:r>
              <w:rPr>
                <w:color w:val="000000"/>
              </w:rPr>
              <w:t>Kontrolli i Konglomeratit</w:t>
            </w:r>
            <w:r w:rsidR="00C93E86">
              <w:rPr>
                <w:color w:val="000000"/>
              </w:rPr>
              <w:t>- Përandoritë mediatike, pronësia dhe kontrolli.</w:t>
            </w:r>
          </w:p>
        </w:tc>
      </w:tr>
      <w:tr w:rsidR="005469D1" w:rsidRPr="00FE22FD" w14:paraId="05C8D8CA" w14:textId="77777777" w:rsidTr="00C160E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7A15" w14:textId="77777777" w:rsidR="005469D1" w:rsidRPr="00FE22FD" w:rsidRDefault="005469D1" w:rsidP="005469D1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3FC9" w14:textId="77777777" w:rsidR="005469D1" w:rsidRPr="00FE22FD" w:rsidRDefault="00C93E86" w:rsidP="005469D1">
            <w:pPr>
              <w:rPr>
                <w:color w:val="000000"/>
              </w:rPr>
            </w:pPr>
            <w:r>
              <w:rPr>
                <w:color w:val="000000"/>
              </w:rPr>
              <w:t>Mediat, individi dhe shoqëria</w:t>
            </w:r>
          </w:p>
        </w:tc>
      </w:tr>
      <w:tr w:rsidR="00C160E7" w:rsidRPr="00FE22FD" w14:paraId="5DF88E95" w14:textId="77777777" w:rsidTr="00292CE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7DE6" w14:textId="77777777" w:rsidR="00C160E7" w:rsidRPr="00FE22FD" w:rsidRDefault="00C160E7" w:rsidP="00292CE3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Njëmbëdhjetë: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317" w14:textId="77777777" w:rsidR="00C160E7" w:rsidRPr="00FE22FD" w:rsidRDefault="00FB1ECF" w:rsidP="00292CE3">
            <w:pPr>
              <w:rPr>
                <w:color w:val="000000"/>
              </w:rPr>
            </w:pPr>
            <w:r>
              <w:rPr>
                <w:color w:val="000000"/>
              </w:rPr>
              <w:t>Digjitalizimi i komunikimit politik dhe pasojat reale të tij</w:t>
            </w:r>
          </w:p>
        </w:tc>
      </w:tr>
      <w:tr w:rsidR="00C160E7" w:rsidRPr="00FE22FD" w14:paraId="420C7A66" w14:textId="77777777" w:rsidTr="00292CE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D32E" w14:textId="77777777" w:rsidR="00C160E7" w:rsidRPr="00FE22FD" w:rsidRDefault="00C160E7" w:rsidP="00292CE3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Dymbëdhjetë: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5883" w14:textId="77777777" w:rsidR="00C160E7" w:rsidRPr="00FE22FD" w:rsidRDefault="00FB1ECF" w:rsidP="00292CE3">
            <w:pPr>
              <w:rPr>
                <w:color w:val="000000"/>
              </w:rPr>
            </w:pPr>
            <w:r>
              <w:rPr>
                <w:color w:val="000000"/>
              </w:rPr>
              <w:t>Komunikimi politik ndërkombëtar- Media në kohë lufte</w:t>
            </w:r>
          </w:p>
        </w:tc>
      </w:tr>
      <w:tr w:rsidR="00C160E7" w:rsidRPr="00FE22FD" w14:paraId="58FC8FC1" w14:textId="77777777" w:rsidTr="00292CE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689A" w14:textId="77777777" w:rsidR="00C160E7" w:rsidRPr="00FE22FD" w:rsidRDefault="00C160E7" w:rsidP="00292CE3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Trembëdhjetë: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C13" w14:textId="77777777" w:rsidR="00C160E7" w:rsidRPr="00FE22FD" w:rsidRDefault="00661C59" w:rsidP="00292CE3">
            <w:pPr>
              <w:rPr>
                <w:color w:val="000000"/>
              </w:rPr>
            </w:pPr>
            <w:r>
              <w:rPr>
                <w:color w:val="000000"/>
              </w:rPr>
              <w:t>Mediat dhe Globalizmi</w:t>
            </w:r>
          </w:p>
        </w:tc>
      </w:tr>
      <w:tr w:rsidR="00661C59" w:rsidRPr="00FE22FD" w14:paraId="1A1C1CD6" w14:textId="77777777" w:rsidTr="00292CE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CA8F" w14:textId="77777777" w:rsidR="00661C59" w:rsidRPr="00FE22FD" w:rsidRDefault="00661C59" w:rsidP="00292CE3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Katërmbëdhjetë: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BBEC" w14:textId="77777777" w:rsidR="00661C59" w:rsidRPr="00FE22FD" w:rsidRDefault="00661C59" w:rsidP="00292CE3">
            <w:pPr>
              <w:rPr>
                <w:color w:val="000000"/>
              </w:rPr>
            </w:pPr>
            <w:r>
              <w:rPr>
                <w:color w:val="000000"/>
              </w:rPr>
              <w:t>Përsëritje, këshilla</w:t>
            </w:r>
            <w:r w:rsidR="00A73AB7">
              <w:rPr>
                <w:color w:val="000000"/>
              </w:rPr>
              <w:t>, sygjerime/rekomandime të përbashkëta</w:t>
            </w:r>
          </w:p>
        </w:tc>
      </w:tr>
      <w:tr w:rsidR="00661C59" w:rsidRPr="00FE22FD" w14:paraId="59451A1C" w14:textId="77777777" w:rsidTr="00292CE3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F7E3" w14:textId="77777777" w:rsidR="00661C59" w:rsidRPr="00FE22FD" w:rsidRDefault="00661C59" w:rsidP="00292CE3">
            <w:pPr>
              <w:rPr>
                <w:b/>
                <w:i/>
                <w:color w:val="000000"/>
                <w:lang w:val="sq-AL"/>
              </w:rPr>
            </w:pPr>
            <w:r>
              <w:rPr>
                <w:b/>
                <w:color w:val="000000"/>
              </w:rPr>
              <w:t>Pesëmbëdhjetë: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781" w14:textId="77777777" w:rsidR="00661C59" w:rsidRPr="00FE22FD" w:rsidRDefault="00A73AB7" w:rsidP="00292CE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Përfundimi i Kursit</w:t>
            </w:r>
          </w:p>
        </w:tc>
      </w:tr>
    </w:tbl>
    <w:p w14:paraId="4B0793BD" w14:textId="77777777" w:rsidR="00C160E7" w:rsidRDefault="00C160E7" w:rsidP="00C160E7"/>
    <w:p w14:paraId="7CBBA541" w14:textId="77777777" w:rsidR="00CD4D88" w:rsidRDefault="00CD4D88"/>
    <w:sectPr w:rsidR="00CD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D1"/>
    <w:rsid w:val="000D4F8C"/>
    <w:rsid w:val="002521E2"/>
    <w:rsid w:val="00266025"/>
    <w:rsid w:val="00296A5E"/>
    <w:rsid w:val="00437699"/>
    <w:rsid w:val="0045030D"/>
    <w:rsid w:val="004801AC"/>
    <w:rsid w:val="005469D1"/>
    <w:rsid w:val="00661C59"/>
    <w:rsid w:val="008149C5"/>
    <w:rsid w:val="008C78F2"/>
    <w:rsid w:val="009717E2"/>
    <w:rsid w:val="009E4C24"/>
    <w:rsid w:val="00A73AB7"/>
    <w:rsid w:val="00B80206"/>
    <w:rsid w:val="00B8515B"/>
    <w:rsid w:val="00BC346D"/>
    <w:rsid w:val="00C110C4"/>
    <w:rsid w:val="00C160E7"/>
    <w:rsid w:val="00C93E86"/>
    <w:rsid w:val="00CD4D88"/>
    <w:rsid w:val="00D47C49"/>
    <w:rsid w:val="00DD354A"/>
    <w:rsid w:val="00FB1ECF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3D06"/>
  <w15:chartTrackingRefBased/>
  <w15:docId w15:val="{52A73BE3-7928-4BF2-8047-FB6D34D8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D1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69D1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5469D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24"/>
    <w:rPr>
      <w:rFonts w:ascii="Segoe UI" w:eastAsia="MS Mincho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nun.halili@uni-pr.edu" TargetMode="External"/><Relationship Id="rId4" Type="http://schemas.openxmlformats.org/officeDocument/2006/relationships/hyperlink" Target="mailto:Zenun.halil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Filozofiku</dc:creator>
  <cp:keywords/>
  <dc:description/>
  <cp:lastModifiedBy>Zenun Halili</cp:lastModifiedBy>
  <cp:revision>19</cp:revision>
  <cp:lastPrinted>2024-09-19T07:45:00Z</cp:lastPrinted>
  <dcterms:created xsi:type="dcterms:W3CDTF">2023-10-04T09:21:00Z</dcterms:created>
  <dcterms:modified xsi:type="dcterms:W3CDTF">2024-11-18T14:18:00Z</dcterms:modified>
</cp:coreProperties>
</file>