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68" w:rsidRDefault="006C09F6" w:rsidP="006C09F6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:rsidR="006C09F6" w:rsidRDefault="006C09F6" w:rsidP="006C09F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Calibri"/>
          <w:noProof/>
        </w:rPr>
        <w:drawing>
          <wp:inline distT="0" distB="0" distL="0" distR="0">
            <wp:extent cx="1047750" cy="98107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9F6" w:rsidRDefault="006C09F6" w:rsidP="00A9190B">
      <w:pPr>
        <w:rPr>
          <w:rFonts w:ascii="Arial Narrow" w:hAnsi="Arial Narrow"/>
          <w:b/>
          <w:sz w:val="22"/>
          <w:szCs w:val="22"/>
        </w:rPr>
      </w:pPr>
    </w:p>
    <w:p w:rsidR="006C09F6" w:rsidRPr="00383E09" w:rsidRDefault="006C09F6" w:rsidP="006C09F6">
      <w:pPr>
        <w:jc w:val="center"/>
        <w:rPr>
          <w:rFonts w:ascii="Arial Narrow" w:hAnsi="Arial Narrow" w:cs="Calibri"/>
          <w:lang w:val="sq-AL"/>
        </w:rPr>
      </w:pPr>
      <w:r w:rsidRPr="00383E09">
        <w:rPr>
          <w:rFonts w:ascii="Arial Narrow" w:hAnsi="Arial Narrow" w:cs="Calibri"/>
          <w:lang w:val="sq-AL"/>
        </w:rPr>
        <w:t xml:space="preserve">SYLLABUS: </w:t>
      </w:r>
    </w:p>
    <w:p w:rsidR="006C09F6" w:rsidRPr="00383E09" w:rsidRDefault="006C09F6" w:rsidP="00383E09">
      <w:pPr>
        <w:jc w:val="center"/>
        <w:rPr>
          <w:rFonts w:ascii="Arial Narrow" w:hAnsi="Arial Narrow" w:cs="Calibri"/>
          <w:b/>
          <w:lang w:val="sq-AL"/>
        </w:rPr>
      </w:pPr>
      <w:r w:rsidRPr="00383E09">
        <w:rPr>
          <w:rFonts w:ascii="Arial Narrow" w:hAnsi="Arial Narrow" w:cs="Calibri"/>
          <w:b/>
          <w:lang w:val="sq-AL"/>
        </w:rPr>
        <w:t>Politikat e Bashkimit Evropian</w:t>
      </w:r>
    </w:p>
    <w:p w:rsidR="00A9190B" w:rsidRPr="00976A68" w:rsidRDefault="00A9190B" w:rsidP="00A9190B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5239"/>
      </w:tblGrid>
      <w:tr w:rsidR="00A9190B" w:rsidRPr="00976A68" w:rsidTr="00036F19">
        <w:tc>
          <w:tcPr>
            <w:tcW w:w="8856" w:type="dxa"/>
            <w:gridSpan w:val="2"/>
            <w:shd w:val="clear" w:color="auto" w:fill="D9D9D9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Të dhëna bazike të lëndës</w:t>
            </w: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Njësia akademike: </w:t>
            </w:r>
          </w:p>
        </w:tc>
        <w:tc>
          <w:tcPr>
            <w:tcW w:w="5239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Fakulteti Filozofik</w:t>
            </w: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Titulli i lëndës:</w:t>
            </w:r>
          </w:p>
        </w:tc>
        <w:tc>
          <w:tcPr>
            <w:tcW w:w="5239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Politikat e Bashkimit Evropian</w:t>
            </w: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976A68">
              <w:rPr>
                <w:rFonts w:ascii="Arial Narrow" w:hAnsi="Arial Narrow"/>
                <w:sz w:val="22"/>
                <w:szCs w:val="22"/>
              </w:rPr>
              <w:t>Niveli:</w:t>
            </w:r>
          </w:p>
        </w:tc>
        <w:tc>
          <w:tcPr>
            <w:tcW w:w="5239" w:type="dxa"/>
          </w:tcPr>
          <w:p w:rsidR="00A9190B" w:rsidRPr="006C09F6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6C09F6">
              <w:rPr>
                <w:rFonts w:ascii="Arial Narrow" w:hAnsi="Arial Narrow"/>
                <w:b/>
                <w:sz w:val="22"/>
                <w:szCs w:val="22"/>
              </w:rPr>
              <w:t>B.A.</w:t>
            </w: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Statusi lëndës:</w:t>
            </w:r>
          </w:p>
        </w:tc>
        <w:tc>
          <w:tcPr>
            <w:tcW w:w="5239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Zgjedhore</w:t>
            </w: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Viti i studimeve:</w:t>
            </w:r>
          </w:p>
        </w:tc>
        <w:tc>
          <w:tcPr>
            <w:tcW w:w="5239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Numri i orëve në javë:</w:t>
            </w:r>
          </w:p>
        </w:tc>
        <w:tc>
          <w:tcPr>
            <w:tcW w:w="5239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A9574E" w:rsidRPr="00976A68">
              <w:rPr>
                <w:rFonts w:ascii="Arial Narrow" w:hAnsi="Arial Narrow"/>
                <w:b/>
                <w:sz w:val="22"/>
                <w:szCs w:val="22"/>
              </w:rPr>
              <w:t>+2</w:t>
            </w: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Vlera në kredi – ECTS:</w:t>
            </w:r>
          </w:p>
        </w:tc>
        <w:tc>
          <w:tcPr>
            <w:tcW w:w="5239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Koha / lokacioni:</w:t>
            </w:r>
          </w:p>
        </w:tc>
        <w:tc>
          <w:tcPr>
            <w:tcW w:w="5239" w:type="dxa"/>
          </w:tcPr>
          <w:p w:rsidR="00A9190B" w:rsidRPr="00976A68" w:rsidRDefault="00B956BC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 Merkure  10:00-11:3</w:t>
            </w:r>
            <w:r w:rsidR="00A9190B" w:rsidRPr="00976A68">
              <w:rPr>
                <w:rFonts w:ascii="Arial Narrow" w:hAnsi="Arial Narrow"/>
                <w:b/>
                <w:sz w:val="22"/>
                <w:szCs w:val="22"/>
              </w:rPr>
              <w:t>0- Salla# 202</w:t>
            </w:r>
            <w:r>
              <w:rPr>
                <w:rFonts w:ascii="Arial Narrow" w:hAnsi="Arial Narrow"/>
                <w:b/>
                <w:sz w:val="22"/>
                <w:szCs w:val="22"/>
              </w:rPr>
              <w:t>- ose on line</w:t>
            </w: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Mësimëdhënësi i lëndës:</w:t>
            </w:r>
          </w:p>
        </w:tc>
        <w:tc>
          <w:tcPr>
            <w:tcW w:w="5239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Prof.Dr. Zenun Halili</w:t>
            </w: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Detajet kontaktuese: </w:t>
            </w:r>
          </w:p>
        </w:tc>
        <w:tc>
          <w:tcPr>
            <w:tcW w:w="5239" w:type="dxa"/>
          </w:tcPr>
          <w:p w:rsidR="00A9190B" w:rsidRPr="00976A68" w:rsidRDefault="00430378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hyperlink r:id="rId8" w:history="1">
              <w:r w:rsidR="00A9190B" w:rsidRPr="00976A68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Zenun.halili@uni-pr.edu</w:t>
              </w:r>
            </w:hyperlink>
          </w:p>
          <w:p w:rsidR="00A9190B" w:rsidRPr="00976A68" w:rsidRDefault="00D27BF0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Asistent: Dr.sc</w:t>
            </w:r>
            <w:r w:rsidR="00F51DD3">
              <w:rPr>
                <w:rFonts w:ascii="Arial Narrow" w:hAnsi="Arial Narrow"/>
                <w:b/>
                <w:sz w:val="22"/>
                <w:szCs w:val="22"/>
              </w:rPr>
              <w:t>.Jehona Lushaku</w:t>
            </w:r>
          </w:p>
          <w:p w:rsidR="00A9190B" w:rsidRPr="00976A68" w:rsidRDefault="00430378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hyperlink r:id="rId9" w:history="1">
              <w:r w:rsidR="00F51DD3" w:rsidRPr="000A4DB9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Jehona.lushaku@uni-pr.edu</w:t>
              </w:r>
            </w:hyperlink>
            <w:r w:rsidR="00A9190B" w:rsidRPr="00976A6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9190B" w:rsidRPr="00976A68" w:rsidTr="00036F19">
        <w:tc>
          <w:tcPr>
            <w:tcW w:w="8856" w:type="dxa"/>
            <w:gridSpan w:val="2"/>
            <w:shd w:val="clear" w:color="auto" w:fill="D9D9D9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190B" w:rsidRPr="00976A68" w:rsidTr="007D7F9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Përshkrimi i lëndës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A9190B" w:rsidRPr="00976A68" w:rsidRDefault="00816049" w:rsidP="00217997">
            <w:pPr>
              <w:pStyle w:val="NoSpacing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6A68">
              <w:rPr>
                <w:rFonts w:ascii="Arial Narrow" w:hAnsi="Arial Narrow"/>
                <w:sz w:val="22"/>
                <w:szCs w:val="22"/>
                <w:lang w:val="sq-AL"/>
              </w:rPr>
              <w:t>Bashkimi Evropian (BE) është një organizatë e pazakontë politike që ka fascinuar studiuesit dhe studentët me arritjet dhe k</w:t>
            </w:r>
            <w:r w:rsidR="006C09F6">
              <w:rPr>
                <w:rFonts w:ascii="Arial Narrow" w:hAnsi="Arial Narrow"/>
                <w:sz w:val="22"/>
                <w:szCs w:val="22"/>
                <w:lang w:val="sq-AL"/>
              </w:rPr>
              <w:t xml:space="preserve">rizat e tij  që nga themelimi </w:t>
            </w:r>
            <w:r w:rsidRPr="00976A68">
              <w:rPr>
                <w:rFonts w:ascii="Arial Narrow" w:hAnsi="Arial Narrow"/>
                <w:sz w:val="22"/>
                <w:szCs w:val="22"/>
                <w:lang w:val="sq-AL"/>
              </w:rPr>
              <w:t>menjëherë pas Luftës së Dytë Botërore. BE</w:t>
            </w:r>
            <w:r w:rsidR="00A9574E" w:rsidRPr="00976A68">
              <w:rPr>
                <w:rFonts w:ascii="Arial Narrow" w:hAnsi="Arial Narrow"/>
                <w:sz w:val="22"/>
                <w:szCs w:val="22"/>
                <w:lang w:val="sq-AL"/>
              </w:rPr>
              <w:t xml:space="preserve">-ja </w:t>
            </w:r>
            <w:r w:rsidRPr="00976A68">
              <w:rPr>
                <w:rFonts w:ascii="Arial Narrow" w:hAnsi="Arial Narrow"/>
                <w:sz w:val="22"/>
                <w:szCs w:val="22"/>
                <w:lang w:val="sq-AL"/>
              </w:rPr>
              <w:t xml:space="preserve"> është  e njohur për krijimin e një prej tregjeve më të mëdha në botë me afër 500 milionë konsumatorë dhe për krijimin e euros, një monedhë e fuqishme ndërkombëtare. Por, përveç këtyre arritjeve ekonomike, BE-ja gjithashtu është bërë një aktor i rëndësishëm në fusha të tjera, si mbrojtja e mjedisit dhe diplomacia ndërkombëtare.</w:t>
            </w:r>
            <w:r w:rsidR="00976A68">
              <w:rPr>
                <w:rFonts w:ascii="Arial Narrow" w:hAnsi="Arial Narrow"/>
                <w:sz w:val="22"/>
                <w:szCs w:val="22"/>
                <w:lang w:val="sq-AL"/>
              </w:rPr>
              <w:t xml:space="preserve"> </w:t>
            </w:r>
            <w:r w:rsidR="00217997" w:rsidRPr="00976A68">
              <w:rPr>
                <w:rFonts w:ascii="Arial Narrow" w:hAnsi="Arial Narrow"/>
                <w:sz w:val="22"/>
                <w:szCs w:val="22"/>
              </w:rPr>
              <w:t xml:space="preserve">Ky kurs synon </w:t>
            </w:r>
            <w:r w:rsidR="005322E8" w:rsidRPr="00976A68">
              <w:rPr>
                <w:rFonts w:ascii="Arial Narrow" w:hAnsi="Arial Narrow"/>
                <w:sz w:val="22"/>
                <w:szCs w:val="22"/>
              </w:rPr>
              <w:t>të</w:t>
            </w:r>
            <w:r w:rsidR="00217997" w:rsidRPr="00976A68">
              <w:rPr>
                <w:rFonts w:ascii="Arial Narrow" w:hAnsi="Arial Narrow"/>
                <w:sz w:val="22"/>
                <w:szCs w:val="22"/>
              </w:rPr>
              <w:t xml:space="preserve"> shtjelloj jo </w:t>
            </w:r>
            <w:r w:rsidR="005322E8" w:rsidRPr="00976A68">
              <w:rPr>
                <w:rFonts w:ascii="Arial Narrow" w:hAnsi="Arial Narrow"/>
                <w:sz w:val="22"/>
                <w:szCs w:val="22"/>
              </w:rPr>
              <w:t>vetëm funksionimin institucional të Unionit Evr</w:t>
            </w:r>
            <w:r w:rsidR="00217997" w:rsidRPr="00976A68">
              <w:rPr>
                <w:rFonts w:ascii="Arial Narrow" w:hAnsi="Arial Narrow"/>
                <w:sz w:val="22"/>
                <w:szCs w:val="22"/>
              </w:rPr>
              <w:t xml:space="preserve">opian, </w:t>
            </w:r>
            <w:r w:rsidR="00A9574E" w:rsidRPr="00976A68">
              <w:rPr>
                <w:rFonts w:ascii="Arial Narrow" w:hAnsi="Arial Narrow"/>
                <w:sz w:val="22"/>
                <w:szCs w:val="22"/>
              </w:rPr>
              <w:t xml:space="preserve">por  funksionimin e politikave të Unionit </w:t>
            </w:r>
            <w:r w:rsidR="00217997" w:rsidRPr="00976A68">
              <w:rPr>
                <w:rFonts w:ascii="Arial Narrow" w:hAnsi="Arial Narrow"/>
                <w:sz w:val="22"/>
                <w:szCs w:val="22"/>
              </w:rPr>
              <w:t>si</w:t>
            </w:r>
            <w:r w:rsidR="00A9574E" w:rsidRPr="00976A68">
              <w:rPr>
                <w:rFonts w:ascii="Arial Narrow" w:hAnsi="Arial Narrow"/>
                <w:sz w:val="22"/>
                <w:szCs w:val="22"/>
              </w:rPr>
              <w:t xml:space="preserve">ç janë </w:t>
            </w:r>
            <w:r w:rsidR="00217997" w:rsidRPr="00976A68">
              <w:rPr>
                <w:rFonts w:ascii="Arial Narrow" w:hAnsi="Arial Narrow"/>
                <w:sz w:val="22"/>
                <w:szCs w:val="22"/>
              </w:rPr>
              <w:t xml:space="preserve">: Politikat Bujqësore dhe </w:t>
            </w:r>
            <w:r w:rsidR="00A9574E" w:rsidRPr="00976A68">
              <w:rPr>
                <w:rFonts w:ascii="Arial Narrow" w:hAnsi="Arial Narrow"/>
                <w:sz w:val="22"/>
                <w:szCs w:val="22"/>
              </w:rPr>
              <w:t>k</w:t>
            </w:r>
            <w:r w:rsidR="00217997" w:rsidRPr="00976A68">
              <w:rPr>
                <w:rFonts w:ascii="Arial Narrow" w:hAnsi="Arial Narrow"/>
                <w:sz w:val="22"/>
                <w:szCs w:val="22"/>
              </w:rPr>
              <w:t>o</w:t>
            </w:r>
            <w:r w:rsidR="00A9574E" w:rsidRPr="00976A68">
              <w:rPr>
                <w:rFonts w:ascii="Arial Narrow" w:hAnsi="Arial Narrow"/>
                <w:sz w:val="22"/>
                <w:szCs w:val="22"/>
              </w:rPr>
              <w:t>hezioni, Integrimi e</w:t>
            </w:r>
            <w:r w:rsidR="00217997" w:rsidRPr="00976A68">
              <w:rPr>
                <w:rFonts w:ascii="Arial Narrow" w:hAnsi="Arial Narrow"/>
                <w:sz w:val="22"/>
                <w:szCs w:val="22"/>
              </w:rPr>
              <w:t>konomik, politikat sociale e mjedisore, politikat që kanë të bëjnë me tregun e brendshëm e monedhën evropiane e deri të politika e përbashkët dhe e jashtme e sigurisë.</w:t>
            </w: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Qëllimet e lëndës:</w:t>
            </w:r>
          </w:p>
        </w:tc>
        <w:tc>
          <w:tcPr>
            <w:tcW w:w="5239" w:type="dxa"/>
          </w:tcPr>
          <w:p w:rsidR="00A9190B" w:rsidRPr="00976A68" w:rsidRDefault="00A9574E" w:rsidP="00976A68">
            <w:pPr>
              <w:jc w:val="both"/>
              <w:rPr>
                <w:rFonts w:ascii="Arial Narrow" w:hAnsi="Arial Narrow" w:cs="Arial"/>
              </w:rPr>
            </w:pPr>
            <w:r w:rsidRPr="00976A68">
              <w:rPr>
                <w:rFonts w:ascii="Arial Narrow" w:hAnsi="Arial Narrow" w:cs="Arial"/>
                <w:sz w:val="22"/>
                <w:szCs w:val="22"/>
              </w:rPr>
              <w:t xml:space="preserve">Ky kurs ka për qëllim që studentëve t’u ofrojë </w:t>
            </w:r>
            <w:r w:rsidR="007D7F99" w:rsidRPr="00976A68">
              <w:rPr>
                <w:rFonts w:ascii="Arial Narrow" w:hAnsi="Arial Narrow" w:cs="Arial"/>
                <w:sz w:val="22"/>
                <w:szCs w:val="22"/>
              </w:rPr>
              <w:t>njohuritë e nevojshme mbi kronologjinë historike dhe zhvillimore të Bashkimit Evropian. Pas për</w:t>
            </w:r>
            <w:r w:rsidR="00976A68">
              <w:rPr>
                <w:rFonts w:ascii="Arial Narrow" w:hAnsi="Arial Narrow" w:cs="Arial"/>
                <w:sz w:val="22"/>
                <w:szCs w:val="22"/>
              </w:rPr>
              <w:t>fundimit të këtij kursi studentë</w:t>
            </w:r>
            <w:r w:rsidR="007D7F99" w:rsidRPr="00976A68">
              <w:rPr>
                <w:rFonts w:ascii="Arial Narrow" w:hAnsi="Arial Narrow" w:cs="Arial"/>
                <w:sz w:val="22"/>
                <w:szCs w:val="22"/>
              </w:rPr>
              <w:t xml:space="preserve">t do të aftësohen dhe do të kuptojnë strukturën specifike institucionale të Unionit Evropian që përbën një bashkëdyzim institucionesh të karakterit ndërqeveritar, komunitar dhe supranacional, si </w:t>
            </w:r>
            <w:r w:rsidR="00976A68">
              <w:rPr>
                <w:rFonts w:ascii="Arial Narrow" w:hAnsi="Arial Narrow" w:cs="Arial"/>
                <w:sz w:val="22"/>
                <w:szCs w:val="22"/>
              </w:rPr>
              <w:t xml:space="preserve"> dhe </w:t>
            </w:r>
            <w:r w:rsidR="007D7F99" w:rsidRPr="00976A68">
              <w:rPr>
                <w:rFonts w:ascii="Arial Narrow" w:hAnsi="Arial Narrow" w:cs="Arial"/>
                <w:sz w:val="22"/>
                <w:szCs w:val="22"/>
              </w:rPr>
              <w:t>funksionimin dhe implementimin e Politikave të U</w:t>
            </w:r>
            <w:r w:rsidR="00976A68" w:rsidRPr="00976A68">
              <w:rPr>
                <w:rFonts w:ascii="Arial Narrow" w:hAnsi="Arial Narrow" w:cs="Arial"/>
                <w:sz w:val="22"/>
                <w:szCs w:val="22"/>
              </w:rPr>
              <w:t>nionit Evropian</w:t>
            </w:r>
          </w:p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880F93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Rezultatet e pritura:</w:t>
            </w:r>
          </w:p>
        </w:tc>
        <w:tc>
          <w:tcPr>
            <w:tcW w:w="5239" w:type="dxa"/>
          </w:tcPr>
          <w:p w:rsidR="00A9190B" w:rsidRPr="003D42E0" w:rsidRDefault="00976A68" w:rsidP="00036F19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3D42E0">
              <w:rPr>
                <w:rFonts w:ascii="Arial Narrow" w:hAnsi="Arial Narrow"/>
                <w:sz w:val="22"/>
                <w:szCs w:val="22"/>
              </w:rPr>
              <w:t>Pas ndjekje</w:t>
            </w:r>
            <w:r w:rsidR="003D42E0" w:rsidRPr="003D42E0">
              <w:rPr>
                <w:rFonts w:ascii="Arial Narrow" w:hAnsi="Arial Narrow"/>
                <w:sz w:val="22"/>
                <w:szCs w:val="22"/>
              </w:rPr>
              <w:t>s se këtij kursi studentet do të jenë në gjendje të</w:t>
            </w:r>
            <w:r w:rsidRPr="003D42E0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3D42E0" w:rsidRPr="003D42E0" w:rsidRDefault="003D42E0" w:rsidP="003D42E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3D42E0">
              <w:rPr>
                <w:rFonts w:ascii="Arial Narrow" w:hAnsi="Arial Narrow"/>
                <w:sz w:val="22"/>
                <w:szCs w:val="22"/>
              </w:rPr>
              <w:t>Kuptojnë historikun dhe zhvillimin e Unionit  Evropian</w:t>
            </w:r>
          </w:p>
          <w:p w:rsidR="003D42E0" w:rsidRDefault="003D42E0" w:rsidP="003D42E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3D42E0">
              <w:rPr>
                <w:rFonts w:ascii="Arial Narrow" w:hAnsi="Arial Narrow"/>
                <w:sz w:val="22"/>
                <w:szCs w:val="22"/>
              </w:rPr>
              <w:t>Hartimin, financimin dhe implementimin e politikave të Unionit Evropian</w:t>
            </w:r>
          </w:p>
          <w:p w:rsidR="003D42E0" w:rsidRPr="003D42E0" w:rsidRDefault="003D42E0" w:rsidP="003D42E0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Të bëjnë hulumtime të avancuara dhe analiza për Politikat e Unionit Evropian.</w:t>
            </w:r>
          </w:p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Metodologjia e mësimëdhënies:  </w:t>
            </w:r>
          </w:p>
        </w:tc>
        <w:tc>
          <w:tcPr>
            <w:tcW w:w="5239" w:type="dxa"/>
          </w:tcPr>
          <w:p w:rsidR="00A174AC" w:rsidRPr="00A174AC" w:rsidRDefault="00880F93" w:rsidP="00A174AC">
            <w:pPr>
              <w:rPr>
                <w:rFonts w:ascii="Arial Narrow" w:hAnsi="Arial Narrow"/>
              </w:rPr>
            </w:pPr>
            <w:r w:rsidRPr="00316FC1">
              <w:rPr>
                <w:rFonts w:ascii="Arial Narrow" w:hAnsi="Arial Narrow" w:cs="Calibri"/>
                <w:sz w:val="22"/>
                <w:szCs w:val="22"/>
                <w:lang w:val="sq-AL"/>
              </w:rPr>
              <w:t>Kursi</w:t>
            </w:r>
            <w:r w:rsidR="00A174AC">
              <w:rPr>
                <w:rFonts w:ascii="Arial Narrow" w:hAnsi="Arial Narrow" w:cs="Calibri"/>
                <w:sz w:val="22"/>
                <w:szCs w:val="22"/>
                <w:lang w:val="sq-AL"/>
              </w:rPr>
              <w:t xml:space="preserve"> është i ndarë në dy pjesë në ligjërata dhe ushtrime.  Ligjeratat do</w:t>
            </w:r>
            <w:r w:rsidRPr="00316FC1">
              <w:rPr>
                <w:rFonts w:ascii="Arial Narrow" w:hAnsi="Arial Narrow" w:cs="Calibri"/>
                <w:sz w:val="22"/>
                <w:szCs w:val="22"/>
                <w:lang w:val="sq-AL"/>
              </w:rPr>
              <w:t xml:space="preserve"> </w:t>
            </w:r>
            <w:r w:rsidR="00A174AC">
              <w:rPr>
                <w:rFonts w:ascii="Arial Narrow" w:hAnsi="Arial Narrow" w:cs="Calibri"/>
                <w:sz w:val="22"/>
                <w:szCs w:val="22"/>
                <w:lang w:val="sq-AL"/>
              </w:rPr>
              <w:t xml:space="preserve">të zhvillohen në mënyrë </w:t>
            </w:r>
            <w:r w:rsidRPr="00316FC1">
              <w:rPr>
                <w:rFonts w:ascii="Arial Narrow" w:hAnsi="Arial Narrow" w:cs="Calibri"/>
                <w:sz w:val="22"/>
                <w:szCs w:val="22"/>
                <w:lang w:val="sq-AL"/>
              </w:rPr>
              <w:t xml:space="preserve"> interaktive ku studentët do të kenë mundësi dhe hapësirë të duhur për t’u kyçur dhe për të shprehur mendimet e veta</w:t>
            </w:r>
            <w:r>
              <w:rPr>
                <w:rFonts w:ascii="Arial Narrow" w:hAnsi="Arial Narrow" w:cs="Calibri"/>
                <w:sz w:val="22"/>
                <w:szCs w:val="22"/>
                <w:lang w:val="sq-AL"/>
              </w:rPr>
              <w:t>.</w:t>
            </w:r>
            <w:r w:rsidR="00A174AC">
              <w:rPr>
                <w:rFonts w:ascii="Arial Narrow" w:hAnsi="Arial Narrow" w:cs="Calibri"/>
                <w:sz w:val="22"/>
                <w:szCs w:val="22"/>
                <w:lang w:val="sq-AL"/>
              </w:rPr>
              <w:t xml:space="preserve"> </w:t>
            </w:r>
            <w:r w:rsidR="00A174AC" w:rsidRPr="00A174AC">
              <w:rPr>
                <w:rFonts w:ascii="Arial Narrow" w:hAnsi="Arial Narrow"/>
                <w:sz w:val="22"/>
                <w:szCs w:val="22"/>
              </w:rPr>
              <w:t>Orët e ushtrimeve do</w:t>
            </w:r>
            <w:r w:rsidR="006C09F6">
              <w:rPr>
                <w:rFonts w:ascii="Arial Narrow" w:hAnsi="Arial Narrow"/>
                <w:sz w:val="22"/>
                <w:szCs w:val="22"/>
              </w:rPr>
              <w:t xml:space="preserve"> të</w:t>
            </w:r>
            <w:r w:rsidR="00A174AC" w:rsidRPr="00A174AC">
              <w:rPr>
                <w:rFonts w:ascii="Arial Narrow" w:hAnsi="Arial Narrow"/>
                <w:sz w:val="22"/>
                <w:szCs w:val="22"/>
              </w:rPr>
              <w:t xml:space="preserve"> thellojnë njohuritë nga ligjërata paraprak</w:t>
            </w:r>
            <w:r w:rsidR="006C09F6">
              <w:rPr>
                <w:rFonts w:ascii="Arial Narrow" w:hAnsi="Arial Narrow"/>
                <w:sz w:val="22"/>
                <w:szCs w:val="22"/>
              </w:rPr>
              <w:t>e, por kërkohet nga studentët që të</w:t>
            </w:r>
            <w:r w:rsidR="00A174AC" w:rsidRPr="00A174AC">
              <w:rPr>
                <w:rFonts w:ascii="Arial Narrow" w:hAnsi="Arial Narrow"/>
                <w:sz w:val="22"/>
                <w:szCs w:val="22"/>
              </w:rPr>
              <w:t xml:space="preserve"> hedhin një</w:t>
            </w:r>
            <w:r w:rsidR="00A174A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C09F6">
              <w:rPr>
                <w:rFonts w:ascii="Arial Narrow" w:hAnsi="Arial Narrow"/>
                <w:sz w:val="22"/>
                <w:szCs w:val="22"/>
              </w:rPr>
              <w:t>hap me shumë në</w:t>
            </w:r>
            <w:r w:rsidR="00A174AC" w:rsidRPr="00A174AC">
              <w:rPr>
                <w:rFonts w:ascii="Arial Narrow" w:hAnsi="Arial Narrow"/>
                <w:sz w:val="22"/>
                <w:szCs w:val="22"/>
              </w:rPr>
              <w:t xml:space="preserve"> diskut</w:t>
            </w:r>
            <w:r w:rsidR="006C09F6">
              <w:rPr>
                <w:rFonts w:ascii="Arial Narrow" w:hAnsi="Arial Narrow"/>
                <w:sz w:val="22"/>
                <w:szCs w:val="22"/>
              </w:rPr>
              <w:t>imin akademik rreth çështjeve të</w:t>
            </w:r>
            <w:r w:rsidR="00A174AC" w:rsidRPr="00A174AC">
              <w:rPr>
                <w:rFonts w:ascii="Arial Narrow" w:hAnsi="Arial Narrow"/>
                <w:sz w:val="22"/>
                <w:szCs w:val="22"/>
              </w:rPr>
              <w:t xml:space="preserve"> ndryshme, duke sjellë argumente nga materialet e lexuara. </w:t>
            </w:r>
          </w:p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239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Metodat e vlerësimit:</w:t>
            </w:r>
          </w:p>
        </w:tc>
        <w:tc>
          <w:tcPr>
            <w:tcW w:w="5239" w:type="dxa"/>
          </w:tcPr>
          <w:p w:rsidR="00A174AC" w:rsidRPr="003F365B" w:rsidRDefault="003F365B" w:rsidP="00A174AC">
            <w:pPr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30 %Testi i Mesëm </w:t>
            </w:r>
          </w:p>
          <w:p w:rsidR="00A174AC" w:rsidRPr="00A174AC" w:rsidRDefault="003F365B" w:rsidP="00A174A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A174AC" w:rsidRPr="00A174AC">
              <w:rPr>
                <w:rFonts w:ascii="Arial Narrow" w:hAnsi="Arial Narrow"/>
                <w:sz w:val="22"/>
                <w:szCs w:val="22"/>
              </w:rPr>
              <w:t>0% Seminari</w:t>
            </w:r>
            <w:r>
              <w:rPr>
                <w:rFonts w:ascii="Arial Narrow" w:hAnsi="Arial Narrow"/>
                <w:sz w:val="22"/>
                <w:szCs w:val="22"/>
              </w:rPr>
              <w:t xml:space="preserve">, hulumtimet dhe prezantimet </w:t>
            </w:r>
          </w:p>
          <w:p w:rsidR="00A174AC" w:rsidRPr="00A174AC" w:rsidRDefault="00A174AC" w:rsidP="00A174AC">
            <w:pPr>
              <w:rPr>
                <w:rFonts w:ascii="Arial Narrow" w:hAnsi="Arial Narrow"/>
              </w:rPr>
            </w:pPr>
            <w:r w:rsidRPr="00A174AC">
              <w:rPr>
                <w:rFonts w:ascii="Arial Narrow" w:hAnsi="Arial Narrow"/>
                <w:sz w:val="22"/>
                <w:szCs w:val="22"/>
              </w:rPr>
              <w:t>50% Provimi final</w:t>
            </w:r>
          </w:p>
          <w:p w:rsidR="00A9190B" w:rsidRPr="00A174AC" w:rsidRDefault="00A9190B" w:rsidP="00036F19">
            <w:pPr>
              <w:pStyle w:val="NoSpacing"/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A174AC" w:rsidRPr="00521CE4" w:rsidRDefault="00A174AC" w:rsidP="003F36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90</w:t>
            </w:r>
            <w:r w:rsidR="00383E09">
              <w:rPr>
                <w:rFonts w:ascii="Arial Narrow" w:hAnsi="Arial Narrow"/>
                <w:sz w:val="22"/>
                <w:szCs w:val="22"/>
              </w:rPr>
              <w:t>-100% -</w:t>
            </w:r>
            <w:r w:rsidRPr="00521CE4">
              <w:rPr>
                <w:rFonts w:ascii="Arial Narrow" w:hAnsi="Arial Narrow"/>
                <w:sz w:val="22"/>
                <w:szCs w:val="22"/>
              </w:rPr>
              <w:t>10 (dhjetë)</w:t>
            </w:r>
          </w:p>
          <w:p w:rsidR="00A174AC" w:rsidRPr="00521CE4" w:rsidRDefault="00A174AC" w:rsidP="003F36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80-90</w:t>
            </w:r>
            <w:r w:rsidRPr="00521CE4">
              <w:rPr>
                <w:rFonts w:ascii="Arial Narrow" w:hAnsi="Arial Narrow"/>
                <w:sz w:val="22"/>
                <w:szCs w:val="22"/>
              </w:rPr>
              <w:t>% - 9 (nëntë)</w:t>
            </w:r>
          </w:p>
          <w:p w:rsidR="00A174AC" w:rsidRPr="00521CE4" w:rsidRDefault="00A174AC" w:rsidP="003F36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70-80</w:t>
            </w:r>
            <w:r w:rsidRPr="00521CE4">
              <w:rPr>
                <w:rFonts w:ascii="Arial Narrow" w:hAnsi="Arial Narrow"/>
                <w:sz w:val="22"/>
                <w:szCs w:val="22"/>
              </w:rPr>
              <w:t>% - 8 (tetë)</w:t>
            </w:r>
          </w:p>
          <w:p w:rsidR="00A174AC" w:rsidRPr="00521CE4" w:rsidRDefault="00A174AC" w:rsidP="003F36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60 </w:t>
            </w:r>
            <w:r w:rsidR="003F365B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="003F365B">
              <w:rPr>
                <w:rFonts w:ascii="Arial Narrow" w:hAnsi="Arial Narrow"/>
                <w:sz w:val="22"/>
                <w:szCs w:val="22"/>
              </w:rPr>
              <w:t>%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83E09">
              <w:rPr>
                <w:rFonts w:ascii="Arial Narrow" w:hAnsi="Arial Narrow"/>
                <w:sz w:val="22"/>
                <w:szCs w:val="22"/>
              </w:rPr>
              <w:t xml:space="preserve">  7 </w:t>
            </w:r>
            <w:r w:rsidRPr="00521CE4">
              <w:rPr>
                <w:rFonts w:ascii="Arial Narrow" w:hAnsi="Arial Narrow"/>
                <w:sz w:val="22"/>
                <w:szCs w:val="22"/>
              </w:rPr>
              <w:t>(shtatë)</w:t>
            </w:r>
          </w:p>
          <w:p w:rsidR="00A174AC" w:rsidRPr="00521CE4" w:rsidRDefault="00A174AC" w:rsidP="003F36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50-60</w:t>
            </w:r>
            <w:r w:rsidR="003F365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83E09">
              <w:rPr>
                <w:rFonts w:ascii="Arial Narrow" w:hAnsi="Arial Narrow"/>
                <w:sz w:val="22"/>
                <w:szCs w:val="22"/>
              </w:rPr>
              <w:t xml:space="preserve">%  </w:t>
            </w:r>
            <w:r w:rsidRPr="00521CE4">
              <w:rPr>
                <w:rFonts w:ascii="Arial Narrow" w:hAnsi="Arial Narrow"/>
                <w:sz w:val="22"/>
                <w:szCs w:val="22"/>
              </w:rPr>
              <w:t xml:space="preserve"> 6 (gjashtë)</w:t>
            </w:r>
          </w:p>
          <w:p w:rsidR="00A174AC" w:rsidRPr="00521CE4" w:rsidRDefault="00383E09" w:rsidP="003F36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nën 50% -</w:t>
            </w:r>
            <w:r w:rsidR="003F365B">
              <w:rPr>
                <w:rFonts w:ascii="Arial Narrow" w:hAnsi="Arial Narrow"/>
                <w:sz w:val="22"/>
                <w:szCs w:val="22"/>
              </w:rPr>
              <w:t>5 (pesë - notë</w:t>
            </w:r>
            <w:r w:rsidR="00A174AC" w:rsidRPr="00521CE4">
              <w:rPr>
                <w:rFonts w:ascii="Arial Narrow" w:hAnsi="Arial Narrow"/>
                <w:sz w:val="22"/>
                <w:szCs w:val="22"/>
              </w:rPr>
              <w:t xml:space="preserve"> jo kaluese)</w:t>
            </w:r>
          </w:p>
          <w:p w:rsidR="00A174AC" w:rsidRPr="00976A68" w:rsidRDefault="00A174AC" w:rsidP="003F365B">
            <w:pPr>
              <w:pStyle w:val="NoSpacing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A9190B" w:rsidRPr="00976A68" w:rsidRDefault="00A9190B" w:rsidP="00A174AC">
            <w:pPr>
              <w:pStyle w:val="NoSpacing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9190B" w:rsidRPr="00976A68" w:rsidTr="00036F19">
        <w:tc>
          <w:tcPr>
            <w:tcW w:w="8856" w:type="dxa"/>
            <w:gridSpan w:val="2"/>
            <w:shd w:val="clear" w:color="auto" w:fill="D9D9D9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Literatura </w:t>
            </w: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Literatura bazë:  </w:t>
            </w:r>
          </w:p>
        </w:tc>
        <w:tc>
          <w:tcPr>
            <w:tcW w:w="5239" w:type="dxa"/>
          </w:tcPr>
          <w:p w:rsidR="002A30C3" w:rsidRDefault="002A30C3" w:rsidP="002A30C3">
            <w:pPr>
              <w:jc w:val="both"/>
              <w:rPr>
                <w:rFonts w:ascii="Arial Narrow" w:hAnsi="Arial Narrow"/>
              </w:rPr>
            </w:pPr>
            <w:r w:rsidRPr="00092544">
              <w:rPr>
                <w:rFonts w:ascii="Arial Narrow" w:hAnsi="Arial Narrow"/>
                <w:sz w:val="22"/>
                <w:szCs w:val="22"/>
              </w:rPr>
              <w:t>Dismond Dinan: Politikat e Bashkimit Evropian. Përktheu: Julia Çela, Botimi në shqip AIIS, Tiranë.</w:t>
            </w:r>
          </w:p>
          <w:p w:rsidR="00D27BF0" w:rsidRPr="00092544" w:rsidRDefault="00D27BF0" w:rsidP="002A30C3">
            <w:pPr>
              <w:jc w:val="both"/>
              <w:rPr>
                <w:rFonts w:ascii="Arial Narrow" w:hAnsi="Arial Narrow"/>
              </w:rPr>
            </w:pPr>
          </w:p>
          <w:p w:rsidR="00D27BF0" w:rsidRPr="00D27BF0" w:rsidRDefault="002A30C3" w:rsidP="00D27BF0">
            <w:pPr>
              <w:rPr>
                <w:rFonts w:ascii="Arial Narrow" w:hAnsi="Arial Narrow"/>
              </w:rPr>
            </w:pPr>
            <w:r w:rsidRPr="0009254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27BF0" w:rsidRPr="00D27BF0">
              <w:rPr>
                <w:rFonts w:ascii="Arial Narrow" w:hAnsi="Arial Narrow"/>
                <w:sz w:val="22"/>
                <w:szCs w:val="22"/>
              </w:rPr>
              <w:t>Søren Dosenrode- Editor: The European Union after Lisbon: Polity, Politics, and Policy. Routledge.London- 2016</w:t>
            </w:r>
          </w:p>
          <w:p w:rsidR="00D27BF0" w:rsidRDefault="00430378" w:rsidP="00D27BF0">
            <w:pPr>
              <w:spacing w:before="100" w:beforeAutospacing="1" w:after="100" w:afterAutospacing="1"/>
              <w:outlineLvl w:val="2"/>
              <w:rPr>
                <w:rFonts w:ascii="Arial Narrow" w:hAnsi="Arial Narrow"/>
                <w:bCs/>
                <w:color w:val="000000" w:themeColor="text1"/>
              </w:rPr>
            </w:pPr>
            <w:hyperlink r:id="rId10" w:history="1">
              <w:r w:rsidR="00D27BF0" w:rsidRPr="0007015D">
                <w:rPr>
                  <w:rStyle w:val="Hyperlink"/>
                  <w:rFonts w:ascii="Arial Narrow" w:hAnsi="Arial Narrow"/>
                  <w:bCs/>
                  <w:color w:val="000000" w:themeColor="text1"/>
                  <w:sz w:val="22"/>
                  <w:szCs w:val="22"/>
                  <w:u w:val="none"/>
                </w:rPr>
                <w:t>The future of Europe: views from the capitals</w:t>
              </w:r>
            </w:hyperlink>
            <w:r w:rsidR="00D27BF0" w:rsidRPr="0007015D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.</w:t>
            </w:r>
            <w:r w:rsidR="00D27BF0" w:rsidRPr="00D27BF0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27BF0" w:rsidRPr="00D27BF0">
              <w:rPr>
                <w:rFonts w:ascii="Arial Narrow" w:hAnsi="Arial Narrow"/>
                <w:sz w:val="22"/>
                <w:szCs w:val="22"/>
              </w:rPr>
              <w:t xml:space="preserve">Michael Kaeding </w:t>
            </w:r>
            <w:r w:rsidR="0007015D" w:rsidRPr="00D27BF0">
              <w:rPr>
                <w:rFonts w:ascii="Arial Narrow" w:hAnsi="Arial Narrow"/>
                <w:sz w:val="22"/>
                <w:szCs w:val="22"/>
              </w:rPr>
              <w:t>editor;</w:t>
            </w:r>
            <w:r w:rsidR="00D27BF0" w:rsidRPr="00D27BF0">
              <w:rPr>
                <w:rFonts w:ascii="Arial Narrow" w:hAnsi="Arial Narrow"/>
                <w:sz w:val="22"/>
                <w:szCs w:val="22"/>
              </w:rPr>
              <w:t xml:space="preserve"> Johannes Pollak; editor; Paul Schmidt editor. Cham, Switzerland: Palgrave Macmillan, 2019</w:t>
            </w:r>
            <w:r w:rsidR="00D27BF0" w:rsidRPr="00D27BF0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.</w:t>
            </w:r>
          </w:p>
          <w:p w:rsidR="00D27BF0" w:rsidRPr="00587499" w:rsidRDefault="00D27BF0" w:rsidP="00587499">
            <w:pPr>
              <w:jc w:val="both"/>
              <w:rPr>
                <w:rStyle w:val="tlid-translation"/>
                <w:rFonts w:ascii="Arial Narrow" w:hAnsi="Arial Narrow"/>
              </w:rPr>
            </w:pPr>
            <w:r w:rsidRPr="00A50CE0">
              <w:rPr>
                <w:rFonts w:ascii="Arial Narrow" w:hAnsi="Arial Narrow"/>
                <w:sz w:val="22"/>
                <w:szCs w:val="22"/>
              </w:rPr>
              <w:t>Yves DOUTRIAUX, Christian LEQUESNE: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50CE0">
              <w:rPr>
                <w:rFonts w:ascii="Arial Narrow" w:hAnsi="Arial Narrow"/>
                <w:sz w:val="22"/>
                <w:szCs w:val="22"/>
              </w:rPr>
              <w:t>Institucionet e Bashkimit Evropian ( Botimi i 5-të) Përktheu: Petraq Pojani. Botimi në shqip: Papirus, 2007.</w:t>
            </w:r>
          </w:p>
          <w:p w:rsidR="00D27BF0" w:rsidRPr="00D27BF0" w:rsidRDefault="00D27BF0" w:rsidP="00D27BF0">
            <w:pPr>
              <w:spacing w:before="240"/>
              <w:jc w:val="both"/>
              <w:rPr>
                <w:rFonts w:ascii="Arial Narrow" w:hAnsi="Arial Narrow"/>
              </w:rPr>
            </w:pPr>
            <w:r w:rsidRPr="00D27BF0">
              <w:rPr>
                <w:rFonts w:ascii="Arial Narrow" w:hAnsi="Arial Narrow"/>
                <w:sz w:val="22"/>
                <w:szCs w:val="22"/>
              </w:rPr>
              <w:t xml:space="preserve">Simon Hix: The Political System of the European Union (Second Edition 2005) Publisher: Palgrave Macmillan. </w:t>
            </w:r>
          </w:p>
          <w:p w:rsidR="00D27BF0" w:rsidRDefault="00D27BF0" w:rsidP="00D27BF0"/>
          <w:p w:rsidR="002A30C3" w:rsidRPr="00092544" w:rsidRDefault="002A30C3" w:rsidP="002A30C3">
            <w:pPr>
              <w:jc w:val="both"/>
              <w:rPr>
                <w:rFonts w:ascii="Arial Narrow" w:hAnsi="Arial Narrow"/>
              </w:rPr>
            </w:pPr>
          </w:p>
          <w:p w:rsidR="00A9190B" w:rsidRPr="002A30C3" w:rsidRDefault="00A9190B" w:rsidP="00D27BF0">
            <w:pPr>
              <w:jc w:val="both"/>
              <w:rPr>
                <w:rFonts w:ascii="Arial Narrow" w:hAnsi="Arial Narrow"/>
              </w:rPr>
            </w:pPr>
          </w:p>
        </w:tc>
      </w:tr>
      <w:tr w:rsidR="00A9190B" w:rsidRPr="00976A68" w:rsidTr="00036F19">
        <w:tc>
          <w:tcPr>
            <w:tcW w:w="3617" w:type="dxa"/>
          </w:tcPr>
          <w:p w:rsidR="00A9190B" w:rsidRPr="00976A68" w:rsidRDefault="00A9190B" w:rsidP="00036F19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Literatura shtesë:  </w:t>
            </w:r>
          </w:p>
        </w:tc>
        <w:tc>
          <w:tcPr>
            <w:tcW w:w="5239" w:type="dxa"/>
          </w:tcPr>
          <w:p w:rsidR="00D27BF0" w:rsidRPr="00D27BF0" w:rsidRDefault="00D27BF0" w:rsidP="00D27BF0">
            <w:pPr>
              <w:rPr>
                <w:rStyle w:val="tlid-translation"/>
                <w:rFonts w:ascii="Arial Narrow" w:hAnsi="Arial Narrow"/>
              </w:rPr>
            </w:pPr>
            <w:r w:rsidRPr="00D27BF0">
              <w:rPr>
                <w:rStyle w:val="tlid-translation"/>
                <w:rFonts w:ascii="Arial Narrow" w:hAnsi="Arial Narrow"/>
                <w:sz w:val="22"/>
                <w:szCs w:val="22"/>
              </w:rPr>
              <w:t>Burime nga Interneti:</w:t>
            </w:r>
          </w:p>
          <w:p w:rsidR="00D27BF0" w:rsidRPr="00D27BF0" w:rsidRDefault="00D27BF0" w:rsidP="00D27BF0">
            <w:pPr>
              <w:rPr>
                <w:rStyle w:val="tlid-translation"/>
                <w:rFonts w:ascii="Arial Narrow" w:hAnsi="Arial Narrow"/>
              </w:rPr>
            </w:pPr>
          </w:p>
          <w:p w:rsidR="00D27BF0" w:rsidRPr="00316FC1" w:rsidRDefault="00D27BF0" w:rsidP="00D27BF0">
            <w:pPr>
              <w:rPr>
                <w:rFonts w:ascii="Arial Narrow" w:hAnsi="Arial Narrow" w:cs="Arial"/>
              </w:rPr>
            </w:pPr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 xml:space="preserve">European Union: </w:t>
            </w:r>
          </w:p>
          <w:p w:rsidR="00D27BF0" w:rsidRPr="00316FC1" w:rsidRDefault="00D27BF0" w:rsidP="00D27BF0">
            <w:pPr>
              <w:rPr>
                <w:rFonts w:ascii="Arial Narrow" w:hAnsi="Arial Narrow"/>
              </w:rPr>
            </w:pPr>
            <w:r w:rsidRPr="00316FC1">
              <w:rPr>
                <w:rFonts w:ascii="Arial Narrow" w:hAnsi="Arial Narrow"/>
              </w:rPr>
              <w:t>http://europa.eu/</w:t>
            </w:r>
          </w:p>
          <w:p w:rsidR="00D27BF0" w:rsidRPr="00316FC1" w:rsidRDefault="00D27BF0" w:rsidP="00D27BF0">
            <w:pPr>
              <w:rPr>
                <w:rFonts w:ascii="Arial Narrow" w:hAnsi="Arial Narrow" w:cs="Arial"/>
              </w:rPr>
            </w:pPr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 xml:space="preserve">Europe in 12 lessons: </w:t>
            </w:r>
          </w:p>
          <w:p w:rsidR="00D27BF0" w:rsidRPr="00316FC1" w:rsidRDefault="00D27BF0" w:rsidP="00D27BF0">
            <w:pPr>
              <w:rPr>
                <w:rFonts w:ascii="Arial Narrow" w:hAnsi="Arial Narrow"/>
              </w:rPr>
            </w:pPr>
            <w:r w:rsidRPr="00316FC1">
              <w:rPr>
                <w:rFonts w:ascii="Arial Narrow" w:hAnsi="Arial Narrow"/>
              </w:rPr>
              <w:t>http://europa.eu/abc/12lessons/index_en.htm</w:t>
            </w:r>
          </w:p>
          <w:p w:rsidR="00D27BF0" w:rsidRPr="00316FC1" w:rsidRDefault="00D27BF0" w:rsidP="00D27BF0">
            <w:pPr>
              <w:rPr>
                <w:rFonts w:ascii="Arial Narrow" w:hAnsi="Arial Narrow" w:cs="Arial"/>
              </w:rPr>
            </w:pPr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 xml:space="preserve">Documents: </w:t>
            </w:r>
          </w:p>
          <w:p w:rsidR="00D27BF0" w:rsidRPr="00316FC1" w:rsidRDefault="00D27BF0" w:rsidP="00D27BF0">
            <w:pPr>
              <w:rPr>
                <w:rFonts w:ascii="Arial Narrow" w:hAnsi="Arial Narrow"/>
              </w:rPr>
            </w:pPr>
            <w:r w:rsidRPr="00316FC1">
              <w:rPr>
                <w:rFonts w:ascii="Arial Narrow" w:hAnsi="Arial Narrow"/>
              </w:rPr>
              <w:t>http://europa.eu/documents/index_en.htm</w:t>
            </w:r>
          </w:p>
          <w:p w:rsidR="00D27BF0" w:rsidRPr="00316FC1" w:rsidRDefault="00D27BF0" w:rsidP="00D27BF0">
            <w:pPr>
              <w:rPr>
                <w:rFonts w:ascii="Arial Narrow" w:hAnsi="Arial Narrow" w:cs="Arial"/>
              </w:rPr>
            </w:pPr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>European Parliament:</w:t>
            </w:r>
          </w:p>
          <w:p w:rsidR="00D27BF0" w:rsidRPr="00316FC1" w:rsidRDefault="00D27BF0" w:rsidP="00D27BF0">
            <w:pPr>
              <w:rPr>
                <w:rFonts w:ascii="Arial Narrow" w:hAnsi="Arial Narrow"/>
              </w:rPr>
            </w:pPr>
            <w:r w:rsidRPr="00316FC1">
              <w:rPr>
                <w:rFonts w:ascii="Arial Narrow" w:hAnsi="Arial Narrow"/>
              </w:rPr>
              <w:t>http://europa.eu/institutions/inst/parliament/index_en.htm</w:t>
            </w:r>
          </w:p>
          <w:p w:rsidR="00D27BF0" w:rsidRPr="00316FC1" w:rsidRDefault="00D27BF0" w:rsidP="00D27BF0">
            <w:pPr>
              <w:rPr>
                <w:rFonts w:ascii="Arial Narrow" w:hAnsi="Arial Narrow" w:cs="Arial"/>
              </w:rPr>
            </w:pPr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 xml:space="preserve">European Commission: </w:t>
            </w:r>
          </w:p>
          <w:p w:rsidR="00D27BF0" w:rsidRPr="00316FC1" w:rsidRDefault="00D27BF0" w:rsidP="00D27BF0">
            <w:pPr>
              <w:rPr>
                <w:rFonts w:ascii="Arial Narrow" w:hAnsi="Arial Narrow"/>
              </w:rPr>
            </w:pPr>
            <w:r w:rsidRPr="00316FC1">
              <w:rPr>
                <w:rFonts w:ascii="Arial Narrow" w:hAnsi="Arial Narrow"/>
              </w:rPr>
              <w:t>http://europa.eu/institutions/inst/comm/index_en.htm</w:t>
            </w:r>
          </w:p>
          <w:p w:rsidR="00D27BF0" w:rsidRPr="00316FC1" w:rsidRDefault="00D27BF0" w:rsidP="00D27BF0">
            <w:pPr>
              <w:rPr>
                <w:rFonts w:ascii="Arial Narrow" w:hAnsi="Arial Narrow" w:cs="Arial"/>
              </w:rPr>
            </w:pPr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 xml:space="preserve">European Court of Justice: </w:t>
            </w:r>
          </w:p>
          <w:p w:rsidR="00D27BF0" w:rsidRPr="00316FC1" w:rsidRDefault="00D27BF0" w:rsidP="00D27BF0">
            <w:pPr>
              <w:rPr>
                <w:rFonts w:ascii="Arial Narrow" w:hAnsi="Arial Narrow"/>
              </w:rPr>
            </w:pPr>
            <w:r w:rsidRPr="00316FC1">
              <w:rPr>
                <w:rFonts w:ascii="Arial Narrow" w:hAnsi="Arial Narrow"/>
              </w:rPr>
              <w:t>http://europa.eu/institutions/inst/justice/index_en.htm</w:t>
            </w:r>
          </w:p>
          <w:p w:rsidR="00D27BF0" w:rsidRPr="00316FC1" w:rsidRDefault="00D27BF0" w:rsidP="00D27BF0">
            <w:pPr>
              <w:rPr>
                <w:rFonts w:ascii="Arial Narrow" w:hAnsi="Arial Narrow" w:cs="Arial"/>
              </w:rPr>
            </w:pPr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>Common Foreign and Security Policy:</w:t>
            </w:r>
          </w:p>
          <w:p w:rsidR="00D27BF0" w:rsidRPr="00316FC1" w:rsidRDefault="00D27BF0" w:rsidP="00D27BF0">
            <w:pPr>
              <w:rPr>
                <w:rFonts w:ascii="Arial Narrow" w:hAnsi="Arial Narrow"/>
              </w:rPr>
            </w:pPr>
            <w:r w:rsidRPr="00316FC1">
              <w:rPr>
                <w:rFonts w:ascii="Arial Narrow" w:hAnsi="Arial Narrow"/>
              </w:rPr>
              <w:t>http://europa.eu/pol/cfsp/index_en.htm</w:t>
            </w:r>
          </w:p>
          <w:p w:rsidR="00D27BF0" w:rsidRPr="00316FC1" w:rsidRDefault="00D27BF0" w:rsidP="00D27BF0">
            <w:pPr>
              <w:rPr>
                <w:rFonts w:ascii="Arial Narrow" w:hAnsi="Arial Narrow" w:cs="Arial"/>
              </w:rPr>
            </w:pPr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 xml:space="preserve">Justice, Freedom and Security: </w:t>
            </w:r>
          </w:p>
          <w:p w:rsidR="00D27BF0" w:rsidRPr="00316FC1" w:rsidRDefault="00D27BF0" w:rsidP="00D27BF0">
            <w:pPr>
              <w:rPr>
                <w:rFonts w:ascii="Arial Narrow" w:hAnsi="Arial Narrow"/>
              </w:rPr>
            </w:pPr>
            <w:r w:rsidRPr="00316FC1">
              <w:rPr>
                <w:rFonts w:ascii="Arial Narrow" w:hAnsi="Arial Narrow"/>
              </w:rPr>
              <w:t>http://europa.eu/pol/justice/index_en.htm</w:t>
            </w:r>
          </w:p>
          <w:p w:rsidR="00D27BF0" w:rsidRPr="00316FC1" w:rsidRDefault="00D27BF0" w:rsidP="00D27BF0">
            <w:pPr>
              <w:rPr>
                <w:rFonts w:ascii="Arial Narrow" w:hAnsi="Arial Narrow" w:cs="Arial"/>
              </w:rPr>
            </w:pPr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 xml:space="preserve">Economic and Monetary Affairs: </w:t>
            </w:r>
          </w:p>
          <w:p w:rsidR="00D27BF0" w:rsidRPr="00316FC1" w:rsidRDefault="00D27BF0" w:rsidP="00D27BF0">
            <w:pPr>
              <w:rPr>
                <w:rFonts w:ascii="Arial Narrow" w:hAnsi="Arial Narrow"/>
              </w:rPr>
            </w:pPr>
            <w:r w:rsidRPr="00316FC1">
              <w:rPr>
                <w:rFonts w:ascii="Arial Narrow" w:hAnsi="Arial Narrow"/>
              </w:rPr>
              <w:t>http://europa.eu/pol/emu/index_en.htm</w:t>
            </w:r>
          </w:p>
          <w:p w:rsidR="00D27BF0" w:rsidRPr="00316FC1" w:rsidRDefault="00D27BF0" w:rsidP="00D27BF0">
            <w:pPr>
              <w:rPr>
                <w:rFonts w:ascii="Arial Narrow" w:hAnsi="Arial Narrow" w:cs="Arial"/>
              </w:rPr>
            </w:pPr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 xml:space="preserve">Employment and Social Affairs: </w:t>
            </w:r>
          </w:p>
          <w:p w:rsidR="00D27BF0" w:rsidRPr="00316FC1" w:rsidRDefault="00D27BF0" w:rsidP="00D27BF0">
            <w:pPr>
              <w:rPr>
                <w:rFonts w:ascii="Arial Narrow" w:hAnsi="Arial Narrow"/>
              </w:rPr>
            </w:pPr>
            <w:r w:rsidRPr="00316FC1">
              <w:rPr>
                <w:rFonts w:ascii="Arial Narrow" w:hAnsi="Arial Narrow"/>
              </w:rPr>
              <w:t>http://europa.eu/pol/socio/index_en.htm</w:t>
            </w:r>
          </w:p>
          <w:p w:rsidR="00D27BF0" w:rsidRPr="00316FC1" w:rsidRDefault="00D27BF0" w:rsidP="00D27BF0">
            <w:pPr>
              <w:rPr>
                <w:rFonts w:ascii="Arial Narrow" w:hAnsi="Arial Narrow" w:cs="Arial"/>
              </w:rPr>
            </w:pPr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 xml:space="preserve">Environmental Policy: </w:t>
            </w:r>
          </w:p>
          <w:p w:rsidR="00D27BF0" w:rsidRPr="00316FC1" w:rsidRDefault="00D27BF0" w:rsidP="00D27BF0">
            <w:pPr>
              <w:rPr>
                <w:rFonts w:ascii="Arial Narrow" w:hAnsi="Arial Narrow"/>
              </w:rPr>
            </w:pPr>
            <w:r w:rsidRPr="00316FC1">
              <w:rPr>
                <w:rFonts w:ascii="Arial Narrow" w:hAnsi="Arial Narrow"/>
              </w:rPr>
              <w:t>http://europa.eu/pol/env/index_en.htm</w:t>
            </w:r>
          </w:p>
          <w:p w:rsidR="00D27BF0" w:rsidRPr="00316FC1" w:rsidRDefault="00D27BF0" w:rsidP="00D27BF0">
            <w:pPr>
              <w:rPr>
                <w:rFonts w:ascii="Arial Narrow" w:hAnsi="Arial Narrow" w:cs="Arial"/>
              </w:rPr>
            </w:pPr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>Europe is fun:http: //europa.eu/europago/welcome.jsp</w:t>
            </w:r>
          </w:p>
          <w:p w:rsidR="00D27BF0" w:rsidRPr="003B725E" w:rsidRDefault="00D27BF0" w:rsidP="00D27BF0">
            <w:r w:rsidRPr="00316FC1">
              <w:rPr>
                <w:rFonts w:ascii="Arial Narrow" w:hAnsi="Arial Narrow" w:cs="Arial"/>
              </w:rPr>
              <w:t xml:space="preserve">• </w:t>
            </w:r>
            <w:r w:rsidRPr="00316FC1">
              <w:rPr>
                <w:rFonts w:ascii="Arial Narrow" w:hAnsi="Arial Narrow"/>
              </w:rPr>
              <w:t>Portal of the institutions http://www.europa.eu.in</w:t>
            </w:r>
          </w:p>
          <w:p w:rsidR="00D27BF0" w:rsidRPr="00B34D10" w:rsidRDefault="00D27BF0" w:rsidP="00D27BF0">
            <w:pPr>
              <w:spacing w:before="240"/>
              <w:jc w:val="both"/>
              <w:rPr>
                <w:rFonts w:ascii="Arial Narrow" w:hAnsi="Arial Narrow"/>
              </w:rPr>
            </w:pPr>
          </w:p>
          <w:p w:rsidR="00092544" w:rsidRPr="00D27BF0" w:rsidRDefault="00092544" w:rsidP="00D27BF0">
            <w:pPr>
              <w:jc w:val="both"/>
              <w:rPr>
                <w:rFonts w:ascii="Arial Narrow" w:hAnsi="Arial Narrow"/>
              </w:rPr>
            </w:pPr>
          </w:p>
          <w:p w:rsidR="00383E09" w:rsidRPr="00092544" w:rsidRDefault="00383E09" w:rsidP="00036F19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A9190B" w:rsidRPr="00976A68" w:rsidTr="00036F19">
        <w:tc>
          <w:tcPr>
            <w:tcW w:w="8856" w:type="dxa"/>
            <w:gridSpan w:val="2"/>
            <w:shd w:val="clear" w:color="auto" w:fill="D9D9D9"/>
          </w:tcPr>
          <w:p w:rsidR="00A9190B" w:rsidRDefault="00A9190B" w:rsidP="00036F19">
            <w:pPr>
              <w:rPr>
                <w:rFonts w:ascii="Arial Narrow" w:hAnsi="Arial Narrow"/>
                <w:b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Plani i dizejnuar i mësimit:  </w:t>
            </w:r>
          </w:p>
          <w:p w:rsidR="00A9190B" w:rsidRPr="00976A68" w:rsidRDefault="00A9190B" w:rsidP="00036F19">
            <w:pPr>
              <w:rPr>
                <w:rFonts w:ascii="Arial Narrow" w:hAnsi="Arial Narrow"/>
                <w:b/>
              </w:rPr>
            </w:pPr>
          </w:p>
        </w:tc>
      </w:tr>
      <w:tr w:rsidR="00A9190B" w:rsidRPr="00976A68" w:rsidTr="00036F19">
        <w:tc>
          <w:tcPr>
            <w:tcW w:w="2718" w:type="dxa"/>
            <w:shd w:val="clear" w:color="auto" w:fill="D9D9D9"/>
          </w:tcPr>
          <w:p w:rsidR="00A9190B" w:rsidRPr="00976A68" w:rsidRDefault="00A9190B" w:rsidP="00036F19">
            <w:pPr>
              <w:rPr>
                <w:rFonts w:ascii="Arial Narrow" w:hAnsi="Arial Narrow"/>
                <w:b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A9190B" w:rsidRDefault="00A9190B" w:rsidP="00036F19">
            <w:pPr>
              <w:rPr>
                <w:rFonts w:ascii="Arial Narrow" w:hAnsi="Arial Narrow"/>
                <w:b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Ligjerata që do të zhvillohet</w:t>
            </w:r>
          </w:p>
          <w:p w:rsidR="00383E09" w:rsidRPr="00976A68" w:rsidRDefault="00383E09" w:rsidP="00036F19">
            <w:pPr>
              <w:rPr>
                <w:rFonts w:ascii="Arial Narrow" w:hAnsi="Arial Narrow"/>
                <w:b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parë:</w:t>
            </w:r>
          </w:p>
        </w:tc>
        <w:tc>
          <w:tcPr>
            <w:tcW w:w="6138" w:type="dxa"/>
          </w:tcPr>
          <w:p w:rsidR="00A9190B" w:rsidRDefault="00A50CE0" w:rsidP="00036F19">
            <w:pPr>
              <w:rPr>
                <w:rFonts w:ascii="Arial Narrow" w:hAnsi="Arial Narrow"/>
              </w:rPr>
            </w:pPr>
            <w:r w:rsidRPr="00DD4359">
              <w:rPr>
                <w:rFonts w:ascii="Arial Narrow" w:hAnsi="Arial Narrow"/>
                <w:sz w:val="22"/>
                <w:szCs w:val="22"/>
              </w:rPr>
              <w:t>Prezantimi i kursit</w:t>
            </w:r>
          </w:p>
          <w:p w:rsidR="00DD4359" w:rsidRPr="00DD4359" w:rsidRDefault="00DD4359" w:rsidP="00036F19">
            <w:pPr>
              <w:rPr>
                <w:rFonts w:ascii="Arial Narrow" w:hAnsi="Arial Narrow"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dytë:</w:t>
            </w:r>
          </w:p>
        </w:tc>
        <w:tc>
          <w:tcPr>
            <w:tcW w:w="6138" w:type="dxa"/>
          </w:tcPr>
          <w:p w:rsidR="00A9190B" w:rsidRDefault="00DD4359" w:rsidP="00036F19">
            <w:pPr>
              <w:rPr>
                <w:rFonts w:ascii="Arial Narrow" w:hAnsi="Arial Narrow"/>
              </w:rPr>
            </w:pPr>
            <w:r w:rsidRPr="00DD4359">
              <w:rPr>
                <w:rFonts w:ascii="Arial Narrow" w:hAnsi="Arial Narrow"/>
                <w:sz w:val="22"/>
                <w:szCs w:val="22"/>
              </w:rPr>
              <w:t xml:space="preserve">Bashkimit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D4359">
              <w:rPr>
                <w:rFonts w:ascii="Arial Narrow" w:hAnsi="Arial Narrow"/>
                <w:sz w:val="22"/>
                <w:szCs w:val="22"/>
              </w:rPr>
              <w:t xml:space="preserve">Evropian për gjatë </w:t>
            </w:r>
            <w:r>
              <w:rPr>
                <w:rFonts w:ascii="Arial Narrow" w:hAnsi="Arial Narrow"/>
                <w:sz w:val="22"/>
                <w:szCs w:val="22"/>
              </w:rPr>
              <w:t>historisë</w:t>
            </w:r>
          </w:p>
          <w:p w:rsidR="00DD4359" w:rsidRPr="00DD4359" w:rsidRDefault="00DD4359" w:rsidP="00036F19">
            <w:pPr>
              <w:rPr>
                <w:rFonts w:ascii="Arial Narrow" w:hAnsi="Arial Narrow"/>
                <w:lang w:val="sq-AL"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tretë</w:t>
            </w:r>
            <w:r w:rsidRPr="00976A6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:rsidR="00326BE3" w:rsidRPr="00326BE3" w:rsidRDefault="00326BE3" w:rsidP="00326BE3">
            <w:pPr>
              <w:rPr>
                <w:rFonts w:ascii="Arial Narrow" w:hAnsi="Arial Narrow"/>
                <w:bCs/>
              </w:rPr>
            </w:pPr>
            <w:r w:rsidRPr="00326BE3">
              <w:rPr>
                <w:rFonts w:ascii="Arial Narrow" w:hAnsi="Arial Narrow"/>
                <w:bCs/>
                <w:sz w:val="22"/>
                <w:szCs w:val="22"/>
              </w:rPr>
              <w:t xml:space="preserve">Vendimmarrja  dhe dinamikat </w:t>
            </w:r>
            <w:r w:rsidR="006C09F6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326BE3">
              <w:rPr>
                <w:rFonts w:ascii="Arial Narrow" w:hAnsi="Arial Narrow"/>
                <w:bCs/>
                <w:sz w:val="22"/>
                <w:szCs w:val="22"/>
              </w:rPr>
              <w:t>ndërinstitucionale.</w:t>
            </w:r>
          </w:p>
          <w:p w:rsidR="00DD4359" w:rsidRPr="00DD4359" w:rsidRDefault="00DD4359" w:rsidP="00036F19">
            <w:pPr>
              <w:rPr>
                <w:rFonts w:ascii="Arial Narrow" w:hAnsi="Arial Narrow"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katërt:</w:t>
            </w:r>
          </w:p>
        </w:tc>
        <w:tc>
          <w:tcPr>
            <w:tcW w:w="6138" w:type="dxa"/>
          </w:tcPr>
          <w:p w:rsidR="00DD4359" w:rsidRDefault="00696E06" w:rsidP="00036F19">
            <w:pPr>
              <w:rPr>
                <w:rFonts w:ascii="Arial Narrow" w:hAnsi="Arial Narrow"/>
                <w:bCs/>
              </w:rPr>
            </w:pPr>
            <w:r w:rsidRPr="00696E06">
              <w:rPr>
                <w:rFonts w:ascii="Arial Narrow" w:hAnsi="Arial Narrow"/>
                <w:bCs/>
                <w:sz w:val="22"/>
                <w:szCs w:val="22"/>
              </w:rPr>
              <w:t xml:space="preserve">Politika e Përbashkët </w:t>
            </w:r>
            <w:r w:rsidR="00F51DD3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696E06">
              <w:rPr>
                <w:rFonts w:ascii="Arial Narrow" w:hAnsi="Arial Narrow"/>
                <w:bCs/>
                <w:sz w:val="22"/>
                <w:szCs w:val="22"/>
              </w:rPr>
              <w:t>Bujqësore, Politika e kohezionit.</w:t>
            </w:r>
          </w:p>
          <w:p w:rsidR="00F51DD3" w:rsidRPr="00DD4359" w:rsidRDefault="00F51DD3" w:rsidP="00036F19">
            <w:pPr>
              <w:rPr>
                <w:rFonts w:ascii="Arial Narrow" w:hAnsi="Arial Narrow"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pestë:</w:t>
            </w: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:rsidR="00A9190B" w:rsidRDefault="00696E06" w:rsidP="00036F19">
            <w:pPr>
              <w:rPr>
                <w:rFonts w:ascii="Arial" w:hAnsi="Arial"/>
                <w:bCs/>
                <w:sz w:val="20"/>
                <w:szCs w:val="20"/>
              </w:rPr>
            </w:pPr>
            <w:r w:rsidRPr="00B12FC2">
              <w:rPr>
                <w:rFonts w:ascii="Arial" w:hAnsi="Arial"/>
                <w:bCs/>
                <w:sz w:val="20"/>
                <w:szCs w:val="20"/>
              </w:rPr>
              <w:t>Integrimi Ekonomik:Rritja dhe aftësia konkurruese</w:t>
            </w:r>
          </w:p>
          <w:p w:rsidR="00696E06" w:rsidRPr="00976A68" w:rsidRDefault="00696E06" w:rsidP="00036F19">
            <w:pPr>
              <w:rPr>
                <w:rFonts w:ascii="Arial Narrow" w:hAnsi="Arial Narrow"/>
                <w:b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gjashtë</w:t>
            </w:r>
            <w:r w:rsidRPr="00976A6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:rsidR="00696E06" w:rsidRPr="00B12FC2" w:rsidRDefault="00696E06" w:rsidP="00696E06">
            <w:pPr>
              <w:rPr>
                <w:rFonts w:ascii="Arial" w:hAnsi="Arial"/>
                <w:bCs/>
                <w:sz w:val="20"/>
                <w:szCs w:val="20"/>
              </w:rPr>
            </w:pPr>
            <w:r w:rsidRPr="00B12FC2">
              <w:rPr>
                <w:rFonts w:ascii="Arial" w:hAnsi="Arial"/>
                <w:bCs/>
                <w:sz w:val="20"/>
                <w:szCs w:val="20"/>
              </w:rPr>
              <w:t>Politikat sociale punësimi dhe mjedisi</w:t>
            </w:r>
          </w:p>
          <w:p w:rsidR="00A9190B" w:rsidRPr="00976A68" w:rsidRDefault="00A9190B" w:rsidP="00036F19">
            <w:pPr>
              <w:rPr>
                <w:rFonts w:ascii="Arial Narrow" w:hAnsi="Arial Narrow"/>
                <w:b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shtatë:</w:t>
            </w: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:rsidR="00A9190B" w:rsidRDefault="00696E06" w:rsidP="00036F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Testi i Mesëm </w:t>
            </w:r>
          </w:p>
          <w:p w:rsidR="00E43C0A" w:rsidRPr="00976A68" w:rsidRDefault="00E43C0A" w:rsidP="00036F19">
            <w:pPr>
              <w:rPr>
                <w:rFonts w:ascii="Arial Narrow" w:hAnsi="Arial Narrow"/>
                <w:b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  <w:i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lastRenderedPageBreak/>
              <w:t>Java e tetë:</w:t>
            </w: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:rsidR="00A9190B" w:rsidRDefault="00696E06" w:rsidP="00036F19">
            <w:pPr>
              <w:rPr>
                <w:rFonts w:ascii="Arial" w:hAnsi="Arial"/>
                <w:bCs/>
                <w:sz w:val="20"/>
                <w:szCs w:val="20"/>
              </w:rPr>
            </w:pPr>
            <w:r w:rsidRPr="00B12FC2">
              <w:rPr>
                <w:rFonts w:ascii="Arial" w:hAnsi="Arial"/>
                <w:bCs/>
                <w:sz w:val="20"/>
                <w:szCs w:val="20"/>
              </w:rPr>
              <w:t>Bashkimi Ekonomik dhe Monetar</w:t>
            </w:r>
          </w:p>
          <w:p w:rsidR="00696E06" w:rsidRPr="00976A68" w:rsidRDefault="00696E06" w:rsidP="00036F19">
            <w:pPr>
              <w:rPr>
                <w:rFonts w:ascii="Arial Narrow" w:hAnsi="Arial Narrow"/>
                <w:b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  <w:i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nëntë:</w:t>
            </w: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:rsidR="00696E06" w:rsidRPr="00B12FC2" w:rsidRDefault="00696E06" w:rsidP="00696E0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Marrëdhëniet me Jashtë: Politika tregtaret</w:t>
            </w:r>
            <w:r w:rsidR="00326BE3">
              <w:rPr>
                <w:rFonts w:ascii="Arial" w:hAnsi="Arial"/>
                <w:bCs/>
                <w:sz w:val="20"/>
                <w:szCs w:val="20"/>
              </w:rPr>
              <w:t>, perspektivat rajonale,p</w:t>
            </w:r>
            <w:r>
              <w:rPr>
                <w:rFonts w:ascii="Arial" w:hAnsi="Arial"/>
                <w:bCs/>
                <w:sz w:val="20"/>
                <w:szCs w:val="20"/>
              </w:rPr>
              <w:t>olitikat e zhvillimit dhe Asistenca humanitare.</w:t>
            </w:r>
          </w:p>
          <w:p w:rsidR="00A9190B" w:rsidRPr="00976A68" w:rsidRDefault="00A9190B" w:rsidP="00036F19">
            <w:pPr>
              <w:rPr>
                <w:rFonts w:ascii="Arial Narrow" w:hAnsi="Arial Narrow"/>
                <w:b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  <w:i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dhjetë:</w:t>
            </w:r>
          </w:p>
        </w:tc>
        <w:tc>
          <w:tcPr>
            <w:tcW w:w="6138" w:type="dxa"/>
          </w:tcPr>
          <w:p w:rsidR="00A9190B" w:rsidRPr="00696E06" w:rsidRDefault="00696E06" w:rsidP="00036F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Siguria e brenshme dhe ajo e jashtme</w:t>
            </w:r>
          </w:p>
          <w:p w:rsidR="00696E06" w:rsidRPr="00976A68" w:rsidRDefault="00696E06" w:rsidP="00036F19">
            <w:pPr>
              <w:rPr>
                <w:rFonts w:ascii="Arial Narrow" w:hAnsi="Arial Narrow"/>
                <w:b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  <w:i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njëmbedhjetë</w:t>
            </w:r>
            <w:r w:rsidRPr="00976A6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:rsidR="00A9190B" w:rsidRDefault="00E43C0A" w:rsidP="00036F19">
            <w:pPr>
              <w:rPr>
                <w:rFonts w:ascii="Arial Narrow" w:hAnsi="Arial Narrow"/>
              </w:rPr>
            </w:pPr>
            <w:r w:rsidRPr="00E43C0A">
              <w:rPr>
                <w:rFonts w:ascii="Arial Narrow" w:hAnsi="Arial Narrow"/>
              </w:rPr>
              <w:t>Marrëdhëniet mes SHBA-së dhe BE-së</w:t>
            </w:r>
          </w:p>
          <w:p w:rsidR="00E43C0A" w:rsidRPr="00E43C0A" w:rsidRDefault="00E43C0A" w:rsidP="00036F19">
            <w:pPr>
              <w:rPr>
                <w:rFonts w:ascii="Arial Narrow" w:hAnsi="Arial Narrow"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  <w:i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dymbëdhjetë</w:t>
            </w: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</w:tcPr>
          <w:p w:rsidR="00A9190B" w:rsidRDefault="00326BE3" w:rsidP="00036F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Roli dhe ndikimi i Bashkimit  Evropian në Arenën Ndërkombëtare</w:t>
            </w:r>
          </w:p>
          <w:p w:rsidR="00084EA0" w:rsidRPr="00326BE3" w:rsidRDefault="00084EA0" w:rsidP="00036F19">
            <w:pPr>
              <w:rPr>
                <w:rFonts w:ascii="Arial Narrow" w:hAnsi="Arial Narrow"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  <w:i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trembëdhjetë</w:t>
            </w: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</w:tcPr>
          <w:p w:rsidR="00A9190B" w:rsidRDefault="00084EA0" w:rsidP="00036F19">
            <w:pPr>
              <w:rPr>
                <w:rFonts w:ascii="Arial Narrow" w:hAnsi="Arial Narrow"/>
              </w:rPr>
            </w:pPr>
            <w:r w:rsidRPr="00084EA0">
              <w:rPr>
                <w:rFonts w:ascii="Arial Narrow" w:hAnsi="Arial Narrow"/>
                <w:sz w:val="22"/>
                <w:szCs w:val="22"/>
              </w:rPr>
              <w:t>Republika e Kosovës dhe Bashkimi Evropian</w:t>
            </w:r>
          </w:p>
          <w:p w:rsidR="00084EA0" w:rsidRPr="00084EA0" w:rsidRDefault="00084EA0" w:rsidP="00036F19">
            <w:pPr>
              <w:rPr>
                <w:rFonts w:ascii="Arial Narrow" w:hAnsi="Arial Narrow"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  <w:i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katërmbëdhjetë</w:t>
            </w: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</w:tcPr>
          <w:p w:rsidR="00A9190B" w:rsidRDefault="00084EA0" w:rsidP="00036F19">
            <w:pPr>
              <w:rPr>
                <w:rFonts w:ascii="Arial Narrow" w:hAnsi="Arial Narrow"/>
              </w:rPr>
            </w:pPr>
            <w:r w:rsidRPr="00084EA0">
              <w:rPr>
                <w:rFonts w:ascii="Arial Narrow" w:hAnsi="Arial Narrow"/>
                <w:sz w:val="22"/>
                <w:szCs w:val="22"/>
              </w:rPr>
              <w:t>Sfidat Aktuale të Bashkimit Evropian</w:t>
            </w:r>
          </w:p>
          <w:p w:rsidR="00084EA0" w:rsidRPr="00084EA0" w:rsidRDefault="00084EA0" w:rsidP="00036F19">
            <w:pPr>
              <w:rPr>
                <w:rFonts w:ascii="Arial Narrow" w:hAnsi="Arial Narrow"/>
              </w:rPr>
            </w:pPr>
          </w:p>
        </w:tc>
      </w:tr>
      <w:tr w:rsidR="00A9190B" w:rsidRPr="00976A68" w:rsidTr="00036F19">
        <w:tc>
          <w:tcPr>
            <w:tcW w:w="2718" w:type="dxa"/>
          </w:tcPr>
          <w:p w:rsidR="00A9190B" w:rsidRPr="00976A68" w:rsidRDefault="00A9190B" w:rsidP="00036F19">
            <w:pPr>
              <w:rPr>
                <w:rFonts w:ascii="Arial Narrow" w:hAnsi="Arial Narrow"/>
                <w:b/>
                <w:i/>
              </w:rPr>
            </w:pPr>
            <w:r w:rsidRPr="00976A68">
              <w:rPr>
                <w:rFonts w:ascii="Arial Narrow" w:hAnsi="Arial Narrow"/>
                <w:b/>
                <w:i/>
                <w:sz w:val="22"/>
                <w:szCs w:val="22"/>
              </w:rPr>
              <w:t>Java e pesëmbëdhjetë</w:t>
            </w:r>
            <w:r w:rsidRPr="00976A68">
              <w:rPr>
                <w:rFonts w:ascii="Arial Narrow" w:hAnsi="Arial Narrow"/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6138" w:type="dxa"/>
          </w:tcPr>
          <w:p w:rsidR="00084EA0" w:rsidRPr="006C09F6" w:rsidRDefault="00084EA0" w:rsidP="00084EA0">
            <w:pPr>
              <w:rPr>
                <w:rFonts w:ascii="Arial Narrow" w:hAnsi="Arial Narrow"/>
              </w:rPr>
            </w:pPr>
            <w:r w:rsidRPr="006C09F6">
              <w:rPr>
                <w:rFonts w:ascii="Arial Narrow" w:hAnsi="Arial Narrow"/>
                <w:sz w:val="22"/>
                <w:szCs w:val="22"/>
              </w:rPr>
              <w:t>Përfundimi i kursit- Përsë</w:t>
            </w:r>
            <w:r w:rsidR="006C09F6" w:rsidRPr="006C09F6">
              <w:rPr>
                <w:rFonts w:ascii="Arial Narrow" w:hAnsi="Arial Narrow"/>
                <w:sz w:val="22"/>
                <w:szCs w:val="22"/>
              </w:rPr>
              <w:t xml:space="preserve">ritjet  </w:t>
            </w:r>
            <w:r w:rsidRPr="006C09F6">
              <w:rPr>
                <w:rFonts w:ascii="Arial Narrow" w:hAnsi="Arial Narrow"/>
                <w:sz w:val="22"/>
                <w:szCs w:val="22"/>
              </w:rPr>
              <w:t>dhe përgatitjet për provimin final.</w:t>
            </w:r>
          </w:p>
          <w:p w:rsidR="00A9190B" w:rsidRPr="006C09F6" w:rsidRDefault="00A9190B" w:rsidP="00036F19">
            <w:pPr>
              <w:rPr>
                <w:rFonts w:ascii="Arial Narrow" w:hAnsi="Arial Narrow"/>
                <w:b/>
              </w:rPr>
            </w:pPr>
          </w:p>
          <w:p w:rsidR="00084EA0" w:rsidRPr="00976A68" w:rsidRDefault="00084EA0" w:rsidP="00036F19">
            <w:pPr>
              <w:rPr>
                <w:rFonts w:ascii="Arial Narrow" w:hAnsi="Arial Narrow"/>
                <w:b/>
              </w:rPr>
            </w:pPr>
          </w:p>
        </w:tc>
      </w:tr>
    </w:tbl>
    <w:p w:rsidR="00A9190B" w:rsidRPr="00976A68" w:rsidRDefault="00A9190B" w:rsidP="00A9190B">
      <w:pPr>
        <w:pStyle w:val="NoSpacing"/>
        <w:rPr>
          <w:rFonts w:ascii="Arial Narrow" w:hAnsi="Arial Narrow"/>
          <w:sz w:val="22"/>
          <w:szCs w:val="22"/>
        </w:rPr>
      </w:pPr>
    </w:p>
    <w:p w:rsidR="00A9190B" w:rsidRPr="00976A68" w:rsidRDefault="00A9190B" w:rsidP="00A9190B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A9190B" w:rsidRPr="00976A68" w:rsidTr="00036F19">
        <w:tc>
          <w:tcPr>
            <w:tcW w:w="8856" w:type="dxa"/>
            <w:shd w:val="clear" w:color="auto" w:fill="D9D9D9"/>
          </w:tcPr>
          <w:p w:rsidR="00A9190B" w:rsidRPr="00976A68" w:rsidRDefault="00A9190B" w:rsidP="00036F19">
            <w:pPr>
              <w:jc w:val="center"/>
              <w:rPr>
                <w:rFonts w:ascii="Arial Narrow" w:hAnsi="Arial Narrow"/>
                <w:b/>
              </w:rPr>
            </w:pPr>
            <w:r w:rsidRPr="00976A68">
              <w:rPr>
                <w:rFonts w:ascii="Arial Narrow" w:hAnsi="Arial Narrow"/>
                <w:b/>
                <w:sz w:val="22"/>
                <w:szCs w:val="22"/>
              </w:rPr>
              <w:t>Politikat akademike dhe rregullat e mirësjelljes:</w:t>
            </w:r>
          </w:p>
        </w:tc>
      </w:tr>
      <w:tr w:rsidR="00A9190B" w:rsidRPr="00976A68" w:rsidTr="00036F19">
        <w:trPr>
          <w:trHeight w:val="1088"/>
        </w:trPr>
        <w:tc>
          <w:tcPr>
            <w:tcW w:w="8856" w:type="dxa"/>
          </w:tcPr>
          <w:p w:rsidR="00A9190B" w:rsidRPr="006C09F6" w:rsidRDefault="00A9190B" w:rsidP="00036F19">
            <w:pPr>
              <w:rPr>
                <w:rFonts w:ascii="Arial Narrow" w:hAnsi="Arial Narrow"/>
              </w:rPr>
            </w:pPr>
          </w:p>
          <w:p w:rsidR="006C09F6" w:rsidRPr="00316FC1" w:rsidRDefault="006C09F6" w:rsidP="006C09F6">
            <w:pPr>
              <w:jc w:val="both"/>
              <w:rPr>
                <w:rFonts w:ascii="Arial Narrow" w:hAnsi="Arial Narrow" w:cs="Arial"/>
                <w:lang w:val="sq-AL"/>
              </w:rPr>
            </w:pPr>
            <w:r w:rsidRPr="00316FC1">
              <w:rPr>
                <w:rFonts w:ascii="Arial Narrow" w:hAnsi="Arial Narrow" w:cs="Arial"/>
                <w:sz w:val="22"/>
                <w:szCs w:val="22"/>
                <w:lang w:val="sq-AL"/>
              </w:rPr>
              <w:t xml:space="preserve">Gjatë ligjëratave studentët janë </w:t>
            </w:r>
            <w:r w:rsidR="00F51DD3">
              <w:rPr>
                <w:rFonts w:ascii="Arial Narrow" w:hAnsi="Arial Narrow" w:cs="Arial"/>
                <w:sz w:val="22"/>
                <w:szCs w:val="22"/>
                <w:lang w:val="sq-AL"/>
              </w:rPr>
              <w:t>të obliguar që</w:t>
            </w:r>
            <w:r w:rsidRPr="00316FC1">
              <w:rPr>
                <w:rFonts w:ascii="Arial Narrow" w:hAnsi="Arial Narrow" w:cs="Arial"/>
                <w:sz w:val="22"/>
                <w:szCs w:val="22"/>
                <w:lang w:val="sq-AL"/>
              </w:rPr>
              <w:t xml:space="preserve"> t’u përmbahen standard</w:t>
            </w:r>
            <w:r w:rsidR="00F51DD3">
              <w:rPr>
                <w:rFonts w:ascii="Arial Narrow" w:hAnsi="Arial Narrow" w:cs="Arial"/>
                <w:sz w:val="22"/>
                <w:szCs w:val="22"/>
                <w:lang w:val="sq-AL"/>
              </w:rPr>
              <w:t>eve më të larta akademike dhe të</w:t>
            </w:r>
            <w:r w:rsidRPr="00316FC1">
              <w:rPr>
                <w:rFonts w:ascii="Arial Narrow" w:hAnsi="Arial Narrow" w:cs="Arial"/>
                <w:sz w:val="22"/>
                <w:szCs w:val="22"/>
                <w:lang w:val="sq-AL"/>
              </w:rPr>
              <w:t xml:space="preserve"> respektojnë norma</w:t>
            </w:r>
            <w:r w:rsidR="00F51DD3">
              <w:rPr>
                <w:rFonts w:ascii="Arial Narrow" w:hAnsi="Arial Narrow" w:cs="Arial"/>
                <w:sz w:val="22"/>
                <w:szCs w:val="22"/>
                <w:lang w:val="sq-AL"/>
              </w:rPr>
              <w:t>t e sjelljes . Në këtë lëndë</w:t>
            </w:r>
            <w:r w:rsidRPr="00316FC1">
              <w:rPr>
                <w:rFonts w:ascii="Arial Narrow" w:hAnsi="Arial Narrow" w:cs="Arial"/>
                <w:sz w:val="22"/>
                <w:szCs w:val="22"/>
                <w:lang w:val="sq-AL"/>
              </w:rPr>
              <w:t xml:space="preserve"> është i ndaluar:</w:t>
            </w:r>
          </w:p>
          <w:p w:rsidR="006C09F6" w:rsidRPr="00316FC1" w:rsidRDefault="006C09F6" w:rsidP="006C09F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sq-AL"/>
              </w:rPr>
            </w:pPr>
            <w:r w:rsidRPr="00316FC1">
              <w:rPr>
                <w:rFonts w:ascii="Arial Narrow" w:hAnsi="Arial Narrow" w:cs="Arial"/>
                <w:sz w:val="22"/>
                <w:szCs w:val="22"/>
                <w:lang w:val="sq-AL"/>
              </w:rPr>
              <w:t>Plagjiarizmi,</w:t>
            </w:r>
          </w:p>
          <w:p w:rsidR="006C09F6" w:rsidRPr="00316FC1" w:rsidRDefault="006C09F6" w:rsidP="006C09F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sq-AL"/>
              </w:rPr>
            </w:pPr>
            <w:r w:rsidRPr="00316FC1">
              <w:rPr>
                <w:rFonts w:ascii="Arial Narrow" w:hAnsi="Arial Narrow" w:cs="Arial"/>
                <w:sz w:val="22"/>
                <w:szCs w:val="22"/>
                <w:lang w:val="sq-AL"/>
              </w:rPr>
              <w:t>Pengimi i procesit mësimor,</w:t>
            </w:r>
          </w:p>
          <w:p w:rsidR="00A9190B" w:rsidRPr="00976A68" w:rsidRDefault="00A9190B" w:rsidP="00036F19">
            <w:pPr>
              <w:rPr>
                <w:rFonts w:ascii="Arial Narrow" w:hAnsi="Arial Narrow"/>
                <w:b/>
                <w:i/>
              </w:rPr>
            </w:pPr>
          </w:p>
        </w:tc>
      </w:tr>
    </w:tbl>
    <w:p w:rsidR="00A9190B" w:rsidRPr="00976A68" w:rsidRDefault="00A9190B" w:rsidP="00A9190B">
      <w:pPr>
        <w:rPr>
          <w:rFonts w:ascii="Arial Narrow" w:hAnsi="Arial Narrow"/>
          <w:b/>
          <w:sz w:val="22"/>
          <w:szCs w:val="22"/>
        </w:rPr>
      </w:pPr>
    </w:p>
    <w:p w:rsidR="00A9190B" w:rsidRPr="00976A68" w:rsidRDefault="00A9190B" w:rsidP="00A9190B">
      <w:pPr>
        <w:rPr>
          <w:rFonts w:ascii="Arial Narrow" w:hAnsi="Arial Narrow"/>
          <w:b/>
          <w:sz w:val="22"/>
          <w:szCs w:val="22"/>
        </w:rPr>
      </w:pPr>
    </w:p>
    <w:p w:rsidR="00A9190B" w:rsidRPr="00976A68" w:rsidRDefault="00A9190B" w:rsidP="00A9190B">
      <w:pPr>
        <w:rPr>
          <w:rFonts w:ascii="Arial Narrow" w:hAnsi="Arial Narrow"/>
          <w:sz w:val="22"/>
          <w:szCs w:val="22"/>
        </w:rPr>
      </w:pPr>
    </w:p>
    <w:p w:rsidR="00352EE5" w:rsidRPr="00976A68" w:rsidRDefault="00352EE5">
      <w:pPr>
        <w:rPr>
          <w:rFonts w:ascii="Arial Narrow" w:hAnsi="Arial Narrow"/>
          <w:sz w:val="22"/>
          <w:szCs w:val="22"/>
        </w:rPr>
      </w:pPr>
    </w:p>
    <w:sectPr w:rsidR="00352EE5" w:rsidRPr="00976A68" w:rsidSect="00335FE7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624" w:rsidRDefault="00343624" w:rsidP="00F934D9">
      <w:r>
        <w:separator/>
      </w:r>
    </w:p>
  </w:endnote>
  <w:endnote w:type="continuationSeparator" w:id="1">
    <w:p w:rsidR="00343624" w:rsidRDefault="00343624" w:rsidP="00F93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43037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36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343624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3061"/>
      <w:docPartObj>
        <w:docPartGallery w:val="Page Numbers (Bottom of Page)"/>
        <w:docPartUnique/>
      </w:docPartObj>
    </w:sdtPr>
    <w:sdtContent>
      <w:p w:rsidR="006C09F6" w:rsidRDefault="00430378">
        <w:pPr>
          <w:pStyle w:val="Footer"/>
          <w:jc w:val="right"/>
        </w:pPr>
        <w:fldSimple w:instr=" PAGE   \* MERGEFORMAT ">
          <w:r w:rsidR="00B956BC">
            <w:rPr>
              <w:noProof/>
            </w:rPr>
            <w:t>1</w:t>
          </w:r>
        </w:fldSimple>
      </w:p>
    </w:sdtContent>
  </w:sdt>
  <w:p w:rsidR="002D3069" w:rsidRDefault="00343624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624" w:rsidRDefault="00343624" w:rsidP="00F934D9">
      <w:r>
        <w:separator/>
      </w:r>
    </w:p>
  </w:footnote>
  <w:footnote w:type="continuationSeparator" w:id="1">
    <w:p w:rsidR="00343624" w:rsidRDefault="00343624" w:rsidP="00F934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1A1"/>
    <w:multiLevelType w:val="hybridMultilevel"/>
    <w:tmpl w:val="55B4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14CA6"/>
    <w:multiLevelType w:val="hybridMultilevel"/>
    <w:tmpl w:val="DA9C3656"/>
    <w:lvl w:ilvl="0" w:tplc="271E2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E1D24"/>
    <w:multiLevelType w:val="hybridMultilevel"/>
    <w:tmpl w:val="4EE05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7878A9"/>
    <w:multiLevelType w:val="hybridMultilevel"/>
    <w:tmpl w:val="8356E244"/>
    <w:lvl w:ilvl="0" w:tplc="2F8EE9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B1078"/>
    <w:multiLevelType w:val="hybridMultilevel"/>
    <w:tmpl w:val="04CA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90B"/>
    <w:rsid w:val="0007015D"/>
    <w:rsid w:val="00084EA0"/>
    <w:rsid w:val="00092544"/>
    <w:rsid w:val="00217997"/>
    <w:rsid w:val="002A30C3"/>
    <w:rsid w:val="00326BE3"/>
    <w:rsid w:val="00343624"/>
    <w:rsid w:val="00352EE5"/>
    <w:rsid w:val="00383E09"/>
    <w:rsid w:val="003D42E0"/>
    <w:rsid w:val="003F365B"/>
    <w:rsid w:val="00430378"/>
    <w:rsid w:val="00521395"/>
    <w:rsid w:val="005322E8"/>
    <w:rsid w:val="00587499"/>
    <w:rsid w:val="00696E06"/>
    <w:rsid w:val="006C09F6"/>
    <w:rsid w:val="00790185"/>
    <w:rsid w:val="007D7F99"/>
    <w:rsid w:val="00816049"/>
    <w:rsid w:val="00880F93"/>
    <w:rsid w:val="00910362"/>
    <w:rsid w:val="00921016"/>
    <w:rsid w:val="00976A68"/>
    <w:rsid w:val="00A174AC"/>
    <w:rsid w:val="00A5060C"/>
    <w:rsid w:val="00A50CE0"/>
    <w:rsid w:val="00A9190B"/>
    <w:rsid w:val="00A9574E"/>
    <w:rsid w:val="00AB736C"/>
    <w:rsid w:val="00B956BC"/>
    <w:rsid w:val="00C32EC2"/>
    <w:rsid w:val="00C836CE"/>
    <w:rsid w:val="00CB39E7"/>
    <w:rsid w:val="00D27BF0"/>
    <w:rsid w:val="00DD4359"/>
    <w:rsid w:val="00E43C0A"/>
    <w:rsid w:val="00EF1DF6"/>
    <w:rsid w:val="00F51DD3"/>
    <w:rsid w:val="00F9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19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9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9190B"/>
  </w:style>
  <w:style w:type="paragraph" w:styleId="NoSpacing">
    <w:name w:val="No Spacing"/>
    <w:uiPriority w:val="1"/>
    <w:qFormat/>
    <w:rsid w:val="00A9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19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6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2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0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9F6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D27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un.halili@uni-pr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nsilium-eureka.hosted.exlibrisgroup.com/primo-explore/fulldisplay?docid=32CEU_ALMA5129149990004371&amp;context=L&amp;vid=32CEU_VU1&amp;lang=en_US&amp;tab=default_tab&amp;query=any,contains,the%20future%20of%20europe%20:%20views&amp;sortby=rank&amp;offset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hona.lushaku@uni-p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zenun</dc:creator>
  <cp:lastModifiedBy>zenun.halili</cp:lastModifiedBy>
  <cp:revision>13</cp:revision>
  <dcterms:created xsi:type="dcterms:W3CDTF">2018-02-20T20:23:00Z</dcterms:created>
  <dcterms:modified xsi:type="dcterms:W3CDTF">2020-10-06T09:00:00Z</dcterms:modified>
</cp:coreProperties>
</file>