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7700" w14:textId="38EEE336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0E3911">
        <w:rPr>
          <w:rFonts w:ascii="Calibri" w:hAnsi="Calibri"/>
          <w:b/>
          <w:sz w:val="28"/>
          <w:szCs w:val="28"/>
        </w:rPr>
        <w:t xml:space="preserve">Teoria </w:t>
      </w:r>
      <w:r w:rsidR="000254D0">
        <w:rPr>
          <w:rFonts w:ascii="Calibri" w:hAnsi="Calibri"/>
          <w:b/>
          <w:sz w:val="28"/>
          <w:szCs w:val="28"/>
        </w:rPr>
        <w:t>e Informacionit dhe Kodimi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3"/>
        <w:gridCol w:w="1526"/>
        <w:gridCol w:w="1752"/>
        <w:gridCol w:w="2609"/>
      </w:tblGrid>
      <w:tr w:rsidR="00151A17" w:rsidRPr="00BA1DE5" w14:paraId="015CF6A6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BE0FD2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2EDBD9D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EF6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5B78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FIEK</w:t>
            </w:r>
          </w:p>
        </w:tc>
      </w:tr>
      <w:tr w:rsidR="00151A17" w:rsidRPr="00BA1DE5" w14:paraId="35643D2E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FA3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8871" w14:textId="5B8B9DED" w:rsidR="00151A17" w:rsidRPr="00BA1DE5" w:rsidRDefault="000254D0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Teoria e Informacionit dhe Kodimi</w:t>
            </w:r>
          </w:p>
        </w:tc>
      </w:tr>
      <w:tr w:rsidR="00151A17" w:rsidRPr="00BA1DE5" w14:paraId="4023B14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D74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9F5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</w:p>
        </w:tc>
      </w:tr>
      <w:tr w:rsidR="00151A17" w:rsidRPr="00BA1DE5" w14:paraId="3A1427D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ED5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4BD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3EAC91F9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538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1AA9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151A17" w:rsidRPr="00BA1DE5" w14:paraId="32A3C3E2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C95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A856" w14:textId="77777777" w:rsidR="00151A17" w:rsidRPr="00BA1DE5" w:rsidRDefault="000E391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3+0+1</w:t>
            </w:r>
          </w:p>
        </w:tc>
      </w:tr>
      <w:tr w:rsidR="00151A17" w:rsidRPr="00BA1DE5" w14:paraId="7CE279C3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8A5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2D1D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1C9234B3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31F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A705" w14:textId="77777777" w:rsidR="00151A17" w:rsidRPr="00BA1DE5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14:paraId="62A517B1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E4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6213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 Limani Fazliu</w:t>
            </w:r>
          </w:p>
        </w:tc>
      </w:tr>
      <w:tr w:rsidR="00151A17" w:rsidRPr="00BA1DE5" w14:paraId="745AD40C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C24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5077" w14:textId="77777777" w:rsidR="00151A17" w:rsidRPr="00BA1DE5" w:rsidRDefault="00D73486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zana.limani@uni-pr.edu</w:t>
            </w:r>
          </w:p>
        </w:tc>
      </w:tr>
      <w:tr w:rsidR="00151A17" w:rsidRPr="00BA1DE5" w14:paraId="3596AD8B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B85C30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66A746A5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7F7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ED7E" w14:textId="77777777" w:rsidR="006C2692" w:rsidRPr="006C2692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ështrim i shkurtër i teorisë së probabilitetit; konceptet themelore të teorisë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së informacionit: pasiguria, informacioni dhe entropia, informacioni reciprok, kapaciteti i kanalit, debiti i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informacioni, teorema e Shanonit për kanal pa zhurmë dhe teoremë themelore Shannonit për kodim;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modelimi i burimeve të informacionit: burimet pa memorie të model i Markovit; modeli i kanaleve binare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simetrike të informacionit (BSC) dhe kanalit binar me fshirje (BEC), aditiviteti i informacionit dhe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kanalet në kaskadë; ndërtimi i kodeve kompakte të burimit: jobarazimi i Kraftit, kodet kompakte,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komprimimi i të dhënat, kodet e Huffman-it dhe të Lempel-Ziv -Welch (LZW) për komprimim; analiza</w:t>
            </w:r>
          </w:p>
          <w:p w14:paraId="605DDEF3" w14:textId="77777777" w:rsidR="006C2692" w:rsidRPr="006C2692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dizajnimi i kodeve për kontrollim të gabimeve në kanal: distanca e Hammingut, kodet lineare binare</w:t>
            </w:r>
          </w:p>
          <w:p w14:paraId="0C3F0ADD" w14:textId="77777777" w:rsidR="00170CA1" w:rsidRDefault="006C2692" w:rsidP="006C2692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6C2692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dhe matrica e kontrollit të paritetit, kodet e Hamming, kodet ciklike dhe kodet redundante ciklike (CRC).</w:t>
            </w:r>
          </w:p>
          <w:p w14:paraId="69907A0D" w14:textId="77777777"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203248AD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26CC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770" w14:textId="77777777" w:rsidR="00170CA1" w:rsidRDefault="006C2692" w:rsidP="006C2692">
            <w:p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Qëllimi kryesor i këtij kursi është të njoftojë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themelore të teorisë së informacionit dhe me një vështrim të teknikave të ndryshme të kodim dhe të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përshtatjes së tyre për aplikime të veçanta.</w:t>
            </w:r>
          </w:p>
          <w:p w14:paraId="3C7CF0E5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1003ADBA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41AD34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42796F1" w14:textId="77777777" w:rsidR="006C2692" w:rsidRP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  <w:r w:rsidRPr="006C2692">
              <w:rPr>
                <w:rFonts w:cstheme="minorHAnsi"/>
              </w:rPr>
              <w:t>e përfundimin e suksesshëm të këtij kursi studenti do të jetë në</w:t>
            </w:r>
          </w:p>
          <w:p w14:paraId="0DD68115" w14:textId="77777777" w:rsid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gjendje: </w:t>
            </w:r>
          </w:p>
          <w:p w14:paraId="7922BAD2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analizojë parametrat themelore të rëndësishme për teorinë e informacionit; </w:t>
            </w:r>
          </w:p>
          <w:p w14:paraId="44661355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dizajnojë kode përkatëse për korrigjimin e një numri të caktuar të gabimeve; </w:t>
            </w:r>
          </w:p>
          <w:p w14:paraId="1B008643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 xml:space="preserve">të shpjegojë parimet e funksionimit të bllok kodeve, kodeve ciklike dhe kodeve konvolucionale; </w:t>
            </w:r>
          </w:p>
          <w:p w14:paraId="7E2B7EC5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Të ndërtojë kod përkatës për korrigjimin e gabimeve</w:t>
            </w:r>
          </w:p>
          <w:p w14:paraId="65AB41E0" w14:textId="77777777" w:rsidR="006C2692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për një aplikim të caktuar;</w:t>
            </w:r>
          </w:p>
          <w:p w14:paraId="760B2762" w14:textId="77777777" w:rsidR="00151A17" w:rsidRPr="006C2692" w:rsidRDefault="006C2692" w:rsidP="006C2692">
            <w:pPr>
              <w:pStyle w:val="ListParagraph"/>
              <w:numPr>
                <w:ilvl w:val="0"/>
                <w:numId w:val="1"/>
              </w:numPr>
              <w:spacing w:after="0" w:line="240" w:lineRule="exact"/>
              <w:rPr>
                <w:rFonts w:cstheme="minorHAnsi"/>
              </w:rPr>
            </w:pPr>
            <w:r w:rsidRPr="006C2692">
              <w:rPr>
                <w:rFonts w:cstheme="minorHAnsi"/>
              </w:rPr>
              <w:t>të kuptojë kufizimet themelore të korrigjimit të gabimeve.</w:t>
            </w:r>
          </w:p>
          <w:p w14:paraId="24F2C1DB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5123547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82C70C3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BEEF1E2" w14:textId="77777777" w:rsidR="006C2692" w:rsidRDefault="006C2692" w:rsidP="006C2692">
            <w:pPr>
              <w:spacing w:after="0" w:line="240" w:lineRule="exact"/>
              <w:rPr>
                <w:rFonts w:cstheme="minorHAnsi"/>
              </w:rPr>
            </w:pPr>
            <w:r>
              <w:rPr>
                <w:rFonts w:cstheme="minorHAnsi"/>
              </w:rPr>
              <w:t>Kjo lëndë</w:t>
            </w:r>
            <w:r w:rsidRPr="006C2692">
              <w:rPr>
                <w:rFonts w:cstheme="minorHAnsi"/>
              </w:rPr>
              <w:t xml:space="preserve"> njofto</w:t>
            </w:r>
            <w:r>
              <w:rPr>
                <w:rFonts w:cstheme="minorHAnsi"/>
              </w:rPr>
              <w:t>n</w:t>
            </w:r>
            <w:r w:rsidRPr="006C2692">
              <w:rPr>
                <w:rFonts w:cstheme="minorHAnsi"/>
              </w:rPr>
              <w:t xml:space="preserve"> studentët me konceptet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 xml:space="preserve">themelore të teorisë së informacionit </w:t>
            </w:r>
            <w:r>
              <w:rPr>
                <w:rFonts w:cstheme="minorHAnsi"/>
              </w:rPr>
              <w:t>si dhe i pajis ata me njohuri të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nevojshme për teknikat</w:t>
            </w:r>
            <w:r w:rsidRPr="006C2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</w:t>
            </w:r>
            <w:r w:rsidRPr="006C2692">
              <w:rPr>
                <w:rFonts w:cstheme="minorHAnsi"/>
              </w:rPr>
              <w:t xml:space="preserve"> ndryshme të kodim</w:t>
            </w:r>
            <w:r>
              <w:rPr>
                <w:rFonts w:cstheme="minorHAnsi"/>
              </w:rPr>
              <w:t>it</w:t>
            </w:r>
            <w:r w:rsidRPr="006C2692">
              <w:rPr>
                <w:rFonts w:cstheme="minorHAnsi"/>
              </w:rPr>
              <w:t xml:space="preserve"> dhe të</w:t>
            </w:r>
            <w:r>
              <w:rPr>
                <w:rFonts w:cstheme="minorHAnsi"/>
              </w:rPr>
              <w:t xml:space="preserve"> </w:t>
            </w:r>
            <w:r w:rsidRPr="006C2692">
              <w:rPr>
                <w:rFonts w:cstheme="minorHAnsi"/>
              </w:rPr>
              <w:t>përshtatjes së tyre për aplikime të veçanta.</w:t>
            </w:r>
            <w:r>
              <w:rPr>
                <w:rFonts w:cstheme="minorHAnsi"/>
              </w:rPr>
              <w:t xml:space="preserve">  </w:t>
            </w:r>
          </w:p>
          <w:p w14:paraId="78C24D7B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0E73936D" w14:textId="77777777" w:rsidTr="00A83BFF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36CC2A2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1E2E8F74" w14:textId="77777777" w:rsidTr="00A83BFF">
        <w:trPr>
          <w:trHeight w:val="70"/>
        </w:trPr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EB7685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59828F86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42256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3A14C6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DFD455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5900D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63A61D73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C8E9D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BF8EA2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FB929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5D2B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151A17" w:rsidRPr="00BA1DE5" w14:paraId="519034D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C4B504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615E66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F05B20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F6A4F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cs="Arial"/>
              </w:rPr>
            </w:pPr>
            <w:r w:rsidRPr="00F05B20">
              <w:rPr>
                <w:rFonts w:cs="Arial"/>
              </w:rPr>
              <w:t>1/15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E5142" w14:textId="77777777" w:rsidR="00151A17" w:rsidRPr="00F05B20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F05B20">
              <w:rPr>
                <w:rFonts w:ascii="Calibri" w:hAnsi="Calibri" w:cs="Arial"/>
              </w:rPr>
              <w:t>15</w:t>
            </w:r>
          </w:p>
        </w:tc>
      </w:tr>
      <w:tr w:rsidR="00151A17" w:rsidRPr="00BA1DE5" w14:paraId="4FDA19F5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48944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6CE55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654D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15C7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5DEEA829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229B59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AEB33F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F52E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D1C2C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6EB5166E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B627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15537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2F64B4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725E1" w14:textId="77777777" w:rsidR="00151A17" w:rsidRPr="00BA1DE5" w:rsidRDefault="00A83BFF" w:rsidP="00A83BFF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12939A6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2A772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2A742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B7CE1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5034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16B7DDF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98490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355313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C0E415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ACDDA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6C66E361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CB284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D59DBC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1122FE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411E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1208891B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DE50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B7B021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CCE7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A457C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0F5FB62C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0896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232D66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916FE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EE68F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14:paraId="3ACEEE7F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DC6EA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8CFC9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C402F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18E5" w14:textId="77777777" w:rsidR="00151A17" w:rsidRPr="00BA1DE5" w:rsidRDefault="006C269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</w:tr>
      <w:tr w:rsidR="00151A17" w:rsidRPr="00BA1DE5" w14:paraId="5A2C0018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FA047C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2EEFF6D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5C9D9C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BB497AF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56100A6D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50C8BBB" w14:textId="77777777" w:rsidR="00151A17" w:rsidRPr="00483E8E" w:rsidRDefault="00151A17" w:rsidP="001E3C40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D597E2B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4A0D6A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CF17485" w14:textId="77777777" w:rsidR="00151A17" w:rsidRPr="00BA1DE5" w:rsidRDefault="00A83BFF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/</w:t>
            </w:r>
          </w:p>
        </w:tc>
      </w:tr>
      <w:tr w:rsidR="00151A17" w:rsidRPr="00BA1DE5" w14:paraId="2EB9639C" w14:textId="77777777" w:rsidTr="00A83BFF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06CD80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A87BF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A9143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6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7864A2" w14:textId="77777777" w:rsidR="00151A17" w:rsidRPr="00BA1DE5" w:rsidRDefault="00F05B20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</w:tc>
      </w:tr>
      <w:tr w:rsidR="00151A17" w:rsidRPr="00BA1DE5" w14:paraId="3EF089C7" w14:textId="77777777" w:rsidTr="00A83BFF">
        <w:tc>
          <w:tcPr>
            <w:tcW w:w="946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92F1976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16F96234" w14:textId="77777777" w:rsidTr="00A83BFF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5CD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96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FA13" w14:textId="77777777" w:rsidR="00151A17" w:rsidRPr="00170CA1" w:rsidRDefault="006C2692" w:rsidP="001E3C40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Ligjërata,</w:t>
            </w:r>
            <w:r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</w:t>
            </w:r>
            <w:r w:rsidRPr="006C2692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diskutime, laborator, punë seminarike</w:t>
            </w:r>
          </w:p>
        </w:tc>
      </w:tr>
      <w:tr w:rsidR="00151A17" w:rsidRPr="00BA1DE5" w14:paraId="5691EE14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1A50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376" w14:textId="77777777" w:rsidR="00151A17" w:rsidRPr="00170CA1" w:rsidRDefault="00170CA1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="00151A17" w:rsidRPr="00170CA1">
              <w:rPr>
                <w:rFonts w:cstheme="minorHAnsi"/>
                <w:i/>
              </w:rPr>
              <w:t xml:space="preserve">Kufiri i kalueshmërisë së lëndës është </w:t>
            </w:r>
            <w:r w:rsidR="006C2692">
              <w:rPr>
                <w:rFonts w:cstheme="minorHAnsi"/>
                <w:i/>
              </w:rPr>
              <w:t>50</w:t>
            </w:r>
            <w:r w:rsidR="00151A17" w:rsidRPr="00170CA1">
              <w:rPr>
                <w:rFonts w:cstheme="minorHAnsi"/>
                <w:i/>
              </w:rPr>
              <w:t>%.</w:t>
            </w:r>
          </w:p>
          <w:p w14:paraId="1C614E36" w14:textId="042339FC" w:rsidR="00151A17" w:rsidRPr="00170CA1" w:rsidRDefault="00151A17" w:rsidP="001E3C40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Vijueshmëria e studentit </w:t>
            </w:r>
            <w:r w:rsidR="00DD68C9">
              <w:rPr>
                <w:rFonts w:cstheme="minorHAnsi"/>
                <w:i/>
              </w:rPr>
              <w:t>1</w:t>
            </w:r>
            <w:r w:rsidR="006C2692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>%;</w:t>
            </w:r>
          </w:p>
          <w:p w14:paraId="5C022703" w14:textId="77777777" w:rsidR="00151A17" w:rsidRPr="00170CA1" w:rsidRDefault="006C2692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Punimi seminarik 40</w:t>
            </w:r>
            <w:r w:rsidR="00151A17" w:rsidRPr="00170CA1">
              <w:rPr>
                <w:rFonts w:cstheme="minorHAnsi"/>
                <w:i/>
              </w:rPr>
              <w:t xml:space="preserve">%; </w:t>
            </w:r>
          </w:p>
          <w:p w14:paraId="599F7D2C" w14:textId="5FF91441" w:rsidR="00151A17" w:rsidRPr="00BA1DE5" w:rsidRDefault="006C2692" w:rsidP="001E3C40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Provimi final </w:t>
            </w:r>
            <w:r w:rsidR="00DD68C9">
              <w:rPr>
                <w:rFonts w:cstheme="minorHAnsi"/>
                <w:i/>
              </w:rPr>
              <w:t>4</w:t>
            </w:r>
            <w:r>
              <w:rPr>
                <w:rFonts w:cstheme="minorHAnsi"/>
                <w:i/>
              </w:rPr>
              <w:t>5</w:t>
            </w:r>
            <w:r w:rsidR="00151A17" w:rsidRPr="00170CA1">
              <w:rPr>
                <w:rFonts w:cstheme="minorHAnsi"/>
                <w:i/>
              </w:rPr>
              <w:t>%.</w:t>
            </w:r>
            <w:r w:rsidR="00170CA1">
              <w:rPr>
                <w:rFonts w:cstheme="minorHAnsi"/>
                <w:i/>
              </w:rPr>
              <w:t>)</w:t>
            </w:r>
          </w:p>
        </w:tc>
      </w:tr>
      <w:tr w:rsidR="00151A17" w:rsidRPr="00BA1DE5" w14:paraId="14047172" w14:textId="77777777" w:rsidTr="00A83BFF">
        <w:tc>
          <w:tcPr>
            <w:tcW w:w="9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7676117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0D3CBBE3" w14:textId="77777777" w:rsidTr="00A83BFF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DD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0FCB" w14:textId="77777777" w:rsidR="00A83BFF" w:rsidRPr="00A83BFF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>
              <w:rPr>
                <w:bCs/>
                <w:i/>
                <w:iCs/>
                <w:lang w:eastAsia="mk-MK"/>
              </w:rPr>
              <w:t>1</w:t>
            </w:r>
            <w:r w:rsidRPr="00A83BFF">
              <w:rPr>
                <w:bCs/>
                <w:i/>
                <w:iCs/>
                <w:lang w:eastAsia="mk-MK"/>
              </w:rPr>
              <w:t>.</w:t>
            </w:r>
            <w:r w:rsidRPr="00A83BFF">
              <w:rPr>
                <w:bCs/>
                <w:i/>
                <w:iCs/>
                <w:lang w:eastAsia="mk-MK"/>
              </w:rPr>
              <w:tab/>
              <w:t xml:space="preserve">T. M. Cover, J. A. Thomas, “Elements of Information Theory”, </w:t>
            </w:r>
            <w:r>
              <w:rPr>
                <w:bCs/>
                <w:i/>
                <w:iCs/>
                <w:lang w:eastAsia="mk-MK"/>
              </w:rPr>
              <w:t>W</w:t>
            </w:r>
            <w:r w:rsidRPr="00A83BFF">
              <w:rPr>
                <w:bCs/>
                <w:i/>
                <w:iCs/>
                <w:lang w:eastAsia="mk-MK"/>
              </w:rPr>
              <w:t xml:space="preserve">iley, 2nd Edition, 2006. </w:t>
            </w:r>
          </w:p>
          <w:p w14:paraId="1C29A94D" w14:textId="77777777" w:rsidR="00A83BFF" w:rsidRPr="00A83BFF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A83BFF">
              <w:rPr>
                <w:bCs/>
                <w:i/>
                <w:iCs/>
                <w:lang w:eastAsia="mk-MK"/>
              </w:rPr>
              <w:t>2.</w:t>
            </w:r>
            <w:r w:rsidRPr="00A83BFF">
              <w:rPr>
                <w:bCs/>
                <w:i/>
                <w:iCs/>
                <w:lang w:eastAsia="mk-MK"/>
              </w:rPr>
              <w:tab/>
              <w:t xml:space="preserve">Roberto Togneri, Christopher J.S. deSilva, “Fundamentals of Information Theory and Coding Design”, 2005 Chapman &amp;Hall/CRC. </w:t>
            </w:r>
          </w:p>
          <w:p w14:paraId="0550BE8D" w14:textId="77777777" w:rsidR="00170CA1" w:rsidRDefault="00A83BFF" w:rsidP="00A83BFF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A83BFF">
              <w:rPr>
                <w:bCs/>
                <w:i/>
                <w:iCs/>
                <w:lang w:eastAsia="mk-MK"/>
              </w:rPr>
              <w:t>3.</w:t>
            </w:r>
            <w:r w:rsidRPr="00A83BFF">
              <w:rPr>
                <w:bCs/>
                <w:i/>
                <w:iCs/>
                <w:lang w:eastAsia="mk-MK"/>
              </w:rPr>
              <w:tab/>
              <w:t>Essentials of error-control coding, Jorge Castiñeira Moreira, Patrick Guy Farrell, 2006 John Wiley &amp; Sons Ltd.</w:t>
            </w:r>
          </w:p>
          <w:p w14:paraId="05AAD6F5" w14:textId="77777777" w:rsidR="00170CA1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</w:p>
          <w:p w14:paraId="06051D2B" w14:textId="77777777" w:rsidR="00170CA1" w:rsidRPr="00BA1DE5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09D4CF7A" w14:textId="77777777" w:rsidTr="00A83BFF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E00AEF5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B44CF63" w14:textId="77777777" w:rsidR="00151A17" w:rsidRPr="00BA1DE5" w:rsidRDefault="00151A17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76"/>
        <w:gridCol w:w="3543"/>
        <w:gridCol w:w="3131"/>
      </w:tblGrid>
      <w:tr w:rsidR="00151A17" w:rsidRPr="00BA1DE5" w14:paraId="5427FED3" w14:textId="77777777" w:rsidTr="002E5DE1">
        <w:tc>
          <w:tcPr>
            <w:tcW w:w="93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4282BE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0C00E684" w14:textId="77777777" w:rsidTr="002E5DE1">
        <w:tc>
          <w:tcPr>
            <w:tcW w:w="26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D67C55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31094DA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31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CF5C7D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2E5DE1" w:rsidRPr="00BA1DE5" w14:paraId="62CE27BE" w14:textId="77777777" w:rsidTr="002E5DE1">
        <w:tc>
          <w:tcPr>
            <w:tcW w:w="267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1425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49A023" w14:textId="5BE52395" w:rsidR="002E5DE1" w:rsidRPr="002E5DE1" w:rsidRDefault="002E5DE1" w:rsidP="002E5DE1">
            <w:pPr>
              <w:spacing w:after="0" w:line="240" w:lineRule="exact"/>
              <w:rPr>
                <w:rFonts w:cstheme="minorHAnsi"/>
              </w:rPr>
            </w:pPr>
            <w:r w:rsidRPr="002E5DE1">
              <w:rPr>
                <w:rFonts w:hAnsi="Arial" w:cs="Arial"/>
                <w:kern w:val="24"/>
              </w:rPr>
              <w:t>Konceptet themelore nga Teoria e informacionit</w:t>
            </w:r>
          </w:p>
        </w:tc>
        <w:tc>
          <w:tcPr>
            <w:tcW w:w="31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1509A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245FCDB6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9159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EFB754" w14:textId="220A25DE" w:rsidR="002E5DE1" w:rsidRPr="002E5DE1" w:rsidRDefault="002E5DE1" w:rsidP="002E5DE1">
            <w:pPr>
              <w:spacing w:after="0" w:line="240" w:lineRule="exact"/>
              <w:jc w:val="both"/>
              <w:rPr>
                <w:rFonts w:cs="Arial"/>
              </w:rPr>
            </w:pPr>
            <w:r w:rsidRPr="002E5DE1">
              <w:rPr>
                <w:rFonts w:hAnsi="Arial" w:cs="Arial"/>
                <w:kern w:val="24"/>
              </w:rPr>
              <w:t>Paparashikueshm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>ria, informacioni dhe entropia, informacioni reciprok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5913F7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11CD7B1E" w14:textId="77777777" w:rsidTr="002E5DE1">
        <w:trPr>
          <w:trHeight w:val="280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703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5040A" w14:textId="20EB01A5" w:rsidR="002E5DE1" w:rsidRPr="002E5DE1" w:rsidRDefault="002E5DE1" w:rsidP="002E5DE1">
            <w:pPr>
              <w:spacing w:after="0" w:line="240" w:lineRule="exact"/>
            </w:pPr>
            <w:r w:rsidRPr="002E5DE1">
              <w:rPr>
                <w:rFonts w:hAnsi="Arial" w:cs="Arial"/>
                <w:kern w:val="24"/>
              </w:rPr>
              <w:t>Rregullat zinxhirore, jobarazimi i Jensenit, entropia maksimale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8C515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0837C495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E220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4: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7B040" w14:textId="1EB6AA71" w:rsidR="002E5DE1" w:rsidRPr="002E5DE1" w:rsidRDefault="002E5DE1" w:rsidP="002E5DE1">
            <w:pPr>
              <w:spacing w:after="0" w:line="240" w:lineRule="exact"/>
              <w:jc w:val="both"/>
              <w:rPr>
                <w:i/>
              </w:rPr>
            </w:pPr>
            <w:r w:rsidRPr="002E5DE1">
              <w:rPr>
                <w:rFonts w:hAnsi="Arial" w:cs="Arial"/>
                <w:kern w:val="24"/>
              </w:rPr>
              <w:t>Burimet e informacionit, burimet e Markovit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18428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3B24E2E2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37A2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C21D7" w14:textId="299963D2" w:rsidR="002E5DE1" w:rsidRPr="002E5DE1" w:rsidRDefault="002E5DE1" w:rsidP="002E5DE1">
            <w:pPr>
              <w:spacing w:after="0" w:line="240" w:lineRule="exact"/>
              <w:jc w:val="both"/>
              <w:rPr>
                <w:rFonts w:cs="Arial"/>
              </w:rPr>
            </w:pPr>
            <w:r w:rsidRPr="002E5DE1">
              <w:rPr>
                <w:rFonts w:hAnsi="Arial"/>
                <w:kern w:val="24"/>
              </w:rPr>
              <w:t>Kodimi I burimit, Teorema e Shanonit p</w:t>
            </w:r>
            <w:r w:rsidRPr="002E5DE1">
              <w:rPr>
                <w:rFonts w:hAnsi="Arial"/>
                <w:kern w:val="24"/>
              </w:rPr>
              <w:t>ë</w:t>
            </w:r>
            <w:r w:rsidRPr="002E5DE1">
              <w:rPr>
                <w:rFonts w:hAnsi="Arial"/>
                <w:kern w:val="24"/>
              </w:rPr>
              <w:t>r kodimin n</w:t>
            </w:r>
            <w:r w:rsidRPr="002E5DE1">
              <w:rPr>
                <w:rFonts w:hAnsi="Arial"/>
                <w:kern w:val="24"/>
              </w:rPr>
              <w:t>ë</w:t>
            </w:r>
            <w:r w:rsidRPr="002E5DE1">
              <w:rPr>
                <w:rFonts w:hAnsi="Arial"/>
                <w:kern w:val="24"/>
              </w:rPr>
              <w:t xml:space="preserve"> burim, jobarazimi i Kraftit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ADC5F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77BF759E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BEB0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7387E" w14:textId="77777777" w:rsidR="002E5DE1" w:rsidRPr="002E5DE1" w:rsidRDefault="002E5DE1" w:rsidP="002E5DE1">
            <w:pPr>
              <w:pStyle w:val="NormalWeb"/>
              <w:spacing w:before="0" w:beforeAutospacing="0" w:after="0" w:afterAutospacing="0" w:line="240" w:lineRule="exact"/>
              <w:rPr>
                <w:rFonts w:ascii="Arial" w:hAnsi="Arial" w:cs="Arial"/>
                <w:sz w:val="22"/>
                <w:szCs w:val="22"/>
              </w:rPr>
            </w:pPr>
            <w:r w:rsidRPr="002E5DE1">
              <w:rPr>
                <w:rFonts w:asciiTheme="minorHAnsi" w:hAnsi="Arial" w:cs="Arial"/>
                <w:kern w:val="24"/>
                <w:sz w:val="22"/>
                <w:szCs w:val="22"/>
              </w:rPr>
              <w:t>Kodimi i Huffmanit, kodimi aritmetikor</w:t>
            </w:r>
          </w:p>
          <w:p w14:paraId="26B70233" w14:textId="505F255F" w:rsidR="002E5DE1" w:rsidRPr="002E5DE1" w:rsidRDefault="002E5DE1" w:rsidP="002E5DE1">
            <w:pPr>
              <w:spacing w:after="0" w:line="240" w:lineRule="exact"/>
            </w:pPr>
            <w:r w:rsidRPr="002E5DE1">
              <w:rPr>
                <w:rFonts w:hAnsi="Arial" w:cs="Arial"/>
                <w:kern w:val="24"/>
              </w:rPr>
              <w:t> 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C1932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099EDCD8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222B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B712A" w14:textId="6C48E43A" w:rsidR="002E5DE1" w:rsidRPr="002E5DE1" w:rsidRDefault="002E5DE1" w:rsidP="002E5DE1">
            <w:pPr>
              <w:spacing w:after="0" w:line="240" w:lineRule="exact"/>
              <w:jc w:val="both"/>
              <w:rPr>
                <w:i/>
              </w:rPr>
            </w:pPr>
            <w:r w:rsidRPr="002E5DE1">
              <w:rPr>
                <w:rFonts w:hAnsi="Arial" w:cs="Arial"/>
                <w:kern w:val="24"/>
              </w:rPr>
              <w:t>Kodimi i bazuar n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 xml:space="preserve"> fjalor, kodimi i imazheve (Lempel Ziv, Transformimi DCT)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10BD0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329024F6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960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8DA67A" w14:textId="1BE49F25" w:rsidR="002E5DE1" w:rsidRPr="002E5DE1" w:rsidRDefault="002E5DE1" w:rsidP="002E5DE1">
            <w:pPr>
              <w:spacing w:after="0" w:line="240" w:lineRule="exact"/>
              <w:jc w:val="both"/>
              <w:rPr>
                <w:rFonts w:cs="Arial"/>
              </w:rPr>
            </w:pPr>
            <w:r w:rsidRPr="002E5DE1">
              <w:rPr>
                <w:rFonts w:hAnsi="Arial" w:cs="Arial"/>
                <w:kern w:val="24"/>
              </w:rPr>
              <w:t>Kapaciteti I kanalit, teorema e Shanonit p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>r kodimin e kanalit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85E8D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67F87BF2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ADC2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4D4C0" w14:textId="78B1717A" w:rsidR="002E5DE1" w:rsidRPr="002E5DE1" w:rsidRDefault="002E5DE1" w:rsidP="002E5DE1">
            <w:pPr>
              <w:spacing w:after="0" w:line="240" w:lineRule="exact"/>
            </w:pPr>
            <w:r w:rsidRPr="002E5DE1">
              <w:rPr>
                <w:rFonts w:hAnsi="Arial"/>
                <w:kern w:val="24"/>
                <w:lang w:val="en-GB"/>
              </w:rPr>
              <w:t>Kapaciteti i kanalit binar simetrik, kanlit me fshirje, kanalit t</w:t>
            </w:r>
            <w:r w:rsidRPr="002E5DE1">
              <w:rPr>
                <w:rFonts w:hAnsi="Arial"/>
                <w:kern w:val="24"/>
                <w:lang w:val="en-GB"/>
              </w:rPr>
              <w:t>ë</w:t>
            </w:r>
            <w:r w:rsidRPr="002E5DE1">
              <w:rPr>
                <w:rFonts w:hAnsi="Arial"/>
                <w:kern w:val="24"/>
                <w:lang w:val="en-GB"/>
              </w:rPr>
              <w:t xml:space="preserve"> Gausit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82AB76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3803BCFA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E7F4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A4AD8" w14:textId="2C65AD6E" w:rsidR="002E5DE1" w:rsidRPr="002E5DE1" w:rsidRDefault="002E5DE1" w:rsidP="002E5DE1">
            <w:pPr>
              <w:spacing w:after="0" w:line="240" w:lineRule="exact"/>
            </w:pPr>
            <w:r w:rsidRPr="002E5DE1">
              <w:rPr>
                <w:rFonts w:hAnsi="Arial" w:cs="Arial"/>
                <w:kern w:val="24"/>
              </w:rPr>
              <w:t>Analiza dhe dizajnimi i kodeve p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>r kontrollim t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 xml:space="preserve"> gabimeve n</w:t>
            </w:r>
            <w:r w:rsidRPr="002E5DE1">
              <w:rPr>
                <w:rFonts w:hAnsi="Arial" w:cs="Arial"/>
                <w:kern w:val="24"/>
              </w:rPr>
              <w:t>ë</w:t>
            </w:r>
            <w:r w:rsidRPr="002E5DE1">
              <w:rPr>
                <w:rFonts w:hAnsi="Arial" w:cs="Arial"/>
                <w:kern w:val="24"/>
              </w:rPr>
              <w:t xml:space="preserve"> kanal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25F3B8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43EDD267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8237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11EB7" w14:textId="4F35DDB0" w:rsidR="002E5DE1" w:rsidRPr="002E5DE1" w:rsidRDefault="002E5DE1" w:rsidP="002E5DE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E5DE1">
              <w:rPr>
                <w:rFonts w:asciiTheme="minorHAnsi" w:hAnsi="Arial" w:cs="Arial"/>
                <w:kern w:val="24"/>
                <w:sz w:val="22"/>
                <w:szCs w:val="22"/>
              </w:rPr>
              <w:t>Kodet p</w:t>
            </w:r>
            <w:r w:rsidRPr="002E5DE1">
              <w:rPr>
                <w:rFonts w:asciiTheme="minorHAnsi" w:hAnsi="Arial" w:cs="Arial"/>
                <w:kern w:val="24"/>
                <w:sz w:val="22"/>
                <w:szCs w:val="22"/>
              </w:rPr>
              <w:t>ë</w:t>
            </w:r>
            <w:r w:rsidRPr="002E5DE1">
              <w:rPr>
                <w:rFonts w:asciiTheme="minorHAnsi" w:hAnsi="Arial" w:cs="Arial"/>
                <w:kern w:val="24"/>
                <w:sz w:val="22"/>
                <w:szCs w:val="22"/>
              </w:rPr>
              <w:t>r korrektimin e gabimeve, bllok kodet lineare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D44F2A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3753DA11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9296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D3DD0" w14:textId="23064175" w:rsidR="002E5DE1" w:rsidRPr="002E5DE1" w:rsidRDefault="002E5DE1" w:rsidP="002E5DE1">
            <w:pPr>
              <w:spacing w:after="0" w:line="240" w:lineRule="exact"/>
              <w:jc w:val="both"/>
              <w:rPr>
                <w:rFonts w:cs="Arial"/>
              </w:rPr>
            </w:pPr>
            <w:r w:rsidRPr="002E5DE1">
              <w:rPr>
                <w:rFonts w:hAnsi="Arial" w:cs="Arial"/>
                <w:kern w:val="24"/>
              </w:rPr>
              <w:t>Kodet ciklike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92CAE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41118B83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8343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566F3" w14:textId="13F1CC04" w:rsidR="002E5DE1" w:rsidRPr="002E5DE1" w:rsidRDefault="002E5DE1" w:rsidP="002E5DE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E5DE1">
              <w:rPr>
                <w:rFonts w:asciiTheme="minorHAnsi" w:hAnsi="Arial" w:cs="Arial"/>
                <w:kern w:val="24"/>
                <w:sz w:val="22"/>
                <w:szCs w:val="22"/>
              </w:rPr>
              <w:t>Kodet e Hamingut, CRC dhe Reed Muller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B484E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1664C60A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CC0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A3BA1" w14:textId="49661CC3" w:rsidR="002E5DE1" w:rsidRPr="002E5DE1" w:rsidRDefault="002E5DE1" w:rsidP="002E5DE1">
            <w:pPr>
              <w:spacing w:after="0" w:line="240" w:lineRule="exact"/>
            </w:pPr>
            <w:r w:rsidRPr="002E5DE1">
              <w:rPr>
                <w:rFonts w:hAnsi="Arial" w:cs="Arial"/>
                <w:kern w:val="24"/>
              </w:rPr>
              <w:t>Kodet konvolucionale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E35DA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  <w:tr w:rsidR="002E5DE1" w:rsidRPr="00BA1DE5" w14:paraId="7D33E755" w14:textId="77777777" w:rsidTr="002E5DE1"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8F1" w14:textId="77777777" w:rsidR="002E5DE1" w:rsidRPr="00BA1DE5" w:rsidRDefault="002E5DE1" w:rsidP="002E5DE1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721C7" w14:textId="6D6A3982" w:rsidR="002E5DE1" w:rsidRPr="002E5DE1" w:rsidRDefault="002E5DE1" w:rsidP="002E5DE1">
            <w:pPr>
              <w:autoSpaceDE w:val="0"/>
              <w:autoSpaceDN w:val="0"/>
              <w:adjustRightInd w:val="0"/>
              <w:spacing w:after="0" w:line="240" w:lineRule="exact"/>
              <w:rPr>
                <w:lang w:eastAsia="mk-MK"/>
              </w:rPr>
            </w:pPr>
            <w:r w:rsidRPr="002E5DE1">
              <w:rPr>
                <w:rFonts w:hAnsi="Arial" w:cs="Arial"/>
                <w:kern w:val="24"/>
              </w:rPr>
              <w:t>Dekodimi I kodeve konvolucionale, Algoritmi i Viterbit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E79B0C" w14:textId="77777777" w:rsidR="002E5DE1" w:rsidRPr="00BA1DE5" w:rsidRDefault="002E5DE1" w:rsidP="002E5DE1">
            <w:pPr>
              <w:spacing w:after="0" w:line="240" w:lineRule="exac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Ushtrime laboratorike në laboratorin e multimediave</w:t>
            </w:r>
          </w:p>
        </w:tc>
      </w:tr>
    </w:tbl>
    <w:p w14:paraId="4B3EAF20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14:paraId="7AA6C7F4" w14:textId="77777777" w:rsidTr="001E3C4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D13338" w14:textId="77777777" w:rsidR="00151A17" w:rsidRPr="00BA1DE5" w:rsidRDefault="00151A17" w:rsidP="001E3C4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151A17" w:rsidRPr="00BA1DE5" w14:paraId="5ECE7F4B" w14:textId="77777777" w:rsidTr="001E3C4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C8F5" w14:textId="77777777" w:rsidR="00151A17" w:rsidRPr="00BA1DE5" w:rsidRDefault="00151A17" w:rsidP="001E3C4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3B975FCE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394344F8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B99D7B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FDB6B26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5FAA671F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2742F3B2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4E8BA890" w14:textId="77777777" w:rsidR="00151A17" w:rsidRPr="00BA1DE5" w:rsidRDefault="00151A17" w:rsidP="001E3C4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32F63810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 xml:space="preserve">Shënim | </w:t>
      </w:r>
      <w:r w:rsidR="00A83BFF">
        <w:rPr>
          <w:rFonts w:ascii="Calibri" w:hAnsi="Calibri"/>
          <w:b/>
        </w:rPr>
        <w:t>Nëse punimi seminarik i studentit/es vlerësohet</w:t>
      </w:r>
      <w:r w:rsidRPr="00BA1DE5">
        <w:rPr>
          <w:rFonts w:ascii="Calibri" w:hAnsi="Calibri"/>
          <w:b/>
        </w:rPr>
        <w:t xml:space="preserve"> nën 50%, atëherë ai/ajo do ta humb të drejtën që t’i nënshtrohet provimit final. Vlerësimi bëhet nga 0-100 %.</w:t>
      </w:r>
    </w:p>
    <w:p w14:paraId="2AD19328" w14:textId="77777777" w:rsidR="00CA2D9E" w:rsidRDefault="00CA2D9E"/>
    <w:sectPr w:rsidR="00CA2D9E" w:rsidSect="00833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E2A27"/>
    <w:multiLevelType w:val="hybridMultilevel"/>
    <w:tmpl w:val="C3D2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1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254D0"/>
    <w:rsid w:val="000E3911"/>
    <w:rsid w:val="00151A17"/>
    <w:rsid w:val="00170CA1"/>
    <w:rsid w:val="001B2EE5"/>
    <w:rsid w:val="002E5DE1"/>
    <w:rsid w:val="006C2692"/>
    <w:rsid w:val="007B2E1D"/>
    <w:rsid w:val="00833FDC"/>
    <w:rsid w:val="0087036A"/>
    <w:rsid w:val="00A83BFF"/>
    <w:rsid w:val="00A90E46"/>
    <w:rsid w:val="00CA2D9E"/>
    <w:rsid w:val="00D73486"/>
    <w:rsid w:val="00DB1AF9"/>
    <w:rsid w:val="00DD68C9"/>
    <w:rsid w:val="00ED2F1F"/>
    <w:rsid w:val="00F0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E504C"/>
  <w15:docId w15:val="{FCEFD969-D7CC-4B86-9F3C-AC21BA22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NormalWeb">
    <w:name w:val="Normal (Web)"/>
    <w:basedOn w:val="Normal"/>
    <w:uiPriority w:val="99"/>
    <w:semiHidden/>
    <w:unhideWhenUsed/>
    <w:rsid w:val="002E5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5154</Characters>
  <Application>Microsoft Office Word</Application>
  <DocSecurity>0</DocSecurity>
  <Lines>257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Zana Limani Fazliu</cp:lastModifiedBy>
  <cp:revision>4</cp:revision>
  <dcterms:created xsi:type="dcterms:W3CDTF">2025-10-14T07:27:00Z</dcterms:created>
  <dcterms:modified xsi:type="dcterms:W3CDTF">2025-10-14T07:29:00Z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41113158-e23e-4258-9bd1-80faa11b0f51</vt:lpwstr>
  </property>
</Properties>
</file>