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3A" w:rsidRPr="00626CF7" w:rsidRDefault="008F663A" w:rsidP="008F663A">
      <w:pPr>
        <w:rPr>
          <w:b/>
          <w:sz w:val="28"/>
          <w:szCs w:val="28"/>
          <w:u w:val="single"/>
        </w:rPr>
      </w:pPr>
      <w:r w:rsidRPr="00626CF7">
        <w:rPr>
          <w:b/>
          <w:sz w:val="28"/>
          <w:szCs w:val="28"/>
          <w:u w:val="single"/>
        </w:rPr>
        <w:t>SYLLABUS</w:t>
      </w:r>
      <w:r w:rsidR="00520AE8" w:rsidRPr="00626CF7">
        <w:rPr>
          <w:b/>
          <w:sz w:val="28"/>
          <w:szCs w:val="28"/>
          <w:u w:val="single"/>
        </w:rPr>
        <w:t xml:space="preserve">: </w:t>
      </w:r>
      <w:proofErr w:type="spellStart"/>
      <w:r w:rsidR="000C32A3" w:rsidRPr="00626CF7">
        <w:rPr>
          <w:b/>
          <w:sz w:val="28"/>
          <w:szCs w:val="28"/>
          <w:u w:val="single"/>
        </w:rPr>
        <w:t>Menaxhmenti</w:t>
      </w:r>
      <w:proofErr w:type="spellEnd"/>
      <w:r w:rsidR="000C32A3" w:rsidRPr="00626CF7">
        <w:rPr>
          <w:b/>
          <w:sz w:val="28"/>
          <w:szCs w:val="28"/>
          <w:u w:val="single"/>
        </w:rPr>
        <w:t xml:space="preserve"> </w:t>
      </w:r>
      <w:proofErr w:type="spellStart"/>
      <w:r w:rsidR="000C32A3" w:rsidRPr="00626CF7">
        <w:rPr>
          <w:b/>
          <w:sz w:val="28"/>
          <w:szCs w:val="28"/>
          <w:u w:val="single"/>
        </w:rPr>
        <w:t>financiar</w:t>
      </w:r>
      <w:proofErr w:type="spellEnd"/>
      <w:r w:rsidR="000C32A3" w:rsidRPr="00626CF7">
        <w:rPr>
          <w:b/>
          <w:sz w:val="28"/>
          <w:szCs w:val="28"/>
          <w:u w:val="single"/>
        </w:rPr>
        <w:t xml:space="preserve"> </w:t>
      </w:r>
      <w:proofErr w:type="spellStart"/>
      <w:r w:rsidR="000C32A3" w:rsidRPr="00626CF7">
        <w:rPr>
          <w:b/>
          <w:sz w:val="28"/>
          <w:szCs w:val="28"/>
          <w:u w:val="single"/>
        </w:rPr>
        <w:t>i</w:t>
      </w:r>
      <w:proofErr w:type="spellEnd"/>
      <w:r w:rsidR="000C32A3" w:rsidRPr="00626CF7">
        <w:rPr>
          <w:b/>
          <w:sz w:val="28"/>
          <w:szCs w:val="28"/>
          <w:u w:val="single"/>
        </w:rPr>
        <w:t xml:space="preserve"> </w:t>
      </w:r>
      <w:proofErr w:type="spellStart"/>
      <w:r w:rsidR="000C32A3" w:rsidRPr="00626CF7">
        <w:rPr>
          <w:b/>
          <w:sz w:val="28"/>
          <w:szCs w:val="28"/>
          <w:u w:val="single"/>
        </w:rPr>
        <w:t>avancuar</w:t>
      </w:r>
      <w:proofErr w:type="spellEnd"/>
    </w:p>
    <w:p w:rsidR="008F663A" w:rsidRPr="00626CF7" w:rsidRDefault="008F663A" w:rsidP="008F663A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F663A" w:rsidRPr="00626CF7" w:rsidTr="00644773">
        <w:tc>
          <w:tcPr>
            <w:tcW w:w="8856" w:type="dxa"/>
            <w:gridSpan w:val="4"/>
            <w:shd w:val="clear" w:color="auto" w:fill="B8CCE4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Të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dhëna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bazike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të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Njësia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akademike</w:t>
            </w:r>
            <w:proofErr w:type="spellEnd"/>
            <w:r w:rsidRPr="00626CF7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Fakulteti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Ekonomik</w:t>
            </w:r>
            <w:proofErr w:type="spellEnd"/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Titulli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Menaxh</w:t>
            </w:r>
            <w:r w:rsidR="000C32A3" w:rsidRPr="00626CF7">
              <w:rPr>
                <w:b/>
              </w:rPr>
              <w:t>menti</w:t>
            </w:r>
            <w:proofErr w:type="spellEnd"/>
            <w:r w:rsidR="000C32A3" w:rsidRPr="00626CF7">
              <w:rPr>
                <w:b/>
              </w:rPr>
              <w:t xml:space="preserve"> </w:t>
            </w:r>
            <w:proofErr w:type="spellStart"/>
            <w:r w:rsidR="000C32A3" w:rsidRPr="00626CF7">
              <w:rPr>
                <w:b/>
              </w:rPr>
              <w:t>financiar</w:t>
            </w:r>
            <w:proofErr w:type="spellEnd"/>
            <w:r w:rsidR="000C32A3" w:rsidRPr="00626CF7">
              <w:rPr>
                <w:b/>
              </w:rPr>
              <w:t xml:space="preserve"> </w:t>
            </w:r>
            <w:proofErr w:type="spellStart"/>
            <w:r w:rsidR="000C32A3" w:rsidRPr="00626CF7">
              <w:rPr>
                <w:b/>
              </w:rPr>
              <w:t>i</w:t>
            </w:r>
            <w:proofErr w:type="spellEnd"/>
            <w:r w:rsidR="000C32A3" w:rsidRPr="00626CF7">
              <w:rPr>
                <w:b/>
              </w:rPr>
              <w:t xml:space="preserve"> </w:t>
            </w:r>
            <w:proofErr w:type="spellStart"/>
            <w:r w:rsidR="000C32A3" w:rsidRPr="00626CF7">
              <w:rPr>
                <w:b/>
              </w:rPr>
              <w:t>avancuar</w:t>
            </w:r>
            <w:proofErr w:type="spellEnd"/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Niveli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>Master</w:t>
            </w:r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Statusi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Zgjedhore</w:t>
            </w:r>
            <w:proofErr w:type="spellEnd"/>
            <w:r w:rsidRPr="00626CF7">
              <w:rPr>
                <w:b/>
              </w:rPr>
              <w:t xml:space="preserve"> </w:t>
            </w:r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 xml:space="preserve">Viti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studimeve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B70245" w:rsidP="00B70245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 xml:space="preserve">Viti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r w:rsidR="008F663A" w:rsidRPr="00626CF7">
              <w:rPr>
                <w:b/>
              </w:rPr>
              <w:t>I/</w:t>
            </w:r>
            <w:proofErr w:type="spellStart"/>
            <w:r w:rsidR="008F663A" w:rsidRPr="00626CF7">
              <w:rPr>
                <w:b/>
              </w:rPr>
              <w:t>semestri</w:t>
            </w:r>
            <w:proofErr w:type="spellEnd"/>
            <w:r w:rsidR="008F663A" w:rsidRPr="00626CF7">
              <w:rPr>
                <w:b/>
              </w:rPr>
              <w:t xml:space="preserve"> II</w:t>
            </w:r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Numri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orëve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në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javë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>2</w:t>
            </w:r>
            <w:r w:rsidR="005325A2" w:rsidRPr="00626CF7">
              <w:rPr>
                <w:b/>
              </w:rPr>
              <w:t>+0</w:t>
            </w:r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Vlera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në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kredi</w:t>
            </w:r>
            <w:proofErr w:type="spellEnd"/>
            <w:r w:rsidRPr="00626CF7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8F663A" w:rsidRPr="00626CF7" w:rsidRDefault="00B70245" w:rsidP="00644773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>6</w:t>
            </w:r>
            <w:r w:rsidR="0055495B" w:rsidRPr="00626CF7">
              <w:rPr>
                <w:b/>
              </w:rPr>
              <w:t xml:space="preserve"> ECTS</w:t>
            </w:r>
          </w:p>
        </w:tc>
      </w:tr>
      <w:tr w:rsidR="008F663A" w:rsidRPr="00626CF7" w:rsidTr="00644773">
        <w:tc>
          <w:tcPr>
            <w:tcW w:w="3617" w:type="dxa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  <w:r w:rsidRPr="00626CF7">
              <w:rPr>
                <w:b/>
              </w:rPr>
              <w:t xml:space="preserve">Koha / </w:t>
            </w:r>
            <w:proofErr w:type="spellStart"/>
            <w:r w:rsidRPr="00626CF7">
              <w:rPr>
                <w:b/>
              </w:rPr>
              <w:t>lokacioni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8F663A" w:rsidRPr="00626CF7" w:rsidRDefault="008F663A" w:rsidP="00644773">
            <w:pPr>
              <w:pStyle w:val="NoSpacing"/>
              <w:rPr>
                <w:b/>
              </w:rPr>
            </w:pP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Mësimëdhënësi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Dr.Drita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Konxheli</w:t>
            </w:r>
            <w:proofErr w:type="spellEnd"/>
            <w:r w:rsidRPr="00626CF7">
              <w:rPr>
                <w:b/>
              </w:rPr>
              <w:t xml:space="preserve">, </w:t>
            </w:r>
            <w:proofErr w:type="spellStart"/>
            <w:r w:rsidRPr="00626CF7">
              <w:rPr>
                <w:b/>
              </w:rPr>
              <w:t>Prof.Asoc</w:t>
            </w:r>
            <w:proofErr w:type="spellEnd"/>
            <w:r w:rsidRPr="00626CF7">
              <w:rPr>
                <w:b/>
              </w:rPr>
              <w:t>.</w:t>
            </w: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Detajet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kontaktuese</w:t>
            </w:r>
            <w:proofErr w:type="spellEnd"/>
            <w:r w:rsidRPr="00626CF7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B70245" w:rsidRPr="00626CF7" w:rsidRDefault="00626CF7" w:rsidP="00644773">
            <w:pPr>
              <w:pStyle w:val="NoSpacing"/>
              <w:rPr>
                <w:b/>
              </w:rPr>
            </w:pPr>
            <w:hyperlink r:id="rId5" w:history="1">
              <w:r w:rsidR="00B70245" w:rsidRPr="00626CF7">
                <w:rPr>
                  <w:rStyle w:val="Hyperlink"/>
                  <w:b/>
                </w:rPr>
                <w:t>drita.konxheli@uni-pr.edu</w:t>
              </w:r>
            </w:hyperlink>
          </w:p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t>Fakulteti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Ekonomik</w:t>
            </w:r>
            <w:proofErr w:type="spellEnd"/>
            <w:r w:rsidRPr="00626CF7">
              <w:t xml:space="preserve">, </w:t>
            </w:r>
            <w:proofErr w:type="spellStart"/>
            <w:proofErr w:type="gramStart"/>
            <w:r w:rsidRPr="00626CF7">
              <w:t>UP”Hasan</w:t>
            </w:r>
            <w:proofErr w:type="spellEnd"/>
            <w:proofErr w:type="gramEnd"/>
            <w:r w:rsidRPr="00626CF7">
              <w:t xml:space="preserve"> </w:t>
            </w:r>
            <w:proofErr w:type="spellStart"/>
            <w:r w:rsidRPr="00626CF7">
              <w:t>Prishtina</w:t>
            </w:r>
            <w:proofErr w:type="spellEnd"/>
            <w:r w:rsidRPr="00626CF7">
              <w:t xml:space="preserve">”, Kati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V,</w:t>
            </w:r>
          </w:p>
          <w:p w:rsidR="00B70245" w:rsidRPr="00626CF7" w:rsidRDefault="00B70245" w:rsidP="00644773">
            <w:pPr>
              <w:pStyle w:val="NoSpacing"/>
            </w:pPr>
            <w:r w:rsidRPr="00626CF7">
              <w:t xml:space="preserve"> </w:t>
            </w:r>
            <w:proofErr w:type="spellStart"/>
            <w:r w:rsidRPr="00626CF7">
              <w:t>Kabineti</w:t>
            </w:r>
            <w:proofErr w:type="spellEnd"/>
            <w:r w:rsidRPr="00626CF7">
              <w:t xml:space="preserve"> 69</w:t>
            </w:r>
          </w:p>
        </w:tc>
      </w:tr>
      <w:tr w:rsidR="00B70245" w:rsidRPr="00626CF7" w:rsidTr="00644773">
        <w:tc>
          <w:tcPr>
            <w:tcW w:w="8856" w:type="dxa"/>
            <w:gridSpan w:val="4"/>
            <w:shd w:val="clear" w:color="auto" w:fill="B8CCE4"/>
          </w:tcPr>
          <w:p w:rsidR="00B70245" w:rsidRPr="00626CF7" w:rsidRDefault="00B70245" w:rsidP="00644773">
            <w:pPr>
              <w:pStyle w:val="NoSpacing"/>
            </w:pP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Përshkrimi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B70245" w:rsidRDefault="002F6762" w:rsidP="00626CF7">
            <w:pPr>
              <w:jc w:val="both"/>
            </w:pPr>
            <w:proofErr w:type="spellStart"/>
            <w:r w:rsidRPr="00626CF7">
              <w:t>Lënda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Menaxhmenti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avancuar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jep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një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pasqyrë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avancuar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aspekteve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menaxhimit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financiar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ndërmarrjeve</w:t>
            </w:r>
            <w:proofErr w:type="spellEnd"/>
            <w:r w:rsidR="00626CF7">
              <w:t xml:space="preserve">. </w:t>
            </w:r>
            <w:proofErr w:type="spellStart"/>
            <w:r w:rsidR="00B70245" w:rsidRPr="00626CF7">
              <w:t>Trajtohen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tema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të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veçanta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mbi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vendimet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mbi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financim</w:t>
            </w:r>
            <w:proofErr w:type="spellEnd"/>
            <w:r w:rsidR="00B70245" w:rsidRPr="00626CF7">
              <w:t xml:space="preserve">, </w:t>
            </w:r>
            <w:proofErr w:type="spellStart"/>
            <w:r w:rsidR="00B70245" w:rsidRPr="00626CF7">
              <w:t>mbi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investime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dhe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mbi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dividendin</w:t>
            </w:r>
            <w:proofErr w:type="spellEnd"/>
            <w:r w:rsidR="00B70245" w:rsidRPr="00626CF7">
              <w:t xml:space="preserve">, </w:t>
            </w:r>
            <w:proofErr w:type="spellStart"/>
            <w:r w:rsidR="00B70245" w:rsidRPr="00626CF7">
              <w:t>rrezikun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dhe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kthimin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në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investime</w:t>
            </w:r>
            <w:proofErr w:type="spellEnd"/>
            <w:r w:rsidR="00B70245" w:rsidRPr="00626CF7">
              <w:t xml:space="preserve">, </w:t>
            </w:r>
            <w:proofErr w:type="spellStart"/>
            <w:r w:rsidR="00B70245" w:rsidRPr="00626CF7">
              <w:t>burimet</w:t>
            </w:r>
            <w:proofErr w:type="spellEnd"/>
            <w:r w:rsidR="00B70245" w:rsidRPr="00626CF7">
              <w:t xml:space="preserve"> e </w:t>
            </w:r>
            <w:proofErr w:type="spellStart"/>
            <w:r w:rsidR="00B70245" w:rsidRPr="00626CF7">
              <w:t>financimit</w:t>
            </w:r>
            <w:proofErr w:type="spellEnd"/>
            <w:r w:rsidR="00B70245" w:rsidRPr="00626CF7">
              <w:t xml:space="preserve">, </w:t>
            </w:r>
            <w:proofErr w:type="spellStart"/>
            <w:r w:rsidR="00B70245" w:rsidRPr="00626CF7">
              <w:t>vlerën</w:t>
            </w:r>
            <w:proofErr w:type="spellEnd"/>
            <w:r w:rsidR="00B70245" w:rsidRPr="00626CF7">
              <w:t xml:space="preserve"> e </w:t>
            </w:r>
            <w:proofErr w:type="spellStart"/>
            <w:r w:rsidR="00B70245" w:rsidRPr="00626CF7">
              <w:t>korporatave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dhe</w:t>
            </w:r>
            <w:proofErr w:type="spellEnd"/>
            <w:r w:rsidR="00B70245" w:rsidRPr="00626CF7">
              <w:t xml:space="preserve"> </w:t>
            </w:r>
            <w:proofErr w:type="spellStart"/>
            <w:r w:rsidR="00B70245" w:rsidRPr="00626CF7">
              <w:t>menaxhimin</w:t>
            </w:r>
            <w:proofErr w:type="spellEnd"/>
            <w:r w:rsidR="00B70245" w:rsidRPr="00626CF7">
              <w:t xml:space="preserve"> e </w:t>
            </w:r>
            <w:proofErr w:type="spellStart"/>
            <w:r w:rsidR="00B70245" w:rsidRPr="00626CF7">
              <w:t>riskut</w:t>
            </w:r>
            <w:proofErr w:type="spellEnd"/>
            <w:r w:rsidR="00B70245" w:rsidRPr="00626CF7">
              <w:t xml:space="preserve">. </w:t>
            </w:r>
          </w:p>
          <w:p w:rsidR="00626CF7" w:rsidRPr="00626CF7" w:rsidRDefault="00626CF7" w:rsidP="00626CF7">
            <w:pPr>
              <w:jc w:val="both"/>
            </w:pP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Qëllimet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lëndës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B70245" w:rsidRDefault="00B70245" w:rsidP="00644773">
            <w:pPr>
              <w:pStyle w:val="NoSpacing"/>
              <w:jc w:val="both"/>
            </w:pPr>
            <w:proofErr w:type="spellStart"/>
            <w:r w:rsidRPr="00626CF7">
              <w:t>Programi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qëllim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ofrojë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njohuri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avancuara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njohë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aftësojë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studentët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përdorimin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specifik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koncepteve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teorive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metodave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nga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menaxhimi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bizneseve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që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ata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t’i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aftësojë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shpjegojnë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interpretojnë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probleme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veçanta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bëjnë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ndërlidhjen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këtyre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problemeve</w:t>
            </w:r>
            <w:proofErr w:type="spellEnd"/>
            <w:r w:rsidRPr="00626CF7">
              <w:t xml:space="preserve"> me </w:t>
            </w:r>
            <w:proofErr w:type="spellStart"/>
            <w:r w:rsidRPr="00626CF7">
              <w:t>fushat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tjera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ekonomike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formulojnë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opinione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qëndrueshme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nga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fusha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menaxhmentit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</w:t>
            </w:r>
            <w:proofErr w:type="spellEnd"/>
            <w:r w:rsidRPr="00626CF7">
              <w:t>.</w:t>
            </w:r>
          </w:p>
          <w:p w:rsidR="00626CF7" w:rsidRPr="00626CF7" w:rsidRDefault="00626CF7" w:rsidP="00644773">
            <w:pPr>
              <w:pStyle w:val="NoSpacing"/>
              <w:jc w:val="both"/>
            </w:pP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Rezultatet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pritura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të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nxënies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B70245" w:rsidRPr="00626CF7" w:rsidRDefault="00B70245" w:rsidP="00644773">
            <w:r w:rsidRPr="00626CF7">
              <w:t xml:space="preserve">Pas </w:t>
            </w:r>
            <w:proofErr w:type="spellStart"/>
            <w:r w:rsidRPr="00626CF7">
              <w:t>përfundimit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këtij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kursi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studentët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duhet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jenë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gjendje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>:</w:t>
            </w:r>
          </w:p>
          <w:p w:rsidR="00AC71A8" w:rsidRPr="00626CF7" w:rsidRDefault="00AC71A8" w:rsidP="00AC71A8">
            <w:pPr>
              <w:numPr>
                <w:ilvl w:val="0"/>
                <w:numId w:val="1"/>
              </w:numPr>
            </w:pPr>
            <w:proofErr w:type="spellStart"/>
            <w:r w:rsidRPr="00626CF7">
              <w:t>tregojn</w:t>
            </w:r>
            <w:r w:rsidR="001D00A5" w:rsidRPr="00626CF7">
              <w:t>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zbatimin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vler</w:t>
            </w:r>
            <w:r w:rsidR="001D00A5" w:rsidRPr="00626CF7">
              <w:t>ë</w:t>
            </w:r>
            <w:r w:rsidRPr="00626CF7">
              <w:t>s</w:t>
            </w:r>
            <w:proofErr w:type="spellEnd"/>
            <w:r w:rsidR="0049666F" w:rsidRPr="00626CF7">
              <w:t xml:space="preserve"> </w:t>
            </w:r>
            <w:proofErr w:type="spellStart"/>
            <w:r w:rsidR="0049666F" w:rsidRPr="00626CF7">
              <w:t>n</w:t>
            </w:r>
            <w:r w:rsidR="001D00A5" w:rsidRPr="00626CF7">
              <w:t>ë</w:t>
            </w:r>
            <w:proofErr w:type="spellEnd"/>
            <w:r w:rsidR="0049666F" w:rsidRPr="00626CF7">
              <w:t xml:space="preserve"> </w:t>
            </w:r>
            <w:proofErr w:type="spellStart"/>
            <w:r w:rsidR="0049666F" w:rsidRPr="00626CF7">
              <w:t>koh</w:t>
            </w:r>
            <w:r w:rsidR="001D00A5" w:rsidRPr="00626CF7">
              <w:t>ë</w:t>
            </w:r>
            <w:proofErr w:type="spellEnd"/>
            <w:r w:rsidR="0049666F" w:rsidRPr="00626CF7">
              <w:t xml:space="preserve"> </w:t>
            </w:r>
            <w:proofErr w:type="spellStart"/>
            <w:r w:rsidR="0049666F" w:rsidRPr="00626CF7">
              <w:t>t</w:t>
            </w:r>
            <w:r w:rsidR="001D00A5" w:rsidRPr="00626CF7">
              <w:t>ë</w:t>
            </w:r>
            <w:proofErr w:type="spellEnd"/>
            <w:r w:rsidR="0049666F" w:rsidRPr="00626CF7">
              <w:t xml:space="preserve"> </w:t>
            </w:r>
            <w:proofErr w:type="spellStart"/>
            <w:r w:rsidR="0049666F" w:rsidRPr="00626CF7">
              <w:t>paras</w:t>
            </w:r>
            <w:r w:rsidR="001D00A5" w:rsidRPr="00626CF7">
              <w:t>ë</w:t>
            </w:r>
            <w:proofErr w:type="spellEnd"/>
            <w:r w:rsidR="0049666F" w:rsidRPr="00626CF7">
              <w:t>;</w:t>
            </w:r>
            <w:r w:rsidRPr="00626CF7">
              <w:t xml:space="preserve"> </w:t>
            </w:r>
          </w:p>
          <w:p w:rsidR="00AC71A8" w:rsidRPr="00626CF7" w:rsidRDefault="00AC71A8" w:rsidP="00AC71A8">
            <w:pPr>
              <w:numPr>
                <w:ilvl w:val="0"/>
                <w:numId w:val="1"/>
              </w:numPr>
            </w:pPr>
            <w:proofErr w:type="spellStart"/>
            <w:r w:rsidRPr="00626CF7">
              <w:t>ndërlidhin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njohuritë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teorike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praktike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mbi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vendimet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mbi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investime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rrezikun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kthimin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investime</w:t>
            </w:r>
            <w:proofErr w:type="spellEnd"/>
            <w:r w:rsidRPr="00626CF7">
              <w:t>;</w:t>
            </w:r>
          </w:p>
          <w:p w:rsidR="00AC71A8" w:rsidRPr="00626CF7" w:rsidRDefault="001D00A5" w:rsidP="00AC71A8">
            <w:pPr>
              <w:numPr>
                <w:ilvl w:val="0"/>
                <w:numId w:val="1"/>
              </w:numPr>
            </w:pPr>
            <w:proofErr w:type="spellStart"/>
            <w:r w:rsidRPr="00626CF7">
              <w:t>i</w:t>
            </w:r>
            <w:r w:rsidR="00AC71A8" w:rsidRPr="00626CF7">
              <w:t>dentifikojnë</w:t>
            </w:r>
            <w:proofErr w:type="spellEnd"/>
            <w:r w:rsidR="00AC71A8" w:rsidRPr="00626CF7">
              <w:t xml:space="preserve"> </w:t>
            </w:r>
            <w:proofErr w:type="spellStart"/>
            <w:r w:rsidR="00AC71A8" w:rsidRPr="00626CF7">
              <w:t>burimet</w:t>
            </w:r>
            <w:proofErr w:type="spellEnd"/>
            <w:r w:rsidR="00AC71A8" w:rsidRPr="00626CF7">
              <w:t xml:space="preserve"> e </w:t>
            </w:r>
            <w:proofErr w:type="spellStart"/>
            <w:r w:rsidR="00AC71A8" w:rsidRPr="00626CF7">
              <w:t>financimit</w:t>
            </w:r>
            <w:proofErr w:type="spellEnd"/>
            <w:r w:rsidR="00AC71A8" w:rsidRPr="00626CF7">
              <w:t>;</w:t>
            </w:r>
          </w:p>
          <w:p w:rsidR="00AC71A8" w:rsidRPr="00626CF7" w:rsidRDefault="001D00A5" w:rsidP="00AC71A8">
            <w:pPr>
              <w:numPr>
                <w:ilvl w:val="0"/>
                <w:numId w:val="1"/>
              </w:numPr>
            </w:pPr>
            <w:proofErr w:type="spellStart"/>
            <w:r w:rsidRPr="00626CF7">
              <w:t>p</w:t>
            </w:r>
            <w:r w:rsidR="00AC71A8" w:rsidRPr="00626CF7">
              <w:t>ërzgjedhin</w:t>
            </w:r>
            <w:proofErr w:type="spellEnd"/>
            <w:r w:rsidR="00AC71A8" w:rsidRPr="00626CF7">
              <w:t xml:space="preserve"> </w:t>
            </w:r>
            <w:proofErr w:type="spellStart"/>
            <w:r w:rsidR="00AC71A8" w:rsidRPr="00626CF7">
              <w:t>teknikat</w:t>
            </w:r>
            <w:proofErr w:type="spellEnd"/>
            <w:r w:rsidR="00AC71A8" w:rsidRPr="00626CF7">
              <w:t xml:space="preserve"> e </w:t>
            </w:r>
            <w:proofErr w:type="spellStart"/>
            <w:r w:rsidR="00AC71A8" w:rsidRPr="00626CF7">
              <w:t>menaxhimit</w:t>
            </w:r>
            <w:proofErr w:type="spellEnd"/>
            <w:r w:rsidR="00AC71A8" w:rsidRPr="00626CF7">
              <w:t xml:space="preserve"> </w:t>
            </w:r>
            <w:proofErr w:type="spellStart"/>
            <w:r w:rsidR="00AC71A8" w:rsidRPr="00626CF7">
              <w:t>të</w:t>
            </w:r>
            <w:proofErr w:type="spellEnd"/>
            <w:r w:rsidR="00AC71A8" w:rsidRPr="00626CF7">
              <w:t xml:space="preserve"> </w:t>
            </w:r>
            <w:proofErr w:type="spellStart"/>
            <w:r w:rsidR="00AC71A8" w:rsidRPr="00626CF7">
              <w:t>riskut</w:t>
            </w:r>
            <w:proofErr w:type="spellEnd"/>
            <w:r w:rsidR="00AC71A8" w:rsidRPr="00626CF7">
              <w:t>;</w:t>
            </w:r>
          </w:p>
          <w:p w:rsidR="00B70245" w:rsidRPr="00626CF7" w:rsidRDefault="001D00A5" w:rsidP="001D00A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vlerësojnë</w:t>
            </w:r>
            <w:proofErr w:type="spellEnd"/>
            <w:r w:rsidR="00B7024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performancën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kompanisë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bazë</w:t>
            </w:r>
            <w:proofErr w:type="spellEnd"/>
            <w:r w:rsidR="00B7024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245" w:rsidRPr="00626CF7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B7024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245" w:rsidRPr="00626CF7">
              <w:rPr>
                <w:rFonts w:ascii="Times New Roman" w:hAnsi="Times New Roman"/>
                <w:sz w:val="24"/>
                <w:szCs w:val="24"/>
              </w:rPr>
              <w:t>pasqyrave</w:t>
            </w:r>
            <w:proofErr w:type="spellEnd"/>
            <w:r w:rsidR="00B7024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70245" w:rsidRPr="00626CF7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EC277A" w:rsidRPr="00626C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70245" w:rsidRPr="00626CF7" w:rsidTr="00644773">
        <w:tc>
          <w:tcPr>
            <w:tcW w:w="8856" w:type="dxa"/>
            <w:gridSpan w:val="4"/>
            <w:shd w:val="clear" w:color="auto" w:fill="B8CCE4"/>
          </w:tcPr>
          <w:p w:rsidR="00B70245" w:rsidRPr="00626CF7" w:rsidRDefault="00B70245" w:rsidP="00644773">
            <w:pPr>
              <w:pStyle w:val="NoSpacing"/>
              <w:rPr>
                <w:i/>
              </w:rPr>
            </w:pPr>
          </w:p>
        </w:tc>
      </w:tr>
      <w:tr w:rsidR="00B70245" w:rsidRPr="00626CF7" w:rsidTr="00644773">
        <w:tc>
          <w:tcPr>
            <w:tcW w:w="8856" w:type="dxa"/>
            <w:gridSpan w:val="4"/>
            <w:shd w:val="clear" w:color="auto" w:fill="B8CCE4"/>
          </w:tcPr>
          <w:p w:rsidR="00B70245" w:rsidRPr="00626CF7" w:rsidRDefault="00B70245" w:rsidP="00644773">
            <w:pPr>
              <w:pStyle w:val="NoSpacing"/>
              <w:jc w:val="center"/>
              <w:rPr>
                <w:b/>
              </w:rPr>
            </w:pPr>
            <w:proofErr w:type="spellStart"/>
            <w:r w:rsidRPr="00626CF7">
              <w:rPr>
                <w:b/>
              </w:rPr>
              <w:t>Kontributi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ngarkesёn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studentit</w:t>
            </w:r>
            <w:proofErr w:type="spellEnd"/>
            <w:r w:rsidRPr="00626CF7">
              <w:rPr>
                <w:b/>
              </w:rPr>
              <w:t xml:space="preserve"> ( </w:t>
            </w:r>
            <w:proofErr w:type="spellStart"/>
            <w:r w:rsidRPr="00626CF7">
              <w:rPr>
                <w:b/>
              </w:rPr>
              <w:t>gjё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qё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duhet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tё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korrespondoj</w:t>
            </w:r>
            <w:proofErr w:type="spellEnd"/>
            <w:r w:rsidRPr="00626CF7">
              <w:rPr>
                <w:b/>
              </w:rPr>
              <w:t xml:space="preserve"> me </w:t>
            </w:r>
            <w:proofErr w:type="spellStart"/>
            <w:r w:rsidRPr="00626CF7">
              <w:rPr>
                <w:b/>
              </w:rPr>
              <w:t>rezultatet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tё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nxёnit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tё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studentit</w:t>
            </w:r>
            <w:proofErr w:type="spellEnd"/>
            <w:r w:rsidRPr="00626CF7">
              <w:rPr>
                <w:b/>
              </w:rPr>
              <w:t>)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Aktiviteti</w:t>
            </w:r>
            <w:proofErr w:type="spellEnd"/>
            <w:r w:rsidRPr="00626CF7">
              <w:rPr>
                <w:b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Orë</w:t>
            </w:r>
            <w:proofErr w:type="spellEnd"/>
            <w:r w:rsidRPr="00626CF7"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Ditë</w:t>
            </w:r>
            <w:proofErr w:type="spellEnd"/>
            <w:r w:rsidRPr="00626CF7">
              <w:rPr>
                <w:b/>
              </w:rPr>
              <w:t>/</w:t>
            </w:r>
            <w:proofErr w:type="spellStart"/>
            <w:r w:rsidRPr="00626CF7">
              <w:rPr>
                <w:b/>
              </w:rPr>
              <w:t>javë</w:t>
            </w:r>
            <w:proofErr w:type="spellEnd"/>
            <w:r w:rsidRPr="00626CF7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Gjithësej</w:t>
            </w:r>
            <w:proofErr w:type="spellEnd"/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30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Ushtrime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teorike</w:t>
            </w:r>
            <w:proofErr w:type="spellEnd"/>
            <w:r w:rsidRPr="00626CF7">
              <w:t>/</w:t>
            </w:r>
            <w:proofErr w:type="spellStart"/>
            <w:r w:rsidRPr="00626CF7"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Punë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r w:rsidRPr="00626CF7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196E74" w:rsidP="00644773">
            <w:pPr>
              <w:jc w:val="center"/>
            </w:pPr>
            <w:r w:rsidRPr="00626CF7"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1</w:t>
            </w:r>
            <w:r w:rsidR="003D79F4" w:rsidRPr="00626CF7"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196E74" w:rsidP="00644773">
            <w:pPr>
              <w:jc w:val="center"/>
            </w:pPr>
            <w:r w:rsidRPr="00626CF7">
              <w:t>15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Ushtrime</w:t>
            </w:r>
            <w:proofErr w:type="spellEnd"/>
            <w:r w:rsidRPr="00626CF7">
              <w:t xml:space="preserve"> 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Kollokfiume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4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Detyra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 </w:t>
            </w:r>
            <w:proofErr w:type="spellStart"/>
            <w:r w:rsidRPr="00626CF7"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r w:rsidRPr="00626CF7">
              <w:t xml:space="preserve">Koha e </w:t>
            </w:r>
            <w:proofErr w:type="spellStart"/>
            <w:r w:rsidRPr="00626CF7">
              <w:t>studimit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vetanak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studentit</w:t>
            </w:r>
            <w:proofErr w:type="spellEnd"/>
            <w:r w:rsidRPr="00626CF7">
              <w:t xml:space="preserve"> (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bibliotekë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ose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shtëpi</w:t>
            </w:r>
            <w:proofErr w:type="spellEnd"/>
            <w:r w:rsidRPr="00626CF7"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196E74" w:rsidP="00644773">
            <w:pPr>
              <w:jc w:val="center"/>
            </w:pPr>
            <w:r w:rsidRPr="00626CF7">
              <w:t>55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roofErr w:type="spellStart"/>
            <w:r w:rsidRPr="00626CF7">
              <w:t>Përgaditja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përfundimtare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196E74" w:rsidP="00644773">
            <w:pPr>
              <w:jc w:val="center"/>
            </w:pPr>
            <w:r w:rsidRPr="00626CF7">
              <w:t>45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r w:rsidRPr="00626CF7">
              <w:t xml:space="preserve">Koha e </w:t>
            </w:r>
            <w:proofErr w:type="spellStart"/>
            <w:r w:rsidRPr="00626CF7">
              <w:t>kaluar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vlerësim</w:t>
            </w:r>
            <w:proofErr w:type="spellEnd"/>
            <w:r w:rsidRPr="00626CF7">
              <w:t xml:space="preserve"> (</w:t>
            </w:r>
            <w:proofErr w:type="spellStart"/>
            <w:r w:rsidRPr="00626CF7">
              <w:t>teste,kuiz,provim</w:t>
            </w:r>
            <w:proofErr w:type="spellEnd"/>
            <w:r w:rsidRPr="00626CF7"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>
            <w:pPr>
              <w:jc w:val="center"/>
            </w:pPr>
            <w:r w:rsidRPr="00626CF7">
              <w:t>1</w:t>
            </w:r>
          </w:p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B70245" w:rsidRPr="00626CF7" w:rsidRDefault="00626CF7" w:rsidP="00644773">
            <w:proofErr w:type="spellStart"/>
            <w:r>
              <w:t>Projektet,prezentimet</w:t>
            </w:r>
            <w:proofErr w:type="spellEnd"/>
            <w:r w:rsidR="00B70245" w:rsidRPr="00626CF7">
              <w:t>,</w:t>
            </w:r>
            <w:r>
              <w:t xml:space="preserve"> </w:t>
            </w:r>
            <w:proofErr w:type="spellStart"/>
            <w:r w:rsidR="00B70245" w:rsidRPr="00626CF7">
              <w:t>etj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/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245" w:rsidRPr="00626CF7" w:rsidRDefault="00B70245" w:rsidP="00644773"/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B70245" w:rsidRPr="00626CF7" w:rsidRDefault="00B70245" w:rsidP="00644773"/>
        </w:tc>
      </w:tr>
      <w:tr w:rsidR="00B70245" w:rsidRPr="00626CF7" w:rsidTr="0064477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Totali</w:t>
            </w:r>
            <w:proofErr w:type="spellEnd"/>
            <w:r w:rsidRPr="00626CF7">
              <w:rPr>
                <w:b/>
              </w:rPr>
              <w:t xml:space="preserve"> </w:t>
            </w:r>
          </w:p>
          <w:p w:rsidR="00B70245" w:rsidRPr="00626CF7" w:rsidRDefault="00B70245" w:rsidP="00644773">
            <w:pPr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B70245" w:rsidRPr="00626CF7" w:rsidRDefault="003D7631" w:rsidP="00644773">
            <w:pPr>
              <w:jc w:val="center"/>
              <w:rPr>
                <w:b/>
              </w:rPr>
            </w:pPr>
            <w:r w:rsidRPr="00626CF7">
              <w:rPr>
                <w:b/>
              </w:rPr>
              <w:t>150</w:t>
            </w:r>
          </w:p>
        </w:tc>
      </w:tr>
      <w:tr w:rsidR="00B70245" w:rsidRPr="00626CF7" w:rsidTr="00644773">
        <w:tc>
          <w:tcPr>
            <w:tcW w:w="8856" w:type="dxa"/>
            <w:gridSpan w:val="4"/>
            <w:shd w:val="clear" w:color="auto" w:fill="B8CCE4"/>
          </w:tcPr>
          <w:p w:rsidR="00B70245" w:rsidRPr="00626CF7" w:rsidRDefault="00B70245" w:rsidP="00644773">
            <w:pPr>
              <w:rPr>
                <w:b/>
              </w:rPr>
            </w:pP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Metodologjia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mësimëdhënies</w:t>
            </w:r>
            <w:proofErr w:type="spellEnd"/>
            <w:r w:rsidRPr="00626CF7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B70245" w:rsidRPr="00626CF7" w:rsidRDefault="00B70245" w:rsidP="000149D5">
            <w:pPr>
              <w:pStyle w:val="NoSpacing"/>
              <w:jc w:val="both"/>
              <w:rPr>
                <w:i/>
                <w:lang w:val="it-IT"/>
              </w:rPr>
            </w:pPr>
            <w:proofErr w:type="spellStart"/>
            <w:r w:rsidRPr="00626CF7">
              <w:rPr>
                <w:color w:val="000000"/>
              </w:rPr>
              <w:t>Në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dy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orë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ligjërata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në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proofErr w:type="gramStart"/>
            <w:r w:rsidRPr="00626CF7">
              <w:rPr>
                <w:color w:val="000000"/>
              </w:rPr>
              <w:t>javë</w:t>
            </w:r>
            <w:proofErr w:type="spellEnd"/>
            <w:r w:rsidRPr="00626CF7">
              <w:rPr>
                <w:color w:val="000000"/>
              </w:rPr>
              <w:t xml:space="preserve">  do</w:t>
            </w:r>
            <w:proofErr w:type="gram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të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shtjellohet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materiali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mësimor</w:t>
            </w:r>
            <w:proofErr w:type="spellEnd"/>
            <w:r w:rsidRPr="00626CF7">
              <w:rPr>
                <w:color w:val="000000"/>
              </w:rPr>
              <w:t xml:space="preserve">, do </w:t>
            </w:r>
            <w:proofErr w:type="spellStart"/>
            <w:r w:rsidRPr="00626CF7">
              <w:rPr>
                <w:color w:val="000000"/>
              </w:rPr>
              <w:t>të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organizohet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diskutim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grupor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dhe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prezantimi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i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punimeve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seminarike</w:t>
            </w:r>
            <w:proofErr w:type="spellEnd"/>
            <w:r w:rsidRPr="00626CF7">
              <w:rPr>
                <w:color w:val="000000"/>
              </w:rPr>
              <w:t>.</w:t>
            </w:r>
            <w:r w:rsidR="000149D5" w:rsidRPr="00626CF7">
              <w:rPr>
                <w:lang w:val="it-IT"/>
              </w:rPr>
              <w:t xml:space="preserve"> Metoda e punës do të përqëndrohet në ligjëratra  interaktive me pjesëmarrje të studentëve në procesin e mësimit, me prezantime individuale e grupore të seminareve.</w:t>
            </w:r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t>Studentët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inkurajohen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që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përcjellin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aspektet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financav</w:t>
            </w:r>
            <w:r w:rsidR="000149D5" w:rsidRPr="00626CF7">
              <w:t>e</w:t>
            </w:r>
            <w:proofErr w:type="spellEnd"/>
            <w:r w:rsidR="000149D5" w:rsidRPr="00626CF7">
              <w:t xml:space="preserve"> </w:t>
            </w:r>
            <w:proofErr w:type="spellStart"/>
            <w:r w:rsidR="000149D5" w:rsidRPr="00626CF7">
              <w:t>bashkëkohore</w:t>
            </w:r>
            <w:proofErr w:type="spellEnd"/>
            <w:r w:rsidR="000149D5" w:rsidRPr="00626CF7">
              <w:t xml:space="preserve"> </w:t>
            </w:r>
            <w:proofErr w:type="spellStart"/>
            <w:r w:rsidR="000149D5"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korporatave</w:t>
            </w:r>
            <w:proofErr w:type="spellEnd"/>
            <w:r w:rsidR="000149D5" w:rsidRPr="00626CF7">
              <w:t>,</w:t>
            </w:r>
            <w:r w:rsidRPr="00626CF7">
              <w:t xml:space="preserve"> </w:t>
            </w:r>
            <w:proofErr w:type="spellStart"/>
            <w:r w:rsidRPr="00626CF7">
              <w:t>vendore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ndërkombëtare</w:t>
            </w:r>
            <w:proofErr w:type="spellEnd"/>
            <w:r w:rsidR="000149D5" w:rsidRPr="00626CF7">
              <w:t>,</w:t>
            </w:r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nxjerrin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tema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diskutim</w:t>
            </w:r>
            <w:proofErr w:type="spellEnd"/>
            <w:r w:rsidRPr="00626CF7">
              <w:t xml:space="preserve">. </w:t>
            </w: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Metodat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vlerësimit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B70245" w:rsidRPr="00626CF7" w:rsidRDefault="00B70245" w:rsidP="00644773">
            <w:pPr>
              <w:pStyle w:val="NoSpacing"/>
            </w:pPr>
            <w:r w:rsidRPr="00626CF7">
              <w:t xml:space="preserve">a. </w:t>
            </w:r>
            <w:proofErr w:type="spellStart"/>
            <w:r w:rsidRPr="00626CF7">
              <w:t>seminari</w:t>
            </w:r>
            <w:proofErr w:type="spellEnd"/>
            <w:r w:rsidRPr="00626CF7">
              <w:t>:                          30%</w:t>
            </w:r>
          </w:p>
          <w:p w:rsidR="00B70245" w:rsidRPr="00626CF7" w:rsidRDefault="00B70245" w:rsidP="00644773">
            <w:pPr>
              <w:pStyle w:val="NoSpacing"/>
            </w:pPr>
            <w:r w:rsidRPr="00626CF7">
              <w:t xml:space="preserve">b. </w:t>
            </w:r>
            <w:proofErr w:type="spellStart"/>
            <w:r w:rsidRPr="00626CF7">
              <w:t>vijimi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rregulltë</w:t>
            </w:r>
            <w:proofErr w:type="spellEnd"/>
            <w:r w:rsidRPr="00626CF7">
              <w:t>:             10%</w:t>
            </w:r>
          </w:p>
          <w:p w:rsidR="00626CF7" w:rsidRDefault="00B70245" w:rsidP="00644773">
            <w:pPr>
              <w:pStyle w:val="NoSpacing"/>
            </w:pPr>
            <w:r w:rsidRPr="00626CF7">
              <w:t xml:space="preserve">d. </w:t>
            </w:r>
            <w:proofErr w:type="spellStart"/>
            <w:r w:rsidRPr="00626CF7">
              <w:t>provimi</w:t>
            </w:r>
            <w:proofErr w:type="spellEnd"/>
            <w:r w:rsidRPr="00626CF7">
              <w:t xml:space="preserve"> final:                   60%</w:t>
            </w:r>
          </w:p>
          <w:p w:rsidR="00B70245" w:rsidRPr="00626CF7" w:rsidRDefault="00B70245" w:rsidP="00644773">
            <w:pPr>
              <w:pStyle w:val="NoSpacing"/>
            </w:pPr>
            <w:r w:rsidRPr="00626CF7">
              <w:t xml:space="preserve">        </w:t>
            </w:r>
          </w:p>
          <w:p w:rsidR="00B70245" w:rsidRPr="00626CF7" w:rsidRDefault="00B70245" w:rsidP="00644773">
            <w:pPr>
              <w:pStyle w:val="NoSpacing"/>
            </w:pPr>
            <w:r w:rsidRPr="00626CF7">
              <w:t>TOTALI:                           100%</w:t>
            </w:r>
          </w:p>
          <w:p w:rsidR="00B70245" w:rsidRPr="00626CF7" w:rsidRDefault="00B70245" w:rsidP="00644773">
            <w:pPr>
              <w:pStyle w:val="NoSpacing"/>
            </w:pPr>
          </w:p>
          <w:p w:rsidR="00B70245" w:rsidRPr="00626CF7" w:rsidRDefault="00B70245" w:rsidP="00644773">
            <w:pPr>
              <w:pStyle w:val="NoSpacing"/>
              <w:rPr>
                <w:i/>
              </w:rPr>
            </w:pPr>
            <w:proofErr w:type="spellStart"/>
            <w:r w:rsidRPr="00626CF7">
              <w:t>Kufiri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kalueshmërisë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është</w:t>
            </w:r>
            <w:proofErr w:type="spellEnd"/>
            <w:r w:rsidRPr="00626CF7">
              <w:t xml:space="preserve"> 51%</w:t>
            </w:r>
          </w:p>
        </w:tc>
      </w:tr>
      <w:tr w:rsidR="00B70245" w:rsidRPr="00626CF7" w:rsidTr="00644773">
        <w:tc>
          <w:tcPr>
            <w:tcW w:w="8856" w:type="dxa"/>
            <w:gridSpan w:val="4"/>
            <w:shd w:val="clear" w:color="auto" w:fill="B8CCE4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Literatura</w:t>
            </w:r>
            <w:proofErr w:type="spellEnd"/>
            <w:r w:rsidRPr="00626CF7">
              <w:rPr>
                <w:b/>
              </w:rPr>
              <w:t xml:space="preserve"> </w:t>
            </w: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t>Literatura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bazë</w:t>
            </w:r>
            <w:proofErr w:type="spellEnd"/>
            <w:r w:rsidRPr="00626CF7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2C30B7" w:rsidRPr="00626CF7" w:rsidRDefault="002C30B7" w:rsidP="002C30B7">
            <w:r w:rsidRPr="00626CF7">
              <w:t xml:space="preserve">Financial Management, Theory and Practice, Eugene F. Brigham, Michael C. </w:t>
            </w:r>
            <w:proofErr w:type="spellStart"/>
            <w:r w:rsidRPr="00626CF7">
              <w:t>Ehrhardt</w:t>
            </w:r>
            <w:proofErr w:type="spellEnd"/>
            <w:r w:rsidRPr="00626CF7">
              <w:t>, Cengage Learning, Boston, 2014</w:t>
            </w:r>
          </w:p>
          <w:p w:rsidR="00B70245" w:rsidRPr="00626CF7" w:rsidRDefault="00B70245" w:rsidP="00626CF7">
            <w:r w:rsidRPr="00626CF7">
              <w:t xml:space="preserve">Mustafa, I. (2008), </w:t>
            </w:r>
            <w:proofErr w:type="spellStart"/>
            <w:r w:rsidRPr="00626CF7">
              <w:t>Menaxhmenti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botimi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trete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Prishtine</w:t>
            </w:r>
            <w:proofErr w:type="spellEnd"/>
            <w:r w:rsidRPr="00626CF7">
              <w:t xml:space="preserve">: </w:t>
            </w:r>
            <w:proofErr w:type="spellStart"/>
            <w:r w:rsidRPr="00626CF7">
              <w:t>Riinvest</w:t>
            </w:r>
            <w:proofErr w:type="spellEnd"/>
            <w:r w:rsidRPr="00626CF7">
              <w:t>.</w:t>
            </w:r>
          </w:p>
        </w:tc>
      </w:tr>
      <w:tr w:rsidR="00B70245" w:rsidRPr="00626CF7" w:rsidTr="00644773">
        <w:tc>
          <w:tcPr>
            <w:tcW w:w="3617" w:type="dxa"/>
          </w:tcPr>
          <w:p w:rsidR="00B70245" w:rsidRPr="00626CF7" w:rsidRDefault="00B70245" w:rsidP="00644773">
            <w:pPr>
              <w:pStyle w:val="NoSpacing"/>
              <w:rPr>
                <w:b/>
              </w:rPr>
            </w:pPr>
            <w:proofErr w:type="spellStart"/>
            <w:r w:rsidRPr="00626CF7">
              <w:rPr>
                <w:b/>
              </w:rPr>
              <w:lastRenderedPageBreak/>
              <w:t>Literatura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shtesë</w:t>
            </w:r>
            <w:proofErr w:type="spellEnd"/>
            <w:r w:rsidRPr="00626CF7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B70245" w:rsidRPr="00626CF7" w:rsidRDefault="00B70245" w:rsidP="00644773">
            <w:r w:rsidRPr="00626CF7">
              <w:t xml:space="preserve">Richard M. </w:t>
            </w:r>
            <w:proofErr w:type="spellStart"/>
            <w:r w:rsidRPr="00626CF7">
              <w:t>Levich</w:t>
            </w:r>
            <w:proofErr w:type="spellEnd"/>
            <w:r w:rsidRPr="00626CF7">
              <w:t>: International Financial Markets, Prices and Policies, Second Edition McGraw-Hill, 2001</w:t>
            </w:r>
          </w:p>
          <w:p w:rsidR="00B70245" w:rsidRPr="00626CF7" w:rsidRDefault="00B70245" w:rsidP="00644773">
            <w:r w:rsidRPr="00626CF7">
              <w:t xml:space="preserve">Pierre </w:t>
            </w:r>
            <w:proofErr w:type="spellStart"/>
            <w:r w:rsidRPr="00626CF7">
              <w:t>Vernimmen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Corportate</w:t>
            </w:r>
            <w:proofErr w:type="spellEnd"/>
            <w:r w:rsidRPr="00626CF7">
              <w:t xml:space="preserve"> Finance, Theory and Practice, John </w:t>
            </w:r>
            <w:proofErr w:type="spellStart"/>
            <w:r w:rsidRPr="00626CF7">
              <w:t>Wley&amp;Sons</w:t>
            </w:r>
            <w:proofErr w:type="spellEnd"/>
            <w:r w:rsidRPr="00626CF7">
              <w:t>, Ltd, 2005</w:t>
            </w:r>
          </w:p>
          <w:p w:rsidR="00B70245" w:rsidRPr="00626CF7" w:rsidRDefault="00B70245" w:rsidP="00644773">
            <w:pPr>
              <w:pStyle w:val="NoSpacing"/>
              <w:rPr>
                <w:i/>
              </w:rPr>
            </w:pPr>
            <w:r w:rsidRPr="00626CF7">
              <w:rPr>
                <w:color w:val="000000"/>
              </w:rPr>
              <w:t xml:space="preserve">Literature </w:t>
            </w:r>
            <w:proofErr w:type="spellStart"/>
            <w:r w:rsidRPr="00626CF7">
              <w:rPr>
                <w:color w:val="000000"/>
              </w:rPr>
              <w:t>tjeter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dhe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materiale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te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ndryshme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nga</w:t>
            </w:r>
            <w:proofErr w:type="spellEnd"/>
            <w:r w:rsidRPr="00626CF7">
              <w:rPr>
                <w:color w:val="000000"/>
              </w:rPr>
              <w:t xml:space="preserve"> </w:t>
            </w:r>
            <w:proofErr w:type="spellStart"/>
            <w:r w:rsidRPr="00626CF7">
              <w:rPr>
                <w:color w:val="000000"/>
              </w:rPr>
              <w:t>interneti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6138"/>
      </w:tblGrid>
      <w:tr w:rsidR="008F663A" w:rsidRPr="00626CF7" w:rsidTr="00644773">
        <w:tc>
          <w:tcPr>
            <w:tcW w:w="8946" w:type="dxa"/>
            <w:gridSpan w:val="2"/>
            <w:shd w:val="clear" w:color="auto" w:fill="B8CCE4"/>
          </w:tcPr>
          <w:p w:rsidR="008F663A" w:rsidRPr="00626CF7" w:rsidRDefault="008F663A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Plani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dizejnuar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i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mësimit</w:t>
            </w:r>
            <w:proofErr w:type="spellEnd"/>
          </w:p>
        </w:tc>
      </w:tr>
      <w:tr w:rsidR="008F663A" w:rsidRPr="00626CF7" w:rsidTr="00644773">
        <w:tc>
          <w:tcPr>
            <w:tcW w:w="2808" w:type="dxa"/>
            <w:shd w:val="clear" w:color="auto" w:fill="B8CCE4"/>
          </w:tcPr>
          <w:p w:rsidR="008F663A" w:rsidRPr="00626CF7" w:rsidRDefault="008F663A" w:rsidP="00644773">
            <w:pPr>
              <w:rPr>
                <w:b/>
              </w:rPr>
            </w:pPr>
            <w:r w:rsidRPr="00626CF7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8F663A" w:rsidRPr="00626CF7" w:rsidRDefault="008F663A" w:rsidP="00644773">
            <w:pPr>
              <w:rPr>
                <w:b/>
              </w:rPr>
            </w:pPr>
            <w:proofErr w:type="spellStart"/>
            <w:r w:rsidRPr="00626CF7">
              <w:rPr>
                <w:b/>
              </w:rPr>
              <w:t>Ligjeratat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te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cilat</w:t>
            </w:r>
            <w:proofErr w:type="spellEnd"/>
            <w:r w:rsidRPr="00626CF7">
              <w:rPr>
                <w:b/>
              </w:rPr>
              <w:t xml:space="preserve"> do </w:t>
            </w:r>
            <w:proofErr w:type="spellStart"/>
            <w:r w:rsidRPr="00626CF7">
              <w:rPr>
                <w:b/>
              </w:rPr>
              <w:t>te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zhvillohen</w:t>
            </w:r>
            <w:proofErr w:type="spellEnd"/>
          </w:p>
        </w:tc>
      </w:tr>
      <w:tr w:rsidR="008F663A" w:rsidRPr="00626CF7" w:rsidTr="00626CF7">
        <w:trPr>
          <w:trHeight w:val="413"/>
        </w:trPr>
        <w:tc>
          <w:tcPr>
            <w:tcW w:w="2808" w:type="dxa"/>
          </w:tcPr>
          <w:p w:rsidR="008F663A" w:rsidRPr="00626CF7" w:rsidRDefault="008F663A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parë</w:t>
            </w:r>
            <w:proofErr w:type="spellEnd"/>
          </w:p>
        </w:tc>
        <w:tc>
          <w:tcPr>
            <w:tcW w:w="6138" w:type="dxa"/>
          </w:tcPr>
          <w:p w:rsidR="008F663A" w:rsidRPr="00626CF7" w:rsidRDefault="008F663A" w:rsidP="00626CF7">
            <w:pPr>
              <w:pStyle w:val="ListParagraph"/>
              <w:spacing w:line="240" w:lineRule="auto"/>
              <w:ind w:left="-18" w:firstLine="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Prezantimi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Syllabus-it</w:t>
            </w:r>
          </w:p>
        </w:tc>
      </w:tr>
      <w:tr w:rsidR="008F663A" w:rsidRPr="00626CF7" w:rsidTr="00644773">
        <w:tc>
          <w:tcPr>
            <w:tcW w:w="2808" w:type="dxa"/>
          </w:tcPr>
          <w:p w:rsidR="008F663A" w:rsidRPr="00626CF7" w:rsidRDefault="008F663A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dytë</w:t>
            </w:r>
            <w:proofErr w:type="spellEnd"/>
          </w:p>
        </w:tc>
        <w:tc>
          <w:tcPr>
            <w:tcW w:w="6138" w:type="dxa"/>
          </w:tcPr>
          <w:p w:rsidR="008F663A" w:rsidRPr="00626CF7" w:rsidRDefault="008F663A" w:rsidP="00626CF7">
            <w:proofErr w:type="spellStart"/>
            <w:r w:rsidRPr="00626CF7">
              <w:t>Aplikimi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Vlerës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Kohë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Parasë</w:t>
            </w:r>
            <w:proofErr w:type="spellEnd"/>
            <w:r w:rsidRPr="00626CF7">
              <w:t xml:space="preserve"> </w:t>
            </w:r>
          </w:p>
          <w:p w:rsidR="00AD7614" w:rsidRPr="00626CF7" w:rsidRDefault="00AD7614" w:rsidP="00626CF7"/>
        </w:tc>
      </w:tr>
      <w:tr w:rsidR="008F663A" w:rsidRPr="00626CF7" w:rsidTr="00644773">
        <w:tc>
          <w:tcPr>
            <w:tcW w:w="2808" w:type="dxa"/>
          </w:tcPr>
          <w:p w:rsidR="008F663A" w:rsidRPr="00626CF7" w:rsidRDefault="008F663A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tretë</w:t>
            </w:r>
            <w:proofErr w:type="spellEnd"/>
          </w:p>
        </w:tc>
        <w:tc>
          <w:tcPr>
            <w:tcW w:w="6138" w:type="dxa"/>
          </w:tcPr>
          <w:p w:rsidR="00AD7614" w:rsidRDefault="008F663A" w:rsidP="00626CF7">
            <w:proofErr w:type="spellStart"/>
            <w:r w:rsidRPr="00626CF7">
              <w:t>Marrja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vendimeve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korporata</w:t>
            </w:r>
            <w:proofErr w:type="spellEnd"/>
            <w:r w:rsidRPr="00626CF7">
              <w:t xml:space="preserve"> </w:t>
            </w:r>
          </w:p>
          <w:p w:rsidR="00626CF7" w:rsidRPr="00626CF7" w:rsidRDefault="00626CF7" w:rsidP="00626CF7">
            <w:pPr>
              <w:rPr>
                <w:sz w:val="16"/>
                <w:szCs w:val="16"/>
              </w:rPr>
            </w:pPr>
          </w:p>
        </w:tc>
      </w:tr>
      <w:tr w:rsidR="008F663A" w:rsidRPr="00626CF7" w:rsidTr="00644773">
        <w:tc>
          <w:tcPr>
            <w:tcW w:w="2808" w:type="dxa"/>
          </w:tcPr>
          <w:p w:rsidR="008F663A" w:rsidRPr="00626CF7" w:rsidRDefault="008F663A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katërt</w:t>
            </w:r>
            <w:proofErr w:type="spellEnd"/>
          </w:p>
        </w:tc>
        <w:tc>
          <w:tcPr>
            <w:tcW w:w="6138" w:type="dxa"/>
          </w:tcPr>
          <w:p w:rsidR="008F663A" w:rsidRPr="00626CF7" w:rsidRDefault="00ED3A64" w:rsidP="00626CF7">
            <w:pPr>
              <w:pStyle w:val="ListParagraph"/>
              <w:spacing w:line="240" w:lineRule="auto"/>
              <w:ind w:left="0" w:hanging="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Analiza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</w:p>
        </w:tc>
      </w:tr>
      <w:tr w:rsidR="008F663A" w:rsidRPr="00626CF7" w:rsidTr="00626CF7">
        <w:trPr>
          <w:trHeight w:val="476"/>
        </w:trPr>
        <w:tc>
          <w:tcPr>
            <w:tcW w:w="2808" w:type="dxa"/>
          </w:tcPr>
          <w:p w:rsidR="008F663A" w:rsidRPr="00626CF7" w:rsidRDefault="008F663A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pestë</w:t>
            </w:r>
            <w:proofErr w:type="spellEnd"/>
          </w:p>
        </w:tc>
        <w:tc>
          <w:tcPr>
            <w:tcW w:w="6138" w:type="dxa"/>
          </w:tcPr>
          <w:p w:rsidR="008F663A" w:rsidRPr="00626CF7" w:rsidRDefault="00ED3A64" w:rsidP="00626CF7">
            <w:proofErr w:type="spellStart"/>
            <w:r w:rsidRPr="00626CF7">
              <w:t>Planifikimi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financiar</w:t>
            </w:r>
            <w:proofErr w:type="spellEnd"/>
            <w:r w:rsidR="000149D5" w:rsidRPr="00626CF7">
              <w:t xml:space="preserve">   </w:t>
            </w:r>
            <w:bookmarkStart w:id="0" w:name="_GoBack"/>
            <w:bookmarkEnd w:id="0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gjashtë</w:t>
            </w:r>
            <w:proofErr w:type="spellEnd"/>
          </w:p>
        </w:tc>
        <w:tc>
          <w:tcPr>
            <w:tcW w:w="6138" w:type="dxa"/>
          </w:tcPr>
          <w:p w:rsidR="000149D5" w:rsidRPr="00626CF7" w:rsidRDefault="00ED3A64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Buxhetimi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kapitallilt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shtatë</w:t>
            </w:r>
            <w:proofErr w:type="spellEnd"/>
          </w:p>
        </w:tc>
        <w:tc>
          <w:tcPr>
            <w:tcW w:w="6138" w:type="dxa"/>
          </w:tcPr>
          <w:p w:rsidR="000149D5" w:rsidRPr="00626CF7" w:rsidRDefault="000149D5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Prezantimi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seminarike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tetë</w:t>
            </w:r>
            <w:proofErr w:type="spellEnd"/>
          </w:p>
        </w:tc>
        <w:tc>
          <w:tcPr>
            <w:tcW w:w="6138" w:type="dxa"/>
          </w:tcPr>
          <w:p w:rsidR="000149D5" w:rsidRPr="00626CF7" w:rsidRDefault="00ED3A64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Risku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kthimi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nëntë</w:t>
            </w:r>
            <w:proofErr w:type="spellEnd"/>
          </w:p>
        </w:tc>
        <w:tc>
          <w:tcPr>
            <w:tcW w:w="6138" w:type="dxa"/>
          </w:tcPr>
          <w:p w:rsidR="000149D5" w:rsidRPr="00626CF7" w:rsidRDefault="00ED3A64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Financimi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762" w:rsidRPr="00626CF7">
              <w:rPr>
                <w:rFonts w:ascii="Times New Roman" w:hAnsi="Times New Roman"/>
                <w:sz w:val="24"/>
                <w:szCs w:val="24"/>
              </w:rPr>
              <w:t>hybrid</w:t>
            </w:r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dhjetë</w:t>
            </w:r>
            <w:proofErr w:type="spellEnd"/>
          </w:p>
        </w:tc>
        <w:tc>
          <w:tcPr>
            <w:tcW w:w="6138" w:type="dxa"/>
          </w:tcPr>
          <w:p w:rsidR="000149D5" w:rsidRPr="00626CF7" w:rsidRDefault="000149D5" w:rsidP="00626CF7">
            <w:pPr>
              <w:pStyle w:val="ListParagraph"/>
              <w:spacing w:line="240" w:lineRule="auto"/>
              <w:ind w:left="0" w:hanging="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Kostoja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kapitalit</w:t>
            </w:r>
            <w:proofErr w:type="spellEnd"/>
            <w:r w:rsidR="00287E8A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njëmbëdhjetë</w:t>
            </w:r>
            <w:proofErr w:type="spellEnd"/>
            <w:r w:rsidRPr="00626CF7">
              <w:rPr>
                <w:b/>
              </w:rPr>
              <w:t>:</w:t>
            </w:r>
          </w:p>
        </w:tc>
        <w:tc>
          <w:tcPr>
            <w:tcW w:w="6138" w:type="dxa"/>
          </w:tcPr>
          <w:p w:rsidR="000149D5" w:rsidRPr="00626CF7" w:rsidRDefault="000149D5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</w:t>
            </w:r>
            <w:r w:rsidR="00287E8A" w:rsidRPr="00626CF7">
              <w:rPr>
                <w:rFonts w:ascii="Times New Roman" w:hAnsi="Times New Roman"/>
                <w:sz w:val="24"/>
                <w:szCs w:val="24"/>
              </w:rPr>
              <w:t>olitika</w:t>
            </w:r>
            <w:proofErr w:type="spellEnd"/>
            <w:r w:rsidR="00287E8A" w:rsidRPr="00626CF7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87E8A" w:rsidRPr="00626CF7">
              <w:rPr>
                <w:rFonts w:ascii="Times New Roman" w:hAnsi="Times New Roman"/>
                <w:sz w:val="24"/>
                <w:szCs w:val="24"/>
              </w:rPr>
              <w:t>dividendit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dymbëdhjetë</w:t>
            </w:r>
            <w:proofErr w:type="spellEnd"/>
            <w:r w:rsidRPr="00626CF7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0149D5" w:rsidRPr="00626CF7" w:rsidRDefault="00287E8A" w:rsidP="00626CF7">
            <w:pPr>
              <w:pStyle w:val="ListParagraph"/>
              <w:spacing w:line="240" w:lineRule="auto"/>
              <w:ind w:left="0" w:hanging="1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kapitalin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punues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trembëdhjetë</w:t>
            </w:r>
            <w:proofErr w:type="spellEnd"/>
            <w:r w:rsidRPr="00626CF7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:rsidR="000149D5" w:rsidRPr="00626CF7" w:rsidRDefault="00287E8A" w:rsidP="00626CF7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Bankrotimi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riorganizimi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9D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149D5" w:rsidRPr="00626CF7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0149D5"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likuidimi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firmave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katërmbëdhjetë</w:t>
            </w:r>
            <w:proofErr w:type="spellEnd"/>
            <w:r w:rsidRPr="00626CF7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0149D5" w:rsidRPr="00626CF7" w:rsidRDefault="000149D5" w:rsidP="00626CF7">
            <w:pPr>
              <w:pStyle w:val="ListParagraph"/>
              <w:spacing w:line="240" w:lineRule="auto"/>
              <w:ind w:left="1080" w:hanging="10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Prezantimi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punimeve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seminarike</w:t>
            </w:r>
            <w:proofErr w:type="spellEnd"/>
          </w:p>
        </w:tc>
      </w:tr>
      <w:tr w:rsidR="000149D5" w:rsidRPr="00626CF7" w:rsidTr="00644773">
        <w:tc>
          <w:tcPr>
            <w:tcW w:w="2808" w:type="dxa"/>
          </w:tcPr>
          <w:p w:rsidR="000149D5" w:rsidRPr="00626CF7" w:rsidRDefault="000149D5" w:rsidP="00626CF7">
            <w:pPr>
              <w:rPr>
                <w:b/>
              </w:rPr>
            </w:pPr>
            <w:r w:rsidRPr="00626CF7">
              <w:rPr>
                <w:b/>
              </w:rPr>
              <w:t xml:space="preserve">Java e </w:t>
            </w:r>
            <w:proofErr w:type="spellStart"/>
            <w:r w:rsidRPr="00626CF7">
              <w:rPr>
                <w:b/>
              </w:rPr>
              <w:t>pesëmbëdhjetë</w:t>
            </w:r>
            <w:proofErr w:type="spellEnd"/>
            <w:r w:rsidRPr="00626CF7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0149D5" w:rsidRPr="00626CF7" w:rsidRDefault="000149D5" w:rsidP="00626CF7">
            <w:pPr>
              <w:pStyle w:val="ListParagraph"/>
              <w:spacing w:line="240" w:lineRule="auto"/>
              <w:ind w:left="1080" w:hanging="10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Menaxhimi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financiar</w:t>
            </w:r>
            <w:proofErr w:type="spellEnd"/>
            <w:r w:rsidRPr="00626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6CF7">
              <w:rPr>
                <w:rFonts w:ascii="Times New Roman" w:hAnsi="Times New Roman"/>
                <w:sz w:val="24"/>
                <w:szCs w:val="24"/>
              </w:rPr>
              <w:t>ndërkombëtar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F663A" w:rsidRPr="00626CF7" w:rsidTr="00644773">
        <w:tc>
          <w:tcPr>
            <w:tcW w:w="8856" w:type="dxa"/>
            <w:shd w:val="clear" w:color="auto" w:fill="B8CCE4"/>
          </w:tcPr>
          <w:p w:rsidR="008F663A" w:rsidRPr="00626CF7" w:rsidRDefault="008F663A" w:rsidP="00644773">
            <w:pPr>
              <w:jc w:val="center"/>
              <w:rPr>
                <w:b/>
              </w:rPr>
            </w:pPr>
          </w:p>
        </w:tc>
      </w:tr>
      <w:tr w:rsidR="008F663A" w:rsidRPr="00626CF7" w:rsidTr="00644773">
        <w:tc>
          <w:tcPr>
            <w:tcW w:w="8856" w:type="dxa"/>
            <w:shd w:val="clear" w:color="auto" w:fill="B8CCE4"/>
          </w:tcPr>
          <w:p w:rsidR="008F663A" w:rsidRPr="00626CF7" w:rsidRDefault="008F663A" w:rsidP="00644773">
            <w:pPr>
              <w:jc w:val="center"/>
              <w:rPr>
                <w:b/>
              </w:rPr>
            </w:pPr>
            <w:proofErr w:type="spellStart"/>
            <w:r w:rsidRPr="00626CF7">
              <w:rPr>
                <w:b/>
              </w:rPr>
              <w:t>Politikat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akademike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dhe</w:t>
            </w:r>
            <w:proofErr w:type="spellEnd"/>
            <w:r w:rsidRPr="00626CF7">
              <w:rPr>
                <w:b/>
              </w:rPr>
              <w:t xml:space="preserve"> </w:t>
            </w:r>
            <w:proofErr w:type="spellStart"/>
            <w:r w:rsidRPr="00626CF7">
              <w:rPr>
                <w:b/>
              </w:rPr>
              <w:t>rregullat</w:t>
            </w:r>
            <w:proofErr w:type="spellEnd"/>
            <w:r w:rsidRPr="00626CF7">
              <w:rPr>
                <w:b/>
              </w:rPr>
              <w:t xml:space="preserve"> e </w:t>
            </w:r>
            <w:proofErr w:type="spellStart"/>
            <w:r w:rsidRPr="00626CF7">
              <w:rPr>
                <w:b/>
              </w:rPr>
              <w:t>mirësjelljes</w:t>
            </w:r>
            <w:proofErr w:type="spellEnd"/>
            <w:r w:rsidRPr="00626CF7">
              <w:rPr>
                <w:b/>
              </w:rPr>
              <w:t>:</w:t>
            </w:r>
          </w:p>
        </w:tc>
      </w:tr>
      <w:tr w:rsidR="008F663A" w:rsidRPr="00626CF7" w:rsidTr="00644773">
        <w:trPr>
          <w:trHeight w:val="1088"/>
        </w:trPr>
        <w:tc>
          <w:tcPr>
            <w:tcW w:w="8856" w:type="dxa"/>
          </w:tcPr>
          <w:p w:rsidR="008F663A" w:rsidRPr="00626CF7" w:rsidRDefault="008F663A" w:rsidP="008F663A">
            <w:pPr>
              <w:numPr>
                <w:ilvl w:val="0"/>
                <w:numId w:val="2"/>
              </w:numPr>
              <w:rPr>
                <w:color w:val="262626"/>
                <w:lang w:val="de-DE"/>
              </w:rPr>
            </w:pPr>
            <w:r w:rsidRPr="00626CF7">
              <w:rPr>
                <w:lang w:val="de-DE"/>
              </w:rPr>
              <w:t>Studentët duhet të respektojnë orarin e mësimit  dhe ardhja në ligjërata është e obligueshme.</w:t>
            </w:r>
          </w:p>
          <w:p w:rsidR="008F663A" w:rsidRPr="00626CF7" w:rsidRDefault="008F663A" w:rsidP="008F663A">
            <w:pPr>
              <w:numPr>
                <w:ilvl w:val="0"/>
                <w:numId w:val="2"/>
              </w:numPr>
              <w:rPr>
                <w:color w:val="262626"/>
                <w:lang w:val="de-DE"/>
              </w:rPr>
            </w:pPr>
            <w:r w:rsidRPr="00626CF7">
              <w:rPr>
                <w:lang w:val="de-DE"/>
              </w:rPr>
              <w:t xml:space="preserve">Telefonat mobil/të mençur duhet të shkyçen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mos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ekspozohen</w:t>
            </w:r>
            <w:proofErr w:type="spellEnd"/>
            <w:r w:rsidRPr="00626CF7">
              <w:t xml:space="preserve"> </w:t>
            </w:r>
            <w:r w:rsidRPr="00626CF7">
              <w:rPr>
                <w:lang w:val="de-DE"/>
              </w:rPr>
              <w:t xml:space="preserve">gjatë kohës së ligjëratave. </w:t>
            </w:r>
          </w:p>
          <w:p w:rsidR="008F663A" w:rsidRPr="00626CF7" w:rsidRDefault="008F663A" w:rsidP="008F663A">
            <w:pPr>
              <w:numPr>
                <w:ilvl w:val="0"/>
                <w:numId w:val="2"/>
              </w:numPr>
              <w:rPr>
                <w:color w:val="262626"/>
                <w:lang w:val="de-DE"/>
              </w:rPr>
            </w:pPr>
            <w:proofErr w:type="spellStart"/>
            <w:r w:rsidRPr="00626CF7">
              <w:t>Nga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gjithë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pritet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jenë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sjellshëm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respektueshëm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ndaj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tjerëve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gjatë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diskutimeve</w:t>
            </w:r>
            <w:proofErr w:type="spellEnd"/>
            <w:r w:rsidRPr="00626CF7">
              <w:t xml:space="preserve">, </w:t>
            </w:r>
            <w:proofErr w:type="spellStart"/>
            <w:r w:rsidRPr="00626CF7">
              <w:t>dhe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nuk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bënë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të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përdorët</w:t>
            </w:r>
            <w:proofErr w:type="spellEnd"/>
            <w:r w:rsidRPr="00626CF7">
              <w:t xml:space="preserve"> </w:t>
            </w:r>
            <w:proofErr w:type="spellStart"/>
            <w:r w:rsidRPr="00626CF7">
              <w:t>gjuhë</w:t>
            </w:r>
            <w:proofErr w:type="spellEnd"/>
            <w:r w:rsidRPr="00626CF7">
              <w:t xml:space="preserve"> e </w:t>
            </w:r>
            <w:proofErr w:type="spellStart"/>
            <w:r w:rsidRPr="00626CF7">
              <w:t>pahijshme</w:t>
            </w:r>
            <w:proofErr w:type="spellEnd"/>
            <w:r w:rsidRPr="00626CF7">
              <w:t>.</w:t>
            </w:r>
            <w:r w:rsidRPr="00626CF7">
              <w:rPr>
                <w:lang w:val="de-DE"/>
              </w:rPr>
              <w:t xml:space="preserve"> </w:t>
            </w:r>
          </w:p>
          <w:p w:rsidR="008F663A" w:rsidRPr="00626CF7" w:rsidRDefault="008F663A" w:rsidP="008F663A">
            <w:pPr>
              <w:numPr>
                <w:ilvl w:val="0"/>
                <w:numId w:val="2"/>
              </w:numPr>
              <w:rPr>
                <w:color w:val="262626"/>
                <w:lang w:val="de-DE"/>
              </w:rPr>
            </w:pPr>
            <w:r w:rsidRPr="00626CF7">
              <w:rPr>
                <w:color w:val="262626"/>
                <w:lang w:val="de-DE"/>
              </w:rPr>
              <w:t>Është i obliguar posedimi dhe paraqitja e ID kartelës në kolokviume dhe në provim.</w:t>
            </w:r>
          </w:p>
          <w:p w:rsidR="008F663A" w:rsidRPr="00626CF7" w:rsidRDefault="008F663A" w:rsidP="00644773">
            <w:pPr>
              <w:rPr>
                <w:b/>
                <w:i/>
              </w:rPr>
            </w:pPr>
          </w:p>
        </w:tc>
      </w:tr>
    </w:tbl>
    <w:p w:rsidR="008F663A" w:rsidRPr="00626CF7" w:rsidRDefault="008F663A" w:rsidP="008F663A">
      <w:pPr>
        <w:rPr>
          <w:b/>
        </w:rPr>
      </w:pPr>
    </w:p>
    <w:p w:rsidR="008F663A" w:rsidRPr="00626CF7" w:rsidRDefault="008F663A" w:rsidP="008F663A">
      <w:pPr>
        <w:rPr>
          <w:b/>
        </w:rPr>
      </w:pPr>
    </w:p>
    <w:sectPr w:rsidR="008F663A" w:rsidRPr="00626CF7" w:rsidSect="00410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B70CD"/>
    <w:multiLevelType w:val="hybridMultilevel"/>
    <w:tmpl w:val="1A06C45A"/>
    <w:lvl w:ilvl="0" w:tplc="B3844E4C">
      <w:start w:val="3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E1EB9"/>
    <w:multiLevelType w:val="hybridMultilevel"/>
    <w:tmpl w:val="E030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663A"/>
    <w:rsid w:val="000149D5"/>
    <w:rsid w:val="000C32A3"/>
    <w:rsid w:val="00196E74"/>
    <w:rsid w:val="001D00A5"/>
    <w:rsid w:val="001D058B"/>
    <w:rsid w:val="00287E8A"/>
    <w:rsid w:val="002C30B7"/>
    <w:rsid w:val="002F6762"/>
    <w:rsid w:val="00373F64"/>
    <w:rsid w:val="003B714E"/>
    <w:rsid w:val="003D7631"/>
    <w:rsid w:val="003D79F4"/>
    <w:rsid w:val="0041057C"/>
    <w:rsid w:val="004955CE"/>
    <w:rsid w:val="0049666F"/>
    <w:rsid w:val="00520AE8"/>
    <w:rsid w:val="005325A2"/>
    <w:rsid w:val="0055495B"/>
    <w:rsid w:val="00626CF7"/>
    <w:rsid w:val="006638E4"/>
    <w:rsid w:val="006E4D35"/>
    <w:rsid w:val="008F663A"/>
    <w:rsid w:val="00A605DB"/>
    <w:rsid w:val="00AC71A8"/>
    <w:rsid w:val="00AD7614"/>
    <w:rsid w:val="00B70245"/>
    <w:rsid w:val="00C00381"/>
    <w:rsid w:val="00C17597"/>
    <w:rsid w:val="00CA6C90"/>
    <w:rsid w:val="00EB31C7"/>
    <w:rsid w:val="00EC277A"/>
    <w:rsid w:val="00ED3A64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D77D1"/>
  <w15:docId w15:val="{B6862DE5-7DA3-4538-BE4B-FE87E100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autoRedefine/>
    <w:qFormat/>
    <w:rsid w:val="004955CE"/>
    <w:pPr>
      <w:numPr>
        <w:ilvl w:val="1"/>
      </w:numPr>
    </w:pPr>
    <w:rPr>
      <w:rFonts w:ascii="Cambria Math" w:eastAsiaTheme="majorEastAsia" w:hAnsi="Cambria Math" w:cstheme="majorBidi"/>
      <w:i/>
      <w:iCs/>
      <w:color w:val="4F81BD" w:themeColor="accen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5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955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8F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F663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F663A"/>
    <w:pPr>
      <w:ind w:left="360"/>
    </w:pPr>
    <w:rPr>
      <w:lang w:val="sq-AL"/>
    </w:rPr>
  </w:style>
  <w:style w:type="character" w:customStyle="1" w:styleId="BodyTextIndentChar">
    <w:name w:val="Body Text Indent Char"/>
    <w:basedOn w:val="DefaultParagraphFont"/>
    <w:link w:val="BodyTextIndent"/>
    <w:rsid w:val="008F663A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8F66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ita.konxhel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Vlora Prenaj</cp:lastModifiedBy>
  <cp:revision>9</cp:revision>
  <dcterms:created xsi:type="dcterms:W3CDTF">2019-06-23T20:10:00Z</dcterms:created>
  <dcterms:modified xsi:type="dcterms:W3CDTF">2020-11-19T14:58:00Z</dcterms:modified>
</cp:coreProperties>
</file>