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6BD0F" w14:textId="77777777" w:rsidR="00E64552" w:rsidRPr="00A8045D" w:rsidRDefault="00E64552" w:rsidP="00E64552">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1386"/>
        <w:gridCol w:w="1738"/>
        <w:gridCol w:w="1971"/>
      </w:tblGrid>
      <w:tr w:rsidR="00E64552" w:rsidRPr="00F96974" w14:paraId="1F7B0537" w14:textId="77777777" w:rsidTr="00220A00">
        <w:tc>
          <w:tcPr>
            <w:tcW w:w="8630" w:type="dxa"/>
            <w:gridSpan w:val="4"/>
            <w:shd w:val="clear" w:color="auto" w:fill="D9D9D9"/>
          </w:tcPr>
          <w:p w14:paraId="686FAE35" w14:textId="77777777" w:rsidR="00E64552" w:rsidRPr="00F96974" w:rsidRDefault="00E64552" w:rsidP="00015BE6">
            <w:pPr>
              <w:pStyle w:val="NoSpacing"/>
              <w:rPr>
                <w:rFonts w:ascii="Calibri" w:hAnsi="Calibri"/>
                <w:b/>
                <w:lang w:val="en-GB"/>
              </w:rPr>
            </w:pPr>
            <w:r w:rsidRPr="00F96974">
              <w:rPr>
                <w:rFonts w:ascii="Calibri" w:hAnsi="Calibri"/>
                <w:b/>
                <w:lang w:val="en-GB"/>
              </w:rPr>
              <w:t>Basic information of the course</w:t>
            </w:r>
          </w:p>
        </w:tc>
      </w:tr>
      <w:tr w:rsidR="00E64552" w:rsidRPr="00F96974" w14:paraId="489C3C39" w14:textId="77777777" w:rsidTr="00220A00">
        <w:tc>
          <w:tcPr>
            <w:tcW w:w="3535" w:type="dxa"/>
          </w:tcPr>
          <w:p w14:paraId="4D83E047"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 xml:space="preserve">Academic unit: </w:t>
            </w:r>
          </w:p>
        </w:tc>
        <w:tc>
          <w:tcPr>
            <w:tcW w:w="5095" w:type="dxa"/>
            <w:gridSpan w:val="3"/>
          </w:tcPr>
          <w:p w14:paraId="573FE0B4" w14:textId="77777777" w:rsidR="00E64552" w:rsidRPr="00F96974" w:rsidRDefault="00E64552" w:rsidP="00015BE6">
            <w:pPr>
              <w:pStyle w:val="NoSpacing"/>
              <w:rPr>
                <w:szCs w:val="28"/>
                <w:lang w:val="en-GB"/>
              </w:rPr>
            </w:pPr>
            <w:r w:rsidRPr="00F96974">
              <w:rPr>
                <w:szCs w:val="28"/>
                <w:lang w:val="en-GB"/>
              </w:rPr>
              <w:t>Faculty of Law</w:t>
            </w:r>
          </w:p>
        </w:tc>
      </w:tr>
      <w:tr w:rsidR="00E64552" w:rsidRPr="00F96974" w14:paraId="52A6EC15" w14:textId="77777777" w:rsidTr="00220A00">
        <w:tc>
          <w:tcPr>
            <w:tcW w:w="3535" w:type="dxa"/>
          </w:tcPr>
          <w:p w14:paraId="2CBF2096"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Course title:</w:t>
            </w:r>
          </w:p>
        </w:tc>
        <w:tc>
          <w:tcPr>
            <w:tcW w:w="5095" w:type="dxa"/>
            <w:gridSpan w:val="3"/>
          </w:tcPr>
          <w:p w14:paraId="3B51F814" w14:textId="4F842915" w:rsidR="00E64552" w:rsidRPr="00F96974" w:rsidRDefault="006D3766" w:rsidP="00015BE6">
            <w:pPr>
              <w:pStyle w:val="NoSpacing"/>
              <w:rPr>
                <w:szCs w:val="28"/>
                <w:lang w:val="en-GB"/>
              </w:rPr>
            </w:pPr>
            <w:r>
              <w:rPr>
                <w:szCs w:val="28"/>
                <w:lang w:val="en-GB"/>
              </w:rPr>
              <w:t>Human Rights and Environment</w:t>
            </w:r>
          </w:p>
        </w:tc>
      </w:tr>
      <w:tr w:rsidR="00E64552" w:rsidRPr="00F96974" w14:paraId="00150B8C" w14:textId="77777777" w:rsidTr="00220A00">
        <w:tc>
          <w:tcPr>
            <w:tcW w:w="3535" w:type="dxa"/>
          </w:tcPr>
          <w:p w14:paraId="68BBD325"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Level:</w:t>
            </w:r>
          </w:p>
        </w:tc>
        <w:tc>
          <w:tcPr>
            <w:tcW w:w="5095" w:type="dxa"/>
            <w:gridSpan w:val="3"/>
          </w:tcPr>
          <w:p w14:paraId="08A01367" w14:textId="77777777" w:rsidR="00E64552" w:rsidRPr="00F96974" w:rsidRDefault="00E64552" w:rsidP="00015BE6">
            <w:pPr>
              <w:pStyle w:val="NoSpacing"/>
              <w:rPr>
                <w:szCs w:val="28"/>
                <w:lang w:val="en-GB"/>
              </w:rPr>
            </w:pPr>
            <w:r w:rsidRPr="00F96974">
              <w:rPr>
                <w:szCs w:val="28"/>
                <w:lang w:val="en-GB"/>
              </w:rPr>
              <w:t>MASTER</w:t>
            </w:r>
          </w:p>
        </w:tc>
      </w:tr>
      <w:tr w:rsidR="00E64552" w:rsidRPr="00F96974" w14:paraId="729F472B" w14:textId="77777777" w:rsidTr="00220A00">
        <w:tc>
          <w:tcPr>
            <w:tcW w:w="3535" w:type="dxa"/>
          </w:tcPr>
          <w:p w14:paraId="4268A505"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Course status:</w:t>
            </w:r>
          </w:p>
        </w:tc>
        <w:tc>
          <w:tcPr>
            <w:tcW w:w="5095" w:type="dxa"/>
            <w:gridSpan w:val="3"/>
          </w:tcPr>
          <w:p w14:paraId="438F7C45" w14:textId="6E8E2B35" w:rsidR="00E64552" w:rsidRPr="00F96974" w:rsidRDefault="00950CBE" w:rsidP="00015BE6">
            <w:pPr>
              <w:pStyle w:val="NoSpacing"/>
              <w:rPr>
                <w:szCs w:val="28"/>
                <w:lang w:val="en-GB"/>
              </w:rPr>
            </w:pPr>
            <w:r>
              <w:rPr>
                <w:szCs w:val="28"/>
                <w:lang w:val="en-GB"/>
              </w:rPr>
              <w:t>Elective</w:t>
            </w:r>
          </w:p>
        </w:tc>
      </w:tr>
      <w:tr w:rsidR="00E64552" w:rsidRPr="00F96974" w14:paraId="51F077C8" w14:textId="77777777" w:rsidTr="00220A00">
        <w:tc>
          <w:tcPr>
            <w:tcW w:w="3535" w:type="dxa"/>
          </w:tcPr>
          <w:p w14:paraId="637A303C"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Year of study:</w:t>
            </w:r>
          </w:p>
        </w:tc>
        <w:tc>
          <w:tcPr>
            <w:tcW w:w="5095" w:type="dxa"/>
            <w:gridSpan w:val="3"/>
          </w:tcPr>
          <w:p w14:paraId="61995220" w14:textId="5C8BBB31" w:rsidR="00E64552" w:rsidRPr="00F96974" w:rsidRDefault="00950CBE" w:rsidP="00015BE6">
            <w:pPr>
              <w:pStyle w:val="NoSpacing"/>
              <w:rPr>
                <w:szCs w:val="28"/>
                <w:lang w:val="en-GB"/>
              </w:rPr>
            </w:pPr>
            <w:r>
              <w:rPr>
                <w:szCs w:val="28"/>
                <w:lang w:val="en-GB"/>
              </w:rPr>
              <w:t>1</w:t>
            </w:r>
          </w:p>
        </w:tc>
      </w:tr>
      <w:tr w:rsidR="00E64552" w:rsidRPr="00F96974" w14:paraId="2820276F" w14:textId="77777777" w:rsidTr="00220A00">
        <w:tc>
          <w:tcPr>
            <w:tcW w:w="3535" w:type="dxa"/>
          </w:tcPr>
          <w:p w14:paraId="11300B8D"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Number of hours per week:</w:t>
            </w:r>
          </w:p>
        </w:tc>
        <w:tc>
          <w:tcPr>
            <w:tcW w:w="5095" w:type="dxa"/>
            <w:gridSpan w:val="3"/>
          </w:tcPr>
          <w:p w14:paraId="7B37D62B" w14:textId="4F719CA6" w:rsidR="00E64552" w:rsidRPr="00F96974" w:rsidRDefault="00950CBE" w:rsidP="00015BE6">
            <w:pPr>
              <w:pStyle w:val="NoSpacing"/>
              <w:rPr>
                <w:szCs w:val="28"/>
                <w:lang w:val="en-GB"/>
              </w:rPr>
            </w:pPr>
            <w:r>
              <w:rPr>
                <w:szCs w:val="28"/>
                <w:lang w:val="en-GB"/>
              </w:rPr>
              <w:t>2+0</w:t>
            </w:r>
          </w:p>
        </w:tc>
      </w:tr>
      <w:tr w:rsidR="00E64552" w:rsidRPr="00F96974" w14:paraId="0FF7560E" w14:textId="77777777" w:rsidTr="00220A00">
        <w:tc>
          <w:tcPr>
            <w:tcW w:w="3535" w:type="dxa"/>
          </w:tcPr>
          <w:p w14:paraId="749591E1"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Credits– ECTS:</w:t>
            </w:r>
          </w:p>
        </w:tc>
        <w:tc>
          <w:tcPr>
            <w:tcW w:w="5095" w:type="dxa"/>
            <w:gridSpan w:val="3"/>
          </w:tcPr>
          <w:p w14:paraId="290A6CA9" w14:textId="1C28DE7A" w:rsidR="00E64552" w:rsidRPr="00F96974" w:rsidRDefault="006D3766" w:rsidP="00015BE6">
            <w:pPr>
              <w:pStyle w:val="NoSpacing"/>
              <w:rPr>
                <w:szCs w:val="28"/>
                <w:lang w:val="en-GB"/>
              </w:rPr>
            </w:pPr>
            <w:r>
              <w:rPr>
                <w:szCs w:val="28"/>
                <w:lang w:val="en-GB"/>
              </w:rPr>
              <w:t>4</w:t>
            </w:r>
          </w:p>
        </w:tc>
      </w:tr>
      <w:tr w:rsidR="00E64552" w:rsidRPr="00F96974" w14:paraId="305CF5DD" w14:textId="77777777" w:rsidTr="00220A00">
        <w:tc>
          <w:tcPr>
            <w:tcW w:w="3535" w:type="dxa"/>
          </w:tcPr>
          <w:p w14:paraId="1EAD1594"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Time / location:</w:t>
            </w:r>
          </w:p>
        </w:tc>
        <w:tc>
          <w:tcPr>
            <w:tcW w:w="5095" w:type="dxa"/>
            <w:gridSpan w:val="3"/>
          </w:tcPr>
          <w:p w14:paraId="712194F9" w14:textId="77777777" w:rsidR="00E64552" w:rsidRPr="00F96974" w:rsidRDefault="00E64552" w:rsidP="00015BE6">
            <w:pPr>
              <w:pStyle w:val="NoSpacing"/>
              <w:rPr>
                <w:szCs w:val="28"/>
                <w:lang w:val="en-GB"/>
              </w:rPr>
            </w:pPr>
          </w:p>
        </w:tc>
      </w:tr>
      <w:tr w:rsidR="00E64552" w:rsidRPr="00F96974" w14:paraId="27E8E7B7" w14:textId="77777777" w:rsidTr="00220A00">
        <w:tc>
          <w:tcPr>
            <w:tcW w:w="3535" w:type="dxa"/>
          </w:tcPr>
          <w:p w14:paraId="7950FE37"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Lecturer:</w:t>
            </w:r>
          </w:p>
        </w:tc>
        <w:tc>
          <w:tcPr>
            <w:tcW w:w="5095" w:type="dxa"/>
            <w:gridSpan w:val="3"/>
          </w:tcPr>
          <w:p w14:paraId="33358981" w14:textId="41EFB4CB" w:rsidR="00E64552" w:rsidRPr="00EB2C55" w:rsidRDefault="00EB2C55" w:rsidP="00015BE6">
            <w:pPr>
              <w:pStyle w:val="NoSpacing"/>
              <w:rPr>
                <w:szCs w:val="28"/>
                <w:lang w:val="en-GB"/>
              </w:rPr>
            </w:pPr>
            <w:r w:rsidRPr="00EB2C55">
              <w:rPr>
                <w:szCs w:val="28"/>
              </w:rPr>
              <w:t>Prof. Dr. Visar Morina</w:t>
            </w:r>
          </w:p>
        </w:tc>
      </w:tr>
      <w:tr w:rsidR="00E64552" w:rsidRPr="00F96974" w14:paraId="59C87DAC" w14:textId="77777777" w:rsidTr="00220A00">
        <w:tc>
          <w:tcPr>
            <w:tcW w:w="3535" w:type="dxa"/>
          </w:tcPr>
          <w:p w14:paraId="2D0E26C2"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 xml:space="preserve">Contact details: </w:t>
            </w:r>
          </w:p>
        </w:tc>
        <w:tc>
          <w:tcPr>
            <w:tcW w:w="5095" w:type="dxa"/>
            <w:gridSpan w:val="3"/>
          </w:tcPr>
          <w:p w14:paraId="12F19AB3" w14:textId="1C4994D2" w:rsidR="00E64552" w:rsidRPr="00F96974" w:rsidRDefault="00950CBE" w:rsidP="00015BE6">
            <w:pPr>
              <w:pStyle w:val="NoSpacing"/>
              <w:rPr>
                <w:b/>
                <w:szCs w:val="28"/>
                <w:lang w:val="en-GB"/>
              </w:rPr>
            </w:pPr>
            <w:r>
              <w:rPr>
                <w:b/>
                <w:szCs w:val="28"/>
                <w:lang w:val="en-GB"/>
              </w:rPr>
              <w:t>visar.morina@uni-pr.edu</w:t>
            </w:r>
          </w:p>
        </w:tc>
      </w:tr>
      <w:tr w:rsidR="00E64552" w:rsidRPr="00F96974" w14:paraId="7B6BF19D" w14:textId="77777777" w:rsidTr="00220A00">
        <w:tc>
          <w:tcPr>
            <w:tcW w:w="8630" w:type="dxa"/>
            <w:gridSpan w:val="4"/>
            <w:shd w:val="clear" w:color="auto" w:fill="D9D9D9"/>
          </w:tcPr>
          <w:p w14:paraId="7B8A159C" w14:textId="77777777" w:rsidR="00E64552" w:rsidRPr="00F96974" w:rsidRDefault="00E64552" w:rsidP="00015BE6">
            <w:pPr>
              <w:pStyle w:val="NoSpacing"/>
              <w:rPr>
                <w:rFonts w:ascii="Calibri" w:hAnsi="Calibri"/>
                <w:lang w:val="en-GB"/>
              </w:rPr>
            </w:pPr>
          </w:p>
        </w:tc>
      </w:tr>
      <w:tr w:rsidR="00E64552" w:rsidRPr="00F96974" w14:paraId="3D3FFCB4" w14:textId="77777777" w:rsidTr="00220A00">
        <w:tc>
          <w:tcPr>
            <w:tcW w:w="3535" w:type="dxa"/>
          </w:tcPr>
          <w:p w14:paraId="7720FC42" w14:textId="77777777" w:rsidR="00E64552" w:rsidRPr="00F96974" w:rsidRDefault="00E64552" w:rsidP="00015BE6">
            <w:pPr>
              <w:pStyle w:val="NoSpacing"/>
              <w:rPr>
                <w:rFonts w:ascii="Calibri" w:hAnsi="Calibri"/>
                <w:b/>
                <w:lang w:val="en-GB"/>
              </w:rPr>
            </w:pPr>
          </w:p>
        </w:tc>
        <w:tc>
          <w:tcPr>
            <w:tcW w:w="5095" w:type="dxa"/>
            <w:gridSpan w:val="3"/>
          </w:tcPr>
          <w:p w14:paraId="477A634B" w14:textId="77777777" w:rsidR="00E64552" w:rsidRPr="00F96974" w:rsidRDefault="00E64552" w:rsidP="00015BE6">
            <w:pPr>
              <w:pStyle w:val="NoSpacing"/>
              <w:jc w:val="both"/>
              <w:rPr>
                <w:rFonts w:ascii="Calibri" w:hAnsi="Calibri" w:cs="Calibri"/>
                <w:i/>
                <w:sz w:val="22"/>
                <w:szCs w:val="22"/>
                <w:lang w:val="en-GB"/>
              </w:rPr>
            </w:pPr>
          </w:p>
        </w:tc>
      </w:tr>
      <w:tr w:rsidR="00E64552" w:rsidRPr="00F96974" w14:paraId="3A6802FD" w14:textId="77777777" w:rsidTr="00220A00">
        <w:tc>
          <w:tcPr>
            <w:tcW w:w="3535" w:type="dxa"/>
          </w:tcPr>
          <w:p w14:paraId="5ACE51AB" w14:textId="77777777" w:rsidR="00E64552" w:rsidRPr="00F96974" w:rsidRDefault="00E64552" w:rsidP="00015BE6">
            <w:pPr>
              <w:pStyle w:val="NoSpacing"/>
              <w:rPr>
                <w:rFonts w:ascii="Calibri" w:hAnsi="Calibri"/>
                <w:b/>
                <w:lang w:val="en-GB"/>
              </w:rPr>
            </w:pPr>
            <w:r w:rsidRPr="00F96974">
              <w:rPr>
                <w:rFonts w:ascii="Calibri" w:hAnsi="Calibri"/>
                <w:b/>
                <w:lang w:val="en-GB"/>
              </w:rPr>
              <w:t>Objectives of the course:</w:t>
            </w:r>
          </w:p>
        </w:tc>
        <w:tc>
          <w:tcPr>
            <w:tcW w:w="5095" w:type="dxa"/>
            <w:gridSpan w:val="3"/>
          </w:tcPr>
          <w:p w14:paraId="31BEA3C5" w14:textId="043F76B3" w:rsidR="00E64552" w:rsidRDefault="00527E8C" w:rsidP="00015BE6">
            <w:pPr>
              <w:pStyle w:val="NoSpacing"/>
              <w:jc w:val="both"/>
              <w:rPr>
                <w:rFonts w:ascii="Calibri" w:hAnsi="Calibri"/>
                <w:iCs/>
                <w:sz w:val="22"/>
                <w:szCs w:val="22"/>
                <w:lang w:val="en-GB"/>
              </w:rPr>
            </w:pPr>
            <w:r>
              <w:rPr>
                <w:rFonts w:ascii="Calibri" w:hAnsi="Calibri"/>
                <w:iCs/>
                <w:sz w:val="22"/>
                <w:szCs w:val="22"/>
                <w:lang w:val="en-GB"/>
              </w:rPr>
              <w:t>The course is intended to give students a comprehensive introduction to the relatively new area of intersection between environment (environmental law) and human rights law. The course is intended to address the dual interaction between these two fields, namely to explore how human rights law may be and has been used to shape environment (and environmental law) and the impact that environment and environmental law have on human rights law.</w:t>
            </w:r>
          </w:p>
          <w:p w14:paraId="11B96B1A" w14:textId="77777777" w:rsidR="00527E8C" w:rsidRDefault="00527E8C" w:rsidP="00015BE6">
            <w:pPr>
              <w:pStyle w:val="NoSpacing"/>
              <w:jc w:val="both"/>
              <w:rPr>
                <w:rFonts w:ascii="Calibri" w:hAnsi="Calibri"/>
                <w:iCs/>
                <w:sz w:val="22"/>
                <w:szCs w:val="22"/>
                <w:lang w:val="en-GB"/>
              </w:rPr>
            </w:pPr>
          </w:p>
          <w:p w14:paraId="2CF11ABD" w14:textId="77777777" w:rsidR="001A56B6" w:rsidRDefault="00527E8C" w:rsidP="00015BE6">
            <w:pPr>
              <w:pStyle w:val="NoSpacing"/>
              <w:jc w:val="both"/>
              <w:rPr>
                <w:rFonts w:ascii="Calibri" w:hAnsi="Calibri"/>
                <w:iCs/>
                <w:sz w:val="22"/>
                <w:szCs w:val="22"/>
                <w:lang w:val="en-GB"/>
              </w:rPr>
            </w:pPr>
            <w:r>
              <w:rPr>
                <w:rFonts w:ascii="Calibri" w:hAnsi="Calibri"/>
                <w:iCs/>
                <w:sz w:val="22"/>
                <w:szCs w:val="22"/>
                <w:lang w:val="en-GB"/>
              </w:rPr>
              <w:t xml:space="preserve">The students will learn about how </w:t>
            </w:r>
            <w:r w:rsidR="00B340CD">
              <w:rPr>
                <w:rFonts w:ascii="Calibri" w:hAnsi="Calibri"/>
                <w:iCs/>
                <w:sz w:val="22"/>
                <w:szCs w:val="22"/>
                <w:lang w:val="en-GB"/>
              </w:rPr>
              <w:t xml:space="preserve">the interaction between environmental and human rights law is governed </w:t>
            </w:r>
            <w:r w:rsidR="001A56B6">
              <w:rPr>
                <w:rFonts w:ascii="Calibri" w:hAnsi="Calibri"/>
                <w:iCs/>
                <w:sz w:val="22"/>
                <w:szCs w:val="22"/>
                <w:lang w:val="en-GB"/>
              </w:rPr>
              <w:t>on the</w:t>
            </w:r>
            <w:r w:rsidR="00B340CD">
              <w:rPr>
                <w:rFonts w:ascii="Calibri" w:hAnsi="Calibri"/>
                <w:iCs/>
                <w:sz w:val="22"/>
                <w:szCs w:val="22"/>
                <w:lang w:val="en-GB"/>
              </w:rPr>
              <w:t xml:space="preserve"> national, supranational and international level.</w:t>
            </w:r>
            <w:r w:rsidR="001A56B6">
              <w:rPr>
                <w:rFonts w:ascii="Calibri" w:hAnsi="Calibri"/>
                <w:iCs/>
                <w:sz w:val="22"/>
                <w:szCs w:val="22"/>
                <w:lang w:val="en-GB"/>
              </w:rPr>
              <w:t xml:space="preserve"> During the course the student</w:t>
            </w:r>
            <w:r w:rsidR="007F1309">
              <w:rPr>
                <w:rFonts w:ascii="Calibri" w:hAnsi="Calibri"/>
                <w:iCs/>
                <w:sz w:val="22"/>
                <w:szCs w:val="22"/>
                <w:lang w:val="en-GB"/>
              </w:rPr>
              <w:t>s</w:t>
            </w:r>
            <w:r w:rsidR="001A56B6">
              <w:rPr>
                <w:rFonts w:ascii="Calibri" w:hAnsi="Calibri"/>
                <w:iCs/>
                <w:sz w:val="22"/>
                <w:szCs w:val="22"/>
                <w:lang w:val="en-GB"/>
              </w:rPr>
              <w:t xml:space="preserve"> will learn about the human right to a healthy/benevolent environment and consider the substantive and procedural aspects of this right. </w:t>
            </w:r>
          </w:p>
          <w:p w14:paraId="43AF5699" w14:textId="77777777" w:rsidR="007F1309" w:rsidRDefault="007F1309" w:rsidP="00015BE6">
            <w:pPr>
              <w:pStyle w:val="NoSpacing"/>
              <w:jc w:val="both"/>
              <w:rPr>
                <w:rFonts w:ascii="Calibri" w:hAnsi="Calibri"/>
                <w:iCs/>
                <w:sz w:val="22"/>
                <w:szCs w:val="22"/>
                <w:lang w:val="en-GB"/>
              </w:rPr>
            </w:pPr>
          </w:p>
          <w:p w14:paraId="381FE384" w14:textId="7F5AC36C" w:rsidR="007F1309" w:rsidRPr="00527E8C" w:rsidRDefault="007F1309" w:rsidP="00015BE6">
            <w:pPr>
              <w:pStyle w:val="NoSpacing"/>
              <w:jc w:val="both"/>
              <w:rPr>
                <w:rFonts w:ascii="Calibri" w:hAnsi="Calibri"/>
                <w:iCs/>
                <w:sz w:val="22"/>
                <w:szCs w:val="22"/>
                <w:lang w:val="en-GB"/>
              </w:rPr>
            </w:pPr>
            <w:r>
              <w:rPr>
                <w:rFonts w:ascii="Calibri" w:hAnsi="Calibri"/>
                <w:iCs/>
                <w:sz w:val="22"/>
                <w:szCs w:val="22"/>
                <w:lang w:val="en-GB"/>
              </w:rPr>
              <w:t>Significant portion of the course will be devoted to practical aspect of litigating human rights-related environmental issues.</w:t>
            </w:r>
          </w:p>
        </w:tc>
      </w:tr>
      <w:tr w:rsidR="00E64552" w:rsidRPr="00F96974" w14:paraId="01262490" w14:textId="77777777" w:rsidTr="00220A00">
        <w:tc>
          <w:tcPr>
            <w:tcW w:w="3535" w:type="dxa"/>
          </w:tcPr>
          <w:p w14:paraId="43477B0D" w14:textId="77777777" w:rsidR="00E64552" w:rsidRPr="00F96974" w:rsidRDefault="00E64552" w:rsidP="00015BE6">
            <w:pPr>
              <w:pStyle w:val="NoSpacing"/>
              <w:rPr>
                <w:rFonts w:ascii="Calibri" w:hAnsi="Calibri"/>
                <w:b/>
                <w:lang w:val="en-GB"/>
              </w:rPr>
            </w:pPr>
            <w:r w:rsidRPr="00F96974">
              <w:rPr>
                <w:rFonts w:ascii="Calibri" w:hAnsi="Calibri"/>
                <w:b/>
                <w:lang w:val="en-GB"/>
              </w:rPr>
              <w:t>Learning outcomes:</w:t>
            </w:r>
          </w:p>
        </w:tc>
        <w:tc>
          <w:tcPr>
            <w:tcW w:w="5095" w:type="dxa"/>
            <w:gridSpan w:val="3"/>
          </w:tcPr>
          <w:p w14:paraId="5BE0E4EF" w14:textId="77777777" w:rsidR="00E64552" w:rsidRDefault="007F1309" w:rsidP="00015BE6">
            <w:pPr>
              <w:pStyle w:val="NoSpacing"/>
              <w:jc w:val="both"/>
              <w:rPr>
                <w:rFonts w:ascii="Calibri" w:hAnsi="Calibri"/>
                <w:iCs/>
                <w:sz w:val="22"/>
                <w:szCs w:val="22"/>
                <w:lang w:val="en-GB"/>
              </w:rPr>
            </w:pPr>
            <w:r>
              <w:rPr>
                <w:rFonts w:ascii="Calibri" w:hAnsi="Calibri"/>
                <w:iCs/>
                <w:sz w:val="22"/>
                <w:szCs w:val="22"/>
                <w:lang w:val="en-GB"/>
              </w:rPr>
              <w:t>Upon completion of the course, the students:</w:t>
            </w:r>
          </w:p>
          <w:p w14:paraId="6DB089BA" w14:textId="520EA35B" w:rsid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w:t>
            </w:r>
            <w:r w:rsidR="007F1309">
              <w:rPr>
                <w:rFonts w:ascii="Calibri" w:hAnsi="Calibri"/>
                <w:iCs/>
                <w:sz w:val="22"/>
                <w:szCs w:val="22"/>
                <w:lang w:val="en-GB"/>
              </w:rPr>
              <w:t>ill be aware of the origins of environmental law, including the right to live in a healthy environment;</w:t>
            </w:r>
          </w:p>
          <w:p w14:paraId="3CC4032A" w14:textId="6F6FD5F8" w:rsid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will be aware of national and international mechanisms and legal instruments for the protection of environment as well as the differences and overlaps between those mechanisms and institutions;</w:t>
            </w:r>
          </w:p>
          <w:p w14:paraId="3B329B71" w14:textId="77777777" w:rsidR="00AF245F"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 xml:space="preserve">will know about the scope and content of the right to a healthy environment, its substantive </w:t>
            </w:r>
            <w:r>
              <w:rPr>
                <w:rFonts w:ascii="Calibri" w:hAnsi="Calibri"/>
                <w:iCs/>
                <w:sz w:val="22"/>
                <w:szCs w:val="22"/>
                <w:lang w:val="en-GB"/>
              </w:rPr>
              <w:lastRenderedPageBreak/>
              <w:t>and procedural aspects, as well as its interplay with other human rights;</w:t>
            </w:r>
          </w:p>
          <w:p w14:paraId="28488514" w14:textId="6EF99828" w:rsidR="00AF245F" w:rsidRP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will have detailed knowledge of main trends in environmental human rights litigation on the national and international level, as well as will be aware of major pending cases.</w:t>
            </w:r>
          </w:p>
        </w:tc>
      </w:tr>
      <w:tr w:rsidR="00E64552" w:rsidRPr="00F96974" w14:paraId="7AABEF29" w14:textId="77777777" w:rsidTr="00220A00">
        <w:tc>
          <w:tcPr>
            <w:tcW w:w="8630" w:type="dxa"/>
            <w:gridSpan w:val="4"/>
            <w:shd w:val="clear" w:color="auto" w:fill="D9D9D9"/>
          </w:tcPr>
          <w:p w14:paraId="2F55690D" w14:textId="77777777" w:rsidR="00E64552" w:rsidRPr="00F96974" w:rsidRDefault="00E64552" w:rsidP="00015BE6">
            <w:pPr>
              <w:pStyle w:val="NoSpacing"/>
              <w:rPr>
                <w:rFonts w:ascii="Calibri" w:hAnsi="Calibri"/>
                <w:i/>
                <w:sz w:val="22"/>
                <w:szCs w:val="22"/>
                <w:lang w:val="en-GB"/>
              </w:rPr>
            </w:pPr>
          </w:p>
        </w:tc>
      </w:tr>
      <w:tr w:rsidR="00E64552" w:rsidRPr="00F96974" w14:paraId="5B88869F" w14:textId="77777777" w:rsidTr="00220A00">
        <w:tc>
          <w:tcPr>
            <w:tcW w:w="8630" w:type="dxa"/>
            <w:gridSpan w:val="4"/>
            <w:shd w:val="clear" w:color="auto" w:fill="D9D9D9"/>
          </w:tcPr>
          <w:p w14:paraId="310302A0" w14:textId="77777777" w:rsidR="00E64552" w:rsidRPr="00F96974" w:rsidRDefault="00E64552" w:rsidP="00015BE6">
            <w:pPr>
              <w:pStyle w:val="NoSpacing"/>
              <w:jc w:val="center"/>
              <w:rPr>
                <w:rFonts w:ascii="Calibri" w:hAnsi="Calibri"/>
                <w:b/>
                <w:lang w:val="en-GB"/>
              </w:rPr>
            </w:pPr>
            <w:r w:rsidRPr="00F96974">
              <w:rPr>
                <w:rFonts w:ascii="Calibri" w:hAnsi="Calibri"/>
                <w:b/>
                <w:lang w:val="en-GB"/>
              </w:rPr>
              <w:t>Student requirements and assessment ( that must correspond to learning outcome of the student )</w:t>
            </w:r>
          </w:p>
        </w:tc>
      </w:tr>
      <w:tr w:rsidR="00E64552" w:rsidRPr="00F96974" w14:paraId="60C529D7" w14:textId="77777777" w:rsidTr="00220A00">
        <w:tc>
          <w:tcPr>
            <w:tcW w:w="3535" w:type="dxa"/>
            <w:tcBorders>
              <w:right w:val="single" w:sz="4" w:space="0" w:color="auto"/>
            </w:tcBorders>
            <w:shd w:val="clear" w:color="auto" w:fill="D9D9D9"/>
          </w:tcPr>
          <w:p w14:paraId="1FA15B14"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Activity</w:t>
            </w:r>
          </w:p>
        </w:tc>
        <w:tc>
          <w:tcPr>
            <w:tcW w:w="1386" w:type="dxa"/>
            <w:tcBorders>
              <w:left w:val="single" w:sz="4" w:space="0" w:color="auto"/>
              <w:right w:val="single" w:sz="4" w:space="0" w:color="auto"/>
            </w:tcBorders>
            <w:shd w:val="clear" w:color="auto" w:fill="D9D9D9"/>
          </w:tcPr>
          <w:p w14:paraId="0C2FD587"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Hour</w:t>
            </w:r>
          </w:p>
        </w:tc>
        <w:tc>
          <w:tcPr>
            <w:tcW w:w="1738" w:type="dxa"/>
            <w:tcBorders>
              <w:left w:val="single" w:sz="4" w:space="0" w:color="auto"/>
              <w:right w:val="single" w:sz="4" w:space="0" w:color="auto"/>
            </w:tcBorders>
            <w:shd w:val="clear" w:color="auto" w:fill="D9D9D9"/>
          </w:tcPr>
          <w:p w14:paraId="221F458E"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 xml:space="preserve"> Day/week  </w:t>
            </w:r>
          </w:p>
        </w:tc>
        <w:tc>
          <w:tcPr>
            <w:tcW w:w="1971" w:type="dxa"/>
            <w:tcBorders>
              <w:left w:val="single" w:sz="4" w:space="0" w:color="auto"/>
            </w:tcBorders>
            <w:shd w:val="clear" w:color="auto" w:fill="D9D9D9"/>
          </w:tcPr>
          <w:p w14:paraId="24BC2431"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In total</w:t>
            </w:r>
          </w:p>
        </w:tc>
      </w:tr>
      <w:tr w:rsidR="00E64552" w:rsidRPr="00F96974" w14:paraId="6066E78B" w14:textId="77777777" w:rsidTr="00220A00">
        <w:tc>
          <w:tcPr>
            <w:tcW w:w="3535" w:type="dxa"/>
            <w:tcBorders>
              <w:right w:val="single" w:sz="4" w:space="0" w:color="auto"/>
            </w:tcBorders>
            <w:shd w:val="clear" w:color="auto" w:fill="FFFFFF"/>
          </w:tcPr>
          <w:p w14:paraId="437603D0" w14:textId="77777777" w:rsidR="00A72DB3" w:rsidRPr="00A72DB3" w:rsidRDefault="00A72DB3" w:rsidP="00A72DB3">
            <w:pPr>
              <w:rPr>
                <w:rFonts w:ascii="Calibri" w:hAnsi="Calibri"/>
                <w:iCs/>
                <w:sz w:val="22"/>
                <w:szCs w:val="22"/>
                <w:lang w:val="en-GB"/>
              </w:rPr>
            </w:pPr>
            <w:r w:rsidRPr="00A72DB3">
              <w:rPr>
                <w:rFonts w:ascii="Calibri" w:hAnsi="Calibri"/>
                <w:iCs/>
                <w:sz w:val="22"/>
                <w:szCs w:val="22"/>
                <w:lang w:val="en-GB"/>
              </w:rPr>
              <w:t>Lectures</w:t>
            </w:r>
          </w:p>
          <w:p w14:paraId="06E3063C" w14:textId="1077C1BB" w:rsidR="00E64552" w:rsidRPr="00A72DB3" w:rsidRDefault="00E64552" w:rsidP="00015BE6">
            <w:pPr>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4E72D934" w14:textId="31791CBF" w:rsidR="00E64552" w:rsidRPr="00A72DB3" w:rsidRDefault="00E64552"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27037C94" w14:textId="2A9D94A1" w:rsidR="00E64552" w:rsidRPr="00A72DB3" w:rsidRDefault="00A72DB3" w:rsidP="00015BE6">
            <w:pPr>
              <w:rPr>
                <w:rFonts w:ascii="Calibri" w:hAnsi="Calibri"/>
                <w:iCs/>
                <w:sz w:val="22"/>
                <w:szCs w:val="22"/>
                <w:lang w:val="en-GB"/>
              </w:rPr>
            </w:pPr>
            <w:r w:rsidRPr="00A72DB3">
              <w:rPr>
                <w:rFonts w:ascii="Calibri" w:hAnsi="Calibri"/>
                <w:iCs/>
                <w:sz w:val="22"/>
                <w:szCs w:val="22"/>
                <w:lang w:val="en-GB"/>
              </w:rPr>
              <w:t>2</w:t>
            </w:r>
          </w:p>
        </w:tc>
        <w:tc>
          <w:tcPr>
            <w:tcW w:w="1971" w:type="dxa"/>
            <w:tcBorders>
              <w:left w:val="single" w:sz="4" w:space="0" w:color="auto"/>
            </w:tcBorders>
            <w:shd w:val="clear" w:color="auto" w:fill="FFFFFF"/>
          </w:tcPr>
          <w:p w14:paraId="4BCF07B1" w14:textId="321A6D63" w:rsidR="00E64552" w:rsidRPr="00A72DB3" w:rsidRDefault="00A72DB3" w:rsidP="00015BE6">
            <w:pPr>
              <w:rPr>
                <w:rFonts w:ascii="Calibri" w:hAnsi="Calibri"/>
                <w:iCs/>
                <w:sz w:val="22"/>
                <w:szCs w:val="22"/>
                <w:lang w:val="en-GB"/>
              </w:rPr>
            </w:pPr>
            <w:r w:rsidRPr="00A72DB3">
              <w:rPr>
                <w:rFonts w:ascii="Calibri" w:hAnsi="Calibri"/>
                <w:iCs/>
                <w:sz w:val="22"/>
                <w:szCs w:val="22"/>
                <w:lang w:val="en-GB"/>
              </w:rPr>
              <w:t>30</w:t>
            </w:r>
          </w:p>
        </w:tc>
      </w:tr>
      <w:tr w:rsidR="00753FAF" w:rsidRPr="00F96974" w14:paraId="0ACF4E9E" w14:textId="77777777" w:rsidTr="00220A00">
        <w:tc>
          <w:tcPr>
            <w:tcW w:w="3535" w:type="dxa"/>
            <w:tcBorders>
              <w:right w:val="single" w:sz="4" w:space="0" w:color="auto"/>
            </w:tcBorders>
            <w:shd w:val="clear" w:color="auto" w:fill="FFFFFF"/>
          </w:tcPr>
          <w:p w14:paraId="6A8F7087" w14:textId="77777777" w:rsidR="00753FAF" w:rsidRDefault="00753FAF" w:rsidP="00753FAF">
            <w:r>
              <w:t>Self-directed learning (library/home)</w:t>
            </w:r>
          </w:p>
          <w:p w14:paraId="3B9D53F4" w14:textId="77777777" w:rsidR="00753FAF" w:rsidRPr="00A72DB3" w:rsidRDefault="00753FAF" w:rsidP="00A72DB3">
            <w:pPr>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1DAA86FE" w14:textId="77777777" w:rsidR="00753FAF" w:rsidRPr="00A72DB3" w:rsidRDefault="00753FAF"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32097F76" w14:textId="77777777" w:rsidR="00753FAF" w:rsidRPr="00A72DB3" w:rsidRDefault="00753FAF" w:rsidP="00015BE6">
            <w:pPr>
              <w:rPr>
                <w:rFonts w:ascii="Calibri" w:hAnsi="Calibri"/>
                <w:iCs/>
                <w:sz w:val="22"/>
                <w:szCs w:val="22"/>
                <w:lang w:val="en-GB"/>
              </w:rPr>
            </w:pPr>
          </w:p>
        </w:tc>
        <w:tc>
          <w:tcPr>
            <w:tcW w:w="1971" w:type="dxa"/>
            <w:tcBorders>
              <w:left w:val="single" w:sz="4" w:space="0" w:color="auto"/>
            </w:tcBorders>
            <w:shd w:val="clear" w:color="auto" w:fill="FFFFFF"/>
          </w:tcPr>
          <w:p w14:paraId="316BACC2" w14:textId="3C4A1389" w:rsidR="00753FAF" w:rsidRPr="00A72DB3" w:rsidRDefault="00753FAF" w:rsidP="00015BE6">
            <w:pPr>
              <w:rPr>
                <w:rFonts w:ascii="Calibri" w:hAnsi="Calibri"/>
                <w:iCs/>
                <w:sz w:val="22"/>
                <w:szCs w:val="22"/>
                <w:lang w:val="en-GB"/>
              </w:rPr>
            </w:pPr>
            <w:r>
              <w:rPr>
                <w:rFonts w:ascii="Calibri" w:hAnsi="Calibri"/>
                <w:iCs/>
                <w:sz w:val="22"/>
                <w:szCs w:val="22"/>
                <w:lang w:val="en-GB"/>
              </w:rPr>
              <w:t>35</w:t>
            </w:r>
          </w:p>
        </w:tc>
      </w:tr>
      <w:tr w:rsidR="00E64552" w:rsidRPr="00F96974" w14:paraId="149D89D4" w14:textId="77777777" w:rsidTr="00220A00">
        <w:tc>
          <w:tcPr>
            <w:tcW w:w="3535" w:type="dxa"/>
            <w:tcBorders>
              <w:right w:val="single" w:sz="4" w:space="0" w:color="auto"/>
            </w:tcBorders>
            <w:shd w:val="clear" w:color="auto" w:fill="FFFFFF"/>
          </w:tcPr>
          <w:p w14:paraId="27BB8732" w14:textId="77777777" w:rsidR="00A72DB3" w:rsidRPr="00A72DB3" w:rsidRDefault="00A72DB3" w:rsidP="00A72DB3">
            <w:pPr>
              <w:rPr>
                <w:rFonts w:ascii="Calibri" w:hAnsi="Calibri"/>
                <w:iCs/>
                <w:sz w:val="22"/>
                <w:szCs w:val="22"/>
                <w:lang w:val="en-GB"/>
              </w:rPr>
            </w:pPr>
            <w:r w:rsidRPr="00A72DB3">
              <w:rPr>
                <w:rFonts w:ascii="Calibri" w:hAnsi="Calibri"/>
                <w:iCs/>
                <w:sz w:val="22"/>
                <w:szCs w:val="22"/>
                <w:lang w:val="en-GB"/>
              </w:rPr>
              <w:t>Consultations with lecturer</w:t>
            </w:r>
          </w:p>
          <w:p w14:paraId="66CD9BF5" w14:textId="5D4FEF0F" w:rsidR="00E64552" w:rsidRPr="00A72DB3" w:rsidRDefault="00E64552" w:rsidP="00015BE6">
            <w:pPr>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78E4E562" w14:textId="77777777" w:rsidR="00E64552" w:rsidRPr="00A72DB3" w:rsidRDefault="00E64552"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0040E993" w14:textId="77777777" w:rsidR="00E64552" w:rsidRPr="00A72DB3" w:rsidRDefault="00E64552" w:rsidP="00015BE6">
            <w:pPr>
              <w:rPr>
                <w:rFonts w:ascii="Calibri" w:hAnsi="Calibri"/>
                <w:iCs/>
                <w:sz w:val="22"/>
                <w:szCs w:val="22"/>
                <w:lang w:val="en-GB"/>
              </w:rPr>
            </w:pPr>
          </w:p>
        </w:tc>
        <w:tc>
          <w:tcPr>
            <w:tcW w:w="1971" w:type="dxa"/>
            <w:tcBorders>
              <w:left w:val="single" w:sz="4" w:space="0" w:color="auto"/>
            </w:tcBorders>
            <w:shd w:val="clear" w:color="auto" w:fill="FFFFFF"/>
          </w:tcPr>
          <w:p w14:paraId="554D6160" w14:textId="3C45A45F" w:rsidR="00E64552" w:rsidRPr="00A72DB3" w:rsidRDefault="00753FAF" w:rsidP="00015BE6">
            <w:pPr>
              <w:rPr>
                <w:rFonts w:ascii="Calibri" w:hAnsi="Calibri"/>
                <w:iCs/>
                <w:sz w:val="22"/>
                <w:szCs w:val="22"/>
                <w:lang w:val="en-GB"/>
              </w:rPr>
            </w:pPr>
            <w:r>
              <w:rPr>
                <w:rFonts w:ascii="Calibri" w:hAnsi="Calibri"/>
                <w:iCs/>
                <w:sz w:val="22"/>
                <w:szCs w:val="22"/>
                <w:lang w:val="en-GB"/>
              </w:rPr>
              <w:t>5</w:t>
            </w:r>
          </w:p>
        </w:tc>
      </w:tr>
      <w:tr w:rsidR="00E64552" w:rsidRPr="00F96974" w14:paraId="106DBF28" w14:textId="77777777" w:rsidTr="00220A00">
        <w:tc>
          <w:tcPr>
            <w:tcW w:w="3535" w:type="dxa"/>
            <w:tcBorders>
              <w:right w:val="single" w:sz="4" w:space="0" w:color="auto"/>
            </w:tcBorders>
            <w:shd w:val="clear" w:color="auto" w:fill="FFFFFF"/>
          </w:tcPr>
          <w:p w14:paraId="623FA551" w14:textId="77777777" w:rsidR="00A72DB3" w:rsidRPr="00A72DB3" w:rsidRDefault="00A72DB3" w:rsidP="00A72DB3">
            <w:pPr>
              <w:rPr>
                <w:rFonts w:ascii="Calibri" w:hAnsi="Calibri"/>
                <w:iCs/>
                <w:sz w:val="22"/>
                <w:szCs w:val="22"/>
                <w:lang w:val="en-GB"/>
              </w:rPr>
            </w:pPr>
            <w:r w:rsidRPr="00A72DB3">
              <w:rPr>
                <w:rFonts w:ascii="Calibri" w:hAnsi="Calibri"/>
                <w:iCs/>
                <w:sz w:val="22"/>
                <w:szCs w:val="22"/>
                <w:lang w:val="en-GB"/>
              </w:rPr>
              <w:t>Midterm exam/preparations</w:t>
            </w:r>
          </w:p>
          <w:p w14:paraId="7ABD45BB" w14:textId="5E930144" w:rsidR="00E64552" w:rsidRPr="00A72DB3" w:rsidRDefault="00E64552" w:rsidP="00015BE6">
            <w:pPr>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4A290E38" w14:textId="77777777" w:rsidR="00E64552" w:rsidRPr="00A72DB3" w:rsidRDefault="00E64552"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24135AC7" w14:textId="77777777" w:rsidR="00E64552" w:rsidRPr="00A72DB3" w:rsidRDefault="00E64552" w:rsidP="00015BE6">
            <w:pPr>
              <w:rPr>
                <w:rFonts w:ascii="Calibri" w:hAnsi="Calibri"/>
                <w:iCs/>
                <w:sz w:val="22"/>
                <w:szCs w:val="22"/>
                <w:lang w:val="en-GB"/>
              </w:rPr>
            </w:pPr>
          </w:p>
        </w:tc>
        <w:tc>
          <w:tcPr>
            <w:tcW w:w="1971" w:type="dxa"/>
            <w:tcBorders>
              <w:left w:val="single" w:sz="4" w:space="0" w:color="auto"/>
            </w:tcBorders>
            <w:shd w:val="clear" w:color="auto" w:fill="FFFFFF"/>
          </w:tcPr>
          <w:p w14:paraId="158E555E" w14:textId="3994C8CE" w:rsidR="00E64552" w:rsidRPr="00A72DB3" w:rsidRDefault="00753FAF" w:rsidP="00015BE6">
            <w:pPr>
              <w:rPr>
                <w:rFonts w:ascii="Calibri" w:hAnsi="Calibri"/>
                <w:iCs/>
                <w:sz w:val="22"/>
                <w:szCs w:val="22"/>
                <w:lang w:val="en-GB"/>
              </w:rPr>
            </w:pPr>
            <w:r>
              <w:rPr>
                <w:rFonts w:ascii="Calibri" w:hAnsi="Calibri"/>
                <w:iCs/>
                <w:sz w:val="22"/>
                <w:szCs w:val="22"/>
                <w:lang w:val="en-GB"/>
              </w:rPr>
              <w:t>10</w:t>
            </w:r>
          </w:p>
        </w:tc>
      </w:tr>
      <w:tr w:rsidR="00E64552" w:rsidRPr="00F96974" w14:paraId="32640792" w14:textId="77777777" w:rsidTr="00220A00">
        <w:tc>
          <w:tcPr>
            <w:tcW w:w="3535" w:type="dxa"/>
            <w:tcBorders>
              <w:right w:val="single" w:sz="4" w:space="0" w:color="auto"/>
            </w:tcBorders>
            <w:shd w:val="clear" w:color="auto" w:fill="FFFFFF"/>
          </w:tcPr>
          <w:p w14:paraId="73021FB0" w14:textId="77777777" w:rsidR="00A72DB3" w:rsidRPr="00A72DB3" w:rsidRDefault="00A72DB3" w:rsidP="00A72DB3">
            <w:pPr>
              <w:rPr>
                <w:rFonts w:ascii="Calibri" w:hAnsi="Calibri"/>
                <w:iCs/>
                <w:sz w:val="22"/>
                <w:szCs w:val="22"/>
                <w:lang w:val="en-GB"/>
              </w:rPr>
            </w:pPr>
            <w:r w:rsidRPr="00A72DB3">
              <w:rPr>
                <w:rFonts w:ascii="Calibri" w:hAnsi="Calibri"/>
                <w:iCs/>
                <w:sz w:val="22"/>
                <w:szCs w:val="22"/>
                <w:lang w:val="en-GB"/>
              </w:rPr>
              <w:t>Final exam preparation</w:t>
            </w:r>
          </w:p>
          <w:p w14:paraId="5D4B2A5C" w14:textId="48A48058" w:rsidR="00E64552" w:rsidRPr="00A72DB3" w:rsidRDefault="00E64552" w:rsidP="00015BE6">
            <w:pPr>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27A4FA8B" w14:textId="77777777" w:rsidR="00E64552" w:rsidRPr="00A72DB3" w:rsidRDefault="00E64552"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7F2C6848" w14:textId="77777777" w:rsidR="00E64552" w:rsidRPr="00A72DB3" w:rsidRDefault="00E64552" w:rsidP="00015BE6">
            <w:pPr>
              <w:rPr>
                <w:rFonts w:ascii="Calibri" w:hAnsi="Calibri"/>
                <w:iCs/>
                <w:sz w:val="22"/>
                <w:szCs w:val="22"/>
                <w:lang w:val="en-GB"/>
              </w:rPr>
            </w:pPr>
          </w:p>
        </w:tc>
        <w:tc>
          <w:tcPr>
            <w:tcW w:w="1971" w:type="dxa"/>
            <w:tcBorders>
              <w:left w:val="single" w:sz="4" w:space="0" w:color="auto"/>
            </w:tcBorders>
            <w:shd w:val="clear" w:color="auto" w:fill="FFFFFF"/>
          </w:tcPr>
          <w:p w14:paraId="65A97E6D" w14:textId="33433AE7" w:rsidR="00E64552" w:rsidRPr="00A72DB3" w:rsidRDefault="00753FAF" w:rsidP="00015BE6">
            <w:pPr>
              <w:rPr>
                <w:rFonts w:ascii="Calibri" w:hAnsi="Calibri"/>
                <w:iCs/>
                <w:sz w:val="22"/>
                <w:szCs w:val="22"/>
                <w:lang w:val="en-GB"/>
              </w:rPr>
            </w:pPr>
            <w:r>
              <w:rPr>
                <w:rFonts w:ascii="Calibri" w:hAnsi="Calibri"/>
                <w:iCs/>
                <w:sz w:val="22"/>
                <w:szCs w:val="22"/>
                <w:lang w:val="en-GB"/>
              </w:rPr>
              <w:t>15</w:t>
            </w:r>
          </w:p>
        </w:tc>
      </w:tr>
      <w:tr w:rsidR="00E64552" w:rsidRPr="00F96974" w14:paraId="1EEFAD0E" w14:textId="77777777" w:rsidTr="00220A00">
        <w:tc>
          <w:tcPr>
            <w:tcW w:w="3535" w:type="dxa"/>
            <w:tcBorders>
              <w:right w:val="single" w:sz="4" w:space="0" w:color="auto"/>
            </w:tcBorders>
            <w:shd w:val="clear" w:color="auto" w:fill="FFFFFF"/>
          </w:tcPr>
          <w:p w14:paraId="5E8A761A" w14:textId="77777777" w:rsidR="00A72DB3" w:rsidRPr="00A72DB3" w:rsidRDefault="00A72DB3" w:rsidP="00A72DB3">
            <w:pPr>
              <w:tabs>
                <w:tab w:val="left" w:pos="463"/>
              </w:tabs>
              <w:rPr>
                <w:rFonts w:ascii="Calibri" w:hAnsi="Calibri"/>
                <w:iCs/>
                <w:sz w:val="22"/>
                <w:szCs w:val="22"/>
                <w:lang w:val="en-GB"/>
              </w:rPr>
            </w:pPr>
            <w:r w:rsidRPr="00A72DB3">
              <w:rPr>
                <w:rFonts w:ascii="Calibri" w:hAnsi="Calibri"/>
                <w:iCs/>
                <w:sz w:val="22"/>
                <w:szCs w:val="22"/>
                <w:lang w:val="en-GB"/>
              </w:rPr>
              <w:tab/>
            </w:r>
          </w:p>
          <w:p w14:paraId="118F5A6C" w14:textId="3256CD59" w:rsidR="00A72DB3" w:rsidRPr="00A72DB3" w:rsidRDefault="00A72DB3" w:rsidP="00A72DB3">
            <w:pPr>
              <w:rPr>
                <w:rFonts w:ascii="Calibri" w:hAnsi="Calibri"/>
                <w:iCs/>
                <w:sz w:val="22"/>
                <w:szCs w:val="22"/>
                <w:lang w:val="en-GB"/>
              </w:rPr>
            </w:pPr>
            <w:r w:rsidRPr="00A72DB3">
              <w:rPr>
                <w:rFonts w:ascii="Calibri" w:hAnsi="Calibri"/>
                <w:iCs/>
                <w:sz w:val="22"/>
                <w:szCs w:val="22"/>
                <w:lang w:val="en-GB"/>
              </w:rPr>
              <w:t>Projects, presentations, seminars</w:t>
            </w:r>
          </w:p>
          <w:p w14:paraId="42833C10" w14:textId="27CF80BC" w:rsidR="00E64552" w:rsidRPr="00A72DB3" w:rsidRDefault="00E64552" w:rsidP="00A72DB3">
            <w:pPr>
              <w:tabs>
                <w:tab w:val="left" w:pos="463"/>
              </w:tabs>
              <w:rPr>
                <w:rFonts w:ascii="Calibri" w:hAnsi="Calibri"/>
                <w:iCs/>
                <w:sz w:val="22"/>
                <w:szCs w:val="22"/>
                <w:lang w:val="en-GB"/>
              </w:rPr>
            </w:pPr>
          </w:p>
        </w:tc>
        <w:tc>
          <w:tcPr>
            <w:tcW w:w="1386" w:type="dxa"/>
            <w:tcBorders>
              <w:left w:val="single" w:sz="4" w:space="0" w:color="auto"/>
              <w:right w:val="single" w:sz="4" w:space="0" w:color="auto"/>
            </w:tcBorders>
            <w:shd w:val="clear" w:color="auto" w:fill="FFFFFF"/>
          </w:tcPr>
          <w:p w14:paraId="3FA40B5A" w14:textId="77777777" w:rsidR="00E64552" w:rsidRPr="00A72DB3" w:rsidRDefault="00E64552" w:rsidP="00015BE6">
            <w:pPr>
              <w:rPr>
                <w:rFonts w:ascii="Calibri" w:hAnsi="Calibri"/>
                <w:iCs/>
                <w:sz w:val="22"/>
                <w:szCs w:val="22"/>
                <w:lang w:val="en-GB"/>
              </w:rPr>
            </w:pPr>
          </w:p>
        </w:tc>
        <w:tc>
          <w:tcPr>
            <w:tcW w:w="1738" w:type="dxa"/>
            <w:tcBorders>
              <w:left w:val="single" w:sz="4" w:space="0" w:color="auto"/>
              <w:right w:val="single" w:sz="4" w:space="0" w:color="auto"/>
            </w:tcBorders>
            <w:shd w:val="clear" w:color="auto" w:fill="FFFFFF"/>
          </w:tcPr>
          <w:p w14:paraId="135457DC" w14:textId="77777777" w:rsidR="00E64552" w:rsidRPr="00A72DB3" w:rsidRDefault="00E64552" w:rsidP="00015BE6">
            <w:pPr>
              <w:rPr>
                <w:rFonts w:ascii="Calibri" w:hAnsi="Calibri"/>
                <w:iCs/>
                <w:sz w:val="22"/>
                <w:szCs w:val="22"/>
                <w:lang w:val="en-GB"/>
              </w:rPr>
            </w:pPr>
          </w:p>
        </w:tc>
        <w:tc>
          <w:tcPr>
            <w:tcW w:w="1971" w:type="dxa"/>
            <w:tcBorders>
              <w:left w:val="single" w:sz="4" w:space="0" w:color="auto"/>
            </w:tcBorders>
            <w:shd w:val="clear" w:color="auto" w:fill="FFFFFF"/>
          </w:tcPr>
          <w:p w14:paraId="25BB566F" w14:textId="788BBBC7" w:rsidR="00E64552" w:rsidRPr="00A72DB3" w:rsidRDefault="00A72DB3" w:rsidP="00015BE6">
            <w:pPr>
              <w:rPr>
                <w:rFonts w:ascii="Calibri" w:hAnsi="Calibri"/>
                <w:iCs/>
                <w:sz w:val="22"/>
                <w:szCs w:val="22"/>
                <w:lang w:val="en-GB"/>
              </w:rPr>
            </w:pPr>
            <w:r w:rsidRPr="00A72DB3">
              <w:rPr>
                <w:rFonts w:ascii="Calibri" w:hAnsi="Calibri"/>
                <w:iCs/>
                <w:sz w:val="22"/>
                <w:szCs w:val="22"/>
                <w:lang w:val="en-GB"/>
              </w:rPr>
              <w:t>15</w:t>
            </w:r>
          </w:p>
        </w:tc>
      </w:tr>
      <w:tr w:rsidR="00E64552" w:rsidRPr="00F96974" w14:paraId="156FD5D9" w14:textId="77777777" w:rsidTr="00220A00">
        <w:tc>
          <w:tcPr>
            <w:tcW w:w="3535" w:type="dxa"/>
            <w:tcBorders>
              <w:right w:val="single" w:sz="4" w:space="0" w:color="auto"/>
            </w:tcBorders>
            <w:shd w:val="clear" w:color="auto" w:fill="D9D9D9"/>
          </w:tcPr>
          <w:p w14:paraId="2E707061"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Total</w:t>
            </w:r>
          </w:p>
          <w:p w14:paraId="2A9416E6" w14:textId="77777777" w:rsidR="00E64552" w:rsidRPr="00F96974" w:rsidRDefault="00E64552" w:rsidP="00015BE6">
            <w:pPr>
              <w:rPr>
                <w:rFonts w:ascii="Calibri" w:hAnsi="Calibri" w:cs="Arial"/>
                <w:b/>
                <w:sz w:val="22"/>
                <w:szCs w:val="22"/>
                <w:lang w:val="en-GB"/>
              </w:rPr>
            </w:pPr>
          </w:p>
        </w:tc>
        <w:tc>
          <w:tcPr>
            <w:tcW w:w="1386" w:type="dxa"/>
            <w:tcBorders>
              <w:left w:val="single" w:sz="4" w:space="0" w:color="auto"/>
              <w:right w:val="single" w:sz="4" w:space="0" w:color="auto"/>
            </w:tcBorders>
            <w:shd w:val="clear" w:color="auto" w:fill="D9D9D9"/>
          </w:tcPr>
          <w:p w14:paraId="0E3F5158" w14:textId="77777777" w:rsidR="00E64552" w:rsidRPr="00F96974" w:rsidRDefault="00E64552" w:rsidP="00015BE6">
            <w:pPr>
              <w:rPr>
                <w:rFonts w:ascii="Calibri" w:hAnsi="Calibri" w:cs="Arial"/>
                <w:b/>
                <w:sz w:val="22"/>
                <w:szCs w:val="22"/>
                <w:lang w:val="en-GB"/>
              </w:rPr>
            </w:pPr>
          </w:p>
        </w:tc>
        <w:tc>
          <w:tcPr>
            <w:tcW w:w="1738" w:type="dxa"/>
            <w:tcBorders>
              <w:left w:val="single" w:sz="4" w:space="0" w:color="auto"/>
              <w:right w:val="single" w:sz="4" w:space="0" w:color="auto"/>
            </w:tcBorders>
            <w:shd w:val="clear" w:color="auto" w:fill="D9D9D9"/>
          </w:tcPr>
          <w:p w14:paraId="2E206401" w14:textId="77777777" w:rsidR="00E64552" w:rsidRPr="00F96974" w:rsidRDefault="00E64552" w:rsidP="00015BE6">
            <w:pPr>
              <w:rPr>
                <w:rFonts w:ascii="Calibri" w:hAnsi="Calibri" w:cs="Arial"/>
                <w:b/>
                <w:sz w:val="22"/>
                <w:szCs w:val="22"/>
                <w:lang w:val="en-GB"/>
              </w:rPr>
            </w:pPr>
          </w:p>
        </w:tc>
        <w:tc>
          <w:tcPr>
            <w:tcW w:w="1971" w:type="dxa"/>
            <w:tcBorders>
              <w:left w:val="single" w:sz="4" w:space="0" w:color="auto"/>
            </w:tcBorders>
            <w:shd w:val="clear" w:color="auto" w:fill="D9D9D9"/>
          </w:tcPr>
          <w:p w14:paraId="2BA93555" w14:textId="3DE0A4BA" w:rsidR="00E64552" w:rsidRPr="00F96974" w:rsidRDefault="00A72DB3" w:rsidP="00015BE6">
            <w:pPr>
              <w:rPr>
                <w:rFonts w:ascii="Calibri" w:hAnsi="Calibri" w:cs="Arial"/>
                <w:b/>
                <w:sz w:val="22"/>
                <w:szCs w:val="22"/>
                <w:lang w:val="en-GB"/>
              </w:rPr>
            </w:pPr>
            <w:r>
              <w:rPr>
                <w:rFonts w:ascii="Calibri" w:hAnsi="Calibri" w:cs="Arial"/>
                <w:b/>
                <w:sz w:val="22"/>
                <w:szCs w:val="22"/>
                <w:lang w:val="en-GB"/>
              </w:rPr>
              <w:t>110</w:t>
            </w:r>
          </w:p>
        </w:tc>
      </w:tr>
      <w:tr w:rsidR="00E64552" w:rsidRPr="00F96974" w14:paraId="024F6D15" w14:textId="77777777" w:rsidTr="00A72DB3">
        <w:trPr>
          <w:trHeight w:val="296"/>
        </w:trPr>
        <w:tc>
          <w:tcPr>
            <w:tcW w:w="8630" w:type="dxa"/>
            <w:gridSpan w:val="4"/>
            <w:shd w:val="clear" w:color="auto" w:fill="D9D9D9"/>
          </w:tcPr>
          <w:p w14:paraId="7E6BA2BF" w14:textId="77777777" w:rsidR="00E64552" w:rsidRPr="00F96974" w:rsidRDefault="00E64552" w:rsidP="00015BE6">
            <w:pPr>
              <w:rPr>
                <w:rFonts w:ascii="Calibri" w:hAnsi="Calibri" w:cs="Arial"/>
                <w:b/>
                <w:sz w:val="22"/>
                <w:szCs w:val="22"/>
                <w:lang w:val="en-GB"/>
              </w:rPr>
            </w:pPr>
          </w:p>
        </w:tc>
      </w:tr>
      <w:tr w:rsidR="00E64552" w:rsidRPr="00F96974" w14:paraId="54084DA6" w14:textId="77777777" w:rsidTr="00220A00">
        <w:tc>
          <w:tcPr>
            <w:tcW w:w="3535" w:type="dxa"/>
          </w:tcPr>
          <w:p w14:paraId="3C185D20" w14:textId="77777777" w:rsidR="00E64552" w:rsidRPr="00F96974" w:rsidRDefault="00E64552" w:rsidP="00015BE6">
            <w:pPr>
              <w:pStyle w:val="NoSpacing"/>
              <w:rPr>
                <w:rFonts w:ascii="Calibri" w:hAnsi="Calibri"/>
                <w:b/>
                <w:lang w:val="en-GB"/>
              </w:rPr>
            </w:pPr>
            <w:r w:rsidRPr="00F96974">
              <w:rPr>
                <w:rFonts w:ascii="Calibri" w:hAnsi="Calibri"/>
                <w:b/>
                <w:lang w:val="en-GB"/>
              </w:rPr>
              <w:t xml:space="preserve">Methodology of teaching:  </w:t>
            </w:r>
          </w:p>
        </w:tc>
        <w:tc>
          <w:tcPr>
            <w:tcW w:w="5095" w:type="dxa"/>
            <w:gridSpan w:val="3"/>
          </w:tcPr>
          <w:p w14:paraId="1D6558B1" w14:textId="46B95C6C" w:rsidR="00E64552" w:rsidRPr="00F96974" w:rsidRDefault="004156E2" w:rsidP="00EB2C55">
            <w:pPr>
              <w:pStyle w:val="NoSpacing"/>
              <w:rPr>
                <w:rFonts w:ascii="Calibri" w:hAnsi="Calibri"/>
                <w:i/>
                <w:sz w:val="22"/>
                <w:szCs w:val="22"/>
                <w:lang w:val="en-GB"/>
              </w:rPr>
            </w:pPr>
            <w:r>
              <w:rPr>
                <w:rFonts w:ascii="Calibri" w:hAnsi="Calibri"/>
                <w:iCs/>
                <w:sz w:val="22"/>
                <w:szCs w:val="22"/>
                <w:lang w:val="en-GB"/>
              </w:rPr>
              <w:t>Lectures, independent study of doctrinal sources and case-law, in-class seminars</w:t>
            </w:r>
            <w:r w:rsidR="00E64552" w:rsidRPr="00F96974">
              <w:rPr>
                <w:rFonts w:ascii="Calibri" w:hAnsi="Calibri"/>
                <w:i/>
                <w:sz w:val="22"/>
                <w:szCs w:val="22"/>
                <w:lang w:val="en-GB"/>
              </w:rPr>
              <w:t>.</w:t>
            </w:r>
          </w:p>
        </w:tc>
      </w:tr>
      <w:tr w:rsidR="00E64552" w:rsidRPr="00F96974" w14:paraId="072337EB" w14:textId="77777777" w:rsidTr="00220A00">
        <w:tc>
          <w:tcPr>
            <w:tcW w:w="3535" w:type="dxa"/>
          </w:tcPr>
          <w:p w14:paraId="5D97C0DB" w14:textId="77777777" w:rsidR="00E64552" w:rsidRPr="00F96974" w:rsidRDefault="00E64552" w:rsidP="00015BE6">
            <w:pPr>
              <w:pStyle w:val="NoSpacing"/>
              <w:rPr>
                <w:rFonts w:ascii="Calibri" w:hAnsi="Calibri"/>
                <w:b/>
                <w:lang w:val="en-GB"/>
              </w:rPr>
            </w:pPr>
          </w:p>
        </w:tc>
        <w:tc>
          <w:tcPr>
            <w:tcW w:w="5095" w:type="dxa"/>
            <w:gridSpan w:val="3"/>
          </w:tcPr>
          <w:p w14:paraId="21CE6C73" w14:textId="77777777" w:rsidR="00E64552" w:rsidRPr="00F96974" w:rsidRDefault="00E64552" w:rsidP="00015BE6">
            <w:pPr>
              <w:pStyle w:val="NoSpacing"/>
              <w:rPr>
                <w:rFonts w:ascii="Calibri" w:hAnsi="Calibri"/>
                <w:i/>
                <w:sz w:val="22"/>
                <w:szCs w:val="22"/>
                <w:lang w:val="en-GB"/>
              </w:rPr>
            </w:pPr>
          </w:p>
        </w:tc>
      </w:tr>
      <w:tr w:rsidR="00E64552" w:rsidRPr="00F96974" w14:paraId="1B45B2DE" w14:textId="77777777" w:rsidTr="00220A00">
        <w:tc>
          <w:tcPr>
            <w:tcW w:w="3535" w:type="dxa"/>
          </w:tcPr>
          <w:p w14:paraId="6D24F86D" w14:textId="77777777" w:rsidR="00E64552" w:rsidRPr="00F96974" w:rsidRDefault="00E64552" w:rsidP="00015BE6">
            <w:pPr>
              <w:pStyle w:val="NoSpacing"/>
              <w:rPr>
                <w:rFonts w:ascii="Calibri" w:hAnsi="Calibri"/>
                <w:b/>
                <w:lang w:val="en-GB"/>
              </w:rPr>
            </w:pPr>
            <w:r w:rsidRPr="00F96974">
              <w:rPr>
                <w:rFonts w:ascii="Calibri" w:hAnsi="Calibri"/>
                <w:b/>
                <w:lang w:val="en-GB"/>
              </w:rPr>
              <w:t>Methods of assessment:</w:t>
            </w:r>
          </w:p>
        </w:tc>
        <w:tc>
          <w:tcPr>
            <w:tcW w:w="5095" w:type="dxa"/>
            <w:gridSpan w:val="3"/>
          </w:tcPr>
          <w:p w14:paraId="3E5B676E" w14:textId="14C0A916" w:rsidR="00E64552" w:rsidRPr="004156E2" w:rsidRDefault="004156E2" w:rsidP="00015BE6">
            <w:pPr>
              <w:pStyle w:val="NoSpacing"/>
              <w:rPr>
                <w:rFonts w:ascii="Calibri" w:hAnsi="Calibri"/>
                <w:iCs/>
                <w:sz w:val="22"/>
                <w:szCs w:val="22"/>
                <w:lang w:val="en-GB"/>
              </w:rPr>
            </w:pPr>
            <w:r>
              <w:rPr>
                <w:rFonts w:ascii="Calibri" w:hAnsi="Calibri"/>
                <w:iCs/>
                <w:sz w:val="22"/>
                <w:szCs w:val="22"/>
                <w:lang w:val="en-GB"/>
              </w:rPr>
              <w:t>Exam, seminars, case-summaries</w:t>
            </w:r>
          </w:p>
          <w:p w14:paraId="539BCE49" w14:textId="77777777" w:rsidR="00E64552" w:rsidRPr="00F96974" w:rsidRDefault="00E64552" w:rsidP="003F2FE3">
            <w:pPr>
              <w:pStyle w:val="NoSpacing"/>
              <w:rPr>
                <w:rFonts w:ascii="Calibri" w:hAnsi="Calibri"/>
                <w:i/>
                <w:sz w:val="20"/>
                <w:szCs w:val="20"/>
                <w:lang w:val="en-GB"/>
              </w:rPr>
            </w:pPr>
          </w:p>
        </w:tc>
      </w:tr>
      <w:tr w:rsidR="00E64552" w:rsidRPr="00F96974" w14:paraId="7D778C19" w14:textId="77777777" w:rsidTr="00220A00">
        <w:tc>
          <w:tcPr>
            <w:tcW w:w="8630" w:type="dxa"/>
            <w:gridSpan w:val="4"/>
            <w:shd w:val="clear" w:color="auto" w:fill="D9D9D9"/>
          </w:tcPr>
          <w:p w14:paraId="5BEBBB26" w14:textId="77777777" w:rsidR="00E64552" w:rsidRPr="00F96974" w:rsidRDefault="00E64552" w:rsidP="00015BE6">
            <w:pPr>
              <w:pStyle w:val="NoSpacing"/>
              <w:rPr>
                <w:rFonts w:ascii="Calibri" w:hAnsi="Calibri"/>
                <w:b/>
                <w:lang w:val="en-GB"/>
              </w:rPr>
            </w:pPr>
            <w:r w:rsidRPr="00F96974">
              <w:rPr>
                <w:rFonts w:ascii="Calibri" w:hAnsi="Calibri"/>
                <w:b/>
                <w:lang w:val="en-GB"/>
              </w:rPr>
              <w:t>Literature</w:t>
            </w:r>
          </w:p>
        </w:tc>
      </w:tr>
      <w:tr w:rsidR="00E64552" w:rsidRPr="00F96974" w14:paraId="73CA6803" w14:textId="77777777" w:rsidTr="00220A00">
        <w:tc>
          <w:tcPr>
            <w:tcW w:w="3535" w:type="dxa"/>
          </w:tcPr>
          <w:p w14:paraId="6E469F7A" w14:textId="77777777" w:rsidR="00E64552" w:rsidRPr="00F96974" w:rsidRDefault="00E64552" w:rsidP="00015BE6">
            <w:pPr>
              <w:pStyle w:val="NoSpacing"/>
              <w:rPr>
                <w:rFonts w:ascii="Calibri" w:hAnsi="Calibri"/>
                <w:b/>
                <w:lang w:val="en-GB"/>
              </w:rPr>
            </w:pPr>
            <w:r w:rsidRPr="00F96974">
              <w:rPr>
                <w:rFonts w:ascii="Calibri" w:hAnsi="Calibri"/>
                <w:b/>
                <w:lang w:val="en-GB"/>
              </w:rPr>
              <w:t xml:space="preserve">Basic literature:  </w:t>
            </w:r>
          </w:p>
        </w:tc>
        <w:tc>
          <w:tcPr>
            <w:tcW w:w="5095" w:type="dxa"/>
            <w:gridSpan w:val="3"/>
          </w:tcPr>
          <w:p w14:paraId="26610A07" w14:textId="47546873" w:rsidR="00E64552" w:rsidRPr="007F66F5" w:rsidRDefault="00220A00" w:rsidP="007F66F5">
            <w:pPr>
              <w:pStyle w:val="NoSpacing"/>
              <w:rPr>
                <w:rFonts w:ascii="Calibri" w:hAnsi="Calibri"/>
                <w:iCs/>
                <w:sz w:val="22"/>
                <w:szCs w:val="22"/>
                <w:lang w:val="en-GB"/>
              </w:rPr>
            </w:pPr>
            <w:r w:rsidRPr="0098030A">
              <w:rPr>
                <w:rFonts w:ascii="Calibri" w:hAnsi="Calibri"/>
                <w:iCs/>
                <w:sz w:val="22"/>
                <w:szCs w:val="22"/>
                <w:lang w:val="lv-LV"/>
              </w:rPr>
              <w:t>Human Rights and the Environment</w:t>
            </w:r>
            <w:r w:rsidRPr="00AA532B">
              <w:rPr>
                <w:rFonts w:ascii="Calibri" w:hAnsi="Calibri"/>
                <w:iCs/>
                <w:sz w:val="22"/>
                <w:szCs w:val="22"/>
                <w:lang w:val="lv-LV"/>
              </w:rPr>
              <w:t xml:space="preserve">. </w:t>
            </w:r>
            <w:r w:rsidRPr="0098030A">
              <w:rPr>
                <w:rFonts w:ascii="Calibri" w:hAnsi="Calibri"/>
                <w:iCs/>
                <w:sz w:val="22"/>
                <w:szCs w:val="22"/>
                <w:lang w:val="lv-LV"/>
              </w:rPr>
              <w:t>Key Issues</w:t>
            </w:r>
            <w:r w:rsidRPr="00AA532B">
              <w:rPr>
                <w:rFonts w:ascii="Calibri" w:hAnsi="Calibri"/>
                <w:iCs/>
                <w:sz w:val="22"/>
                <w:szCs w:val="22"/>
                <w:lang w:val="lv-LV"/>
              </w:rPr>
              <w:t xml:space="preserve">. </w:t>
            </w:r>
            <w:r w:rsidRPr="0098030A">
              <w:rPr>
                <w:rFonts w:ascii="Calibri" w:hAnsi="Calibri"/>
                <w:iCs/>
                <w:sz w:val="22"/>
                <w:szCs w:val="22"/>
                <w:lang w:val="lv-LV"/>
              </w:rPr>
              <w:t>Sumudu Atapattu</w:t>
            </w:r>
            <w:r w:rsidRPr="00AA532B">
              <w:rPr>
                <w:rFonts w:ascii="Calibri" w:hAnsi="Calibri"/>
                <w:iCs/>
                <w:sz w:val="22"/>
                <w:szCs w:val="22"/>
                <w:lang w:val="lv-LV"/>
              </w:rPr>
              <w:t xml:space="preserve"> and</w:t>
            </w:r>
            <w:r w:rsidRPr="0098030A">
              <w:rPr>
                <w:rFonts w:ascii="Calibri" w:hAnsi="Calibri"/>
                <w:iCs/>
                <w:sz w:val="22"/>
                <w:szCs w:val="22"/>
                <w:lang w:val="lv-LV"/>
              </w:rPr>
              <w:t>Andrea Schapper</w:t>
            </w:r>
            <w:r w:rsidRPr="00AA532B">
              <w:rPr>
                <w:rFonts w:ascii="Calibri" w:hAnsi="Calibri"/>
                <w:iCs/>
                <w:sz w:val="22"/>
                <w:szCs w:val="22"/>
                <w:lang w:val="lv-LV"/>
              </w:rPr>
              <w:t xml:space="preserve">. </w:t>
            </w:r>
            <w:r>
              <w:rPr>
                <w:rFonts w:ascii="Calibri" w:hAnsi="Calibri"/>
                <w:iCs/>
                <w:sz w:val="22"/>
                <w:szCs w:val="22"/>
                <w:lang w:val="lv-LV"/>
              </w:rPr>
              <w:t xml:space="preserve">Abingdon, Ņew York: </w:t>
            </w:r>
            <w:r w:rsidRPr="00AA532B">
              <w:rPr>
                <w:rFonts w:ascii="Calibri" w:hAnsi="Calibri"/>
                <w:iCs/>
                <w:sz w:val="22"/>
                <w:szCs w:val="22"/>
                <w:lang w:val="lv-LV"/>
              </w:rPr>
              <w:t>Routledge, [2019</w:t>
            </w:r>
            <w:r>
              <w:rPr>
                <w:rFonts w:ascii="Calibri" w:hAnsi="Calibri"/>
                <w:sz w:val="22"/>
                <w:szCs w:val="22"/>
                <w:lang w:val="lv-LV"/>
              </w:rPr>
              <w:t>]</w:t>
            </w:r>
          </w:p>
        </w:tc>
      </w:tr>
      <w:tr w:rsidR="00220A00" w:rsidRPr="00F96974" w14:paraId="240DBF5E" w14:textId="77777777" w:rsidTr="00220A00">
        <w:tc>
          <w:tcPr>
            <w:tcW w:w="3535" w:type="dxa"/>
          </w:tcPr>
          <w:p w14:paraId="0CE202C2" w14:textId="77777777" w:rsidR="00220A00" w:rsidRPr="00F96974" w:rsidRDefault="00220A00" w:rsidP="00015BE6">
            <w:pPr>
              <w:pStyle w:val="NoSpacing"/>
              <w:rPr>
                <w:rFonts w:ascii="Calibri" w:hAnsi="Calibri"/>
                <w:b/>
                <w:lang w:val="en-GB"/>
              </w:rPr>
            </w:pPr>
          </w:p>
        </w:tc>
        <w:tc>
          <w:tcPr>
            <w:tcW w:w="5095" w:type="dxa"/>
            <w:gridSpan w:val="3"/>
          </w:tcPr>
          <w:p w14:paraId="75E6B12D" w14:textId="632DAFB8" w:rsidR="00220A00" w:rsidRPr="00220A00" w:rsidRDefault="00220A00" w:rsidP="00220A00">
            <w:pPr>
              <w:pStyle w:val="NoSpacing"/>
              <w:rPr>
                <w:rFonts w:ascii="Calibri" w:hAnsi="Calibri"/>
                <w:iCs/>
                <w:sz w:val="22"/>
                <w:szCs w:val="22"/>
                <w:lang w:val="lv-LV"/>
              </w:rPr>
            </w:pPr>
            <w:r w:rsidRPr="00220A00">
              <w:rPr>
                <w:rFonts w:ascii="Calibri" w:hAnsi="Calibri"/>
                <w:iCs/>
                <w:sz w:val="22"/>
                <w:szCs w:val="22"/>
                <w:lang w:val="lv-LV"/>
              </w:rPr>
              <w:t>Environmental Protection and Human Rights.</w:t>
            </w:r>
          </w:p>
          <w:p w14:paraId="2E2810DF" w14:textId="774A9B8C" w:rsidR="00220A00" w:rsidRPr="00220A00" w:rsidRDefault="00220A00" w:rsidP="00220A00">
            <w:pPr>
              <w:pStyle w:val="NoSpacing"/>
              <w:rPr>
                <w:rFonts w:ascii="Calibri" w:hAnsi="Calibri"/>
                <w:iCs/>
                <w:sz w:val="22"/>
                <w:szCs w:val="22"/>
                <w:lang w:val="lv-LV"/>
              </w:rPr>
            </w:pPr>
            <w:r w:rsidRPr="00220A00">
              <w:rPr>
                <w:rFonts w:ascii="Calibri" w:hAnsi="Calibri"/>
                <w:iCs/>
                <w:sz w:val="22"/>
                <w:szCs w:val="22"/>
                <w:lang w:val="lv-LV"/>
              </w:rPr>
              <w:t>Donald K. Anton, Dinah L. Shelton</w:t>
            </w:r>
            <w:r>
              <w:rPr>
                <w:rFonts w:ascii="Calibri" w:hAnsi="Calibri"/>
                <w:iCs/>
                <w:sz w:val="22"/>
                <w:szCs w:val="22"/>
                <w:lang w:val="lv-LV"/>
              </w:rPr>
              <w:t>. Cambridge:</w:t>
            </w:r>
          </w:p>
          <w:p w14:paraId="55908366" w14:textId="501B6C9B" w:rsidR="00220A00" w:rsidRPr="00EB2C55" w:rsidRDefault="00220A00" w:rsidP="007F66F5">
            <w:pPr>
              <w:pStyle w:val="NoSpacing"/>
              <w:rPr>
                <w:rFonts w:ascii="Calibri" w:hAnsi="Calibri"/>
                <w:iCs/>
                <w:sz w:val="22"/>
                <w:szCs w:val="22"/>
                <w:lang w:val="lv-LV"/>
              </w:rPr>
            </w:pPr>
            <w:r w:rsidRPr="00220A00">
              <w:rPr>
                <w:rFonts w:ascii="Calibri" w:hAnsi="Calibri"/>
                <w:iCs/>
                <w:sz w:val="22"/>
                <w:szCs w:val="22"/>
                <w:lang w:val="lv-LV"/>
              </w:rPr>
              <w:t>Cambridge University Press,</w:t>
            </w:r>
            <w:r>
              <w:rPr>
                <w:rFonts w:ascii="Calibri" w:hAnsi="Calibri"/>
                <w:iCs/>
                <w:sz w:val="22"/>
                <w:szCs w:val="22"/>
                <w:lang w:val="lv-LV"/>
              </w:rPr>
              <w:t xml:space="preserve"> [</w:t>
            </w:r>
            <w:r w:rsidRPr="00220A00">
              <w:rPr>
                <w:rFonts w:ascii="Calibri" w:hAnsi="Calibri"/>
                <w:iCs/>
                <w:sz w:val="22"/>
                <w:szCs w:val="22"/>
                <w:lang w:val="lv-LV"/>
              </w:rPr>
              <w:t>2011</w:t>
            </w:r>
            <w:r>
              <w:rPr>
                <w:rFonts w:ascii="Calibri" w:hAnsi="Calibri"/>
                <w:iCs/>
                <w:sz w:val="22"/>
                <w:szCs w:val="22"/>
                <w:lang w:val="lv-LV"/>
              </w:rPr>
              <w:t>]</w:t>
            </w:r>
          </w:p>
        </w:tc>
      </w:tr>
      <w:tr w:rsidR="00220A00" w:rsidRPr="00F96974" w14:paraId="3E9455B4" w14:textId="77777777" w:rsidTr="00220A00">
        <w:tc>
          <w:tcPr>
            <w:tcW w:w="3535" w:type="dxa"/>
          </w:tcPr>
          <w:p w14:paraId="5CA6BAA9" w14:textId="77777777" w:rsidR="00220A00" w:rsidRPr="00F96974" w:rsidRDefault="00220A00" w:rsidP="00015BE6">
            <w:pPr>
              <w:pStyle w:val="NoSpacing"/>
              <w:rPr>
                <w:rFonts w:ascii="Calibri" w:hAnsi="Calibri"/>
                <w:b/>
                <w:lang w:val="en-GB"/>
              </w:rPr>
            </w:pPr>
          </w:p>
        </w:tc>
        <w:tc>
          <w:tcPr>
            <w:tcW w:w="5095" w:type="dxa"/>
            <w:gridSpan w:val="3"/>
          </w:tcPr>
          <w:p w14:paraId="0353BD5D" w14:textId="74EE8B5D" w:rsidR="00220A00" w:rsidRPr="007F66F5" w:rsidRDefault="00220A00" w:rsidP="007F66F5">
            <w:pPr>
              <w:pStyle w:val="NoSpacing"/>
              <w:rPr>
                <w:rFonts w:ascii="Calibri" w:hAnsi="Calibri"/>
                <w:iCs/>
                <w:sz w:val="22"/>
                <w:szCs w:val="22"/>
                <w:lang w:val="en-GB"/>
              </w:rPr>
            </w:pPr>
            <w:r w:rsidRPr="007F66F5">
              <w:rPr>
                <w:rFonts w:ascii="Calibri" w:hAnsi="Calibri"/>
                <w:iCs/>
                <w:sz w:val="22"/>
                <w:szCs w:val="22"/>
                <w:lang w:val="en-GB"/>
              </w:rPr>
              <w:t>Environmental rights in Europe and beyond</w:t>
            </w:r>
            <w:r>
              <w:rPr>
                <w:rFonts w:ascii="Calibri" w:hAnsi="Calibri"/>
                <w:iCs/>
                <w:sz w:val="22"/>
                <w:szCs w:val="22"/>
                <w:lang w:val="en-GB"/>
              </w:rPr>
              <w:t xml:space="preserve">, </w:t>
            </w:r>
            <w:r w:rsidRPr="007F66F5">
              <w:rPr>
                <w:rFonts w:ascii="Calibri" w:hAnsi="Calibri"/>
                <w:iCs/>
                <w:sz w:val="22"/>
                <w:szCs w:val="22"/>
                <w:lang w:val="en-GB"/>
              </w:rPr>
              <w:t>edited by Sanja Bogojević and Rosemary Rayfuse. Oxford: Hart Publishing, [2018]</w:t>
            </w:r>
          </w:p>
        </w:tc>
      </w:tr>
      <w:tr w:rsidR="00F742D5" w:rsidRPr="00F96974" w14:paraId="6BC5EE75" w14:textId="77777777" w:rsidTr="00220A00">
        <w:tc>
          <w:tcPr>
            <w:tcW w:w="3535" w:type="dxa"/>
          </w:tcPr>
          <w:p w14:paraId="75E691E3" w14:textId="77777777" w:rsidR="00F742D5" w:rsidRPr="00F96974" w:rsidRDefault="00F742D5" w:rsidP="00015BE6">
            <w:pPr>
              <w:pStyle w:val="NoSpacing"/>
              <w:rPr>
                <w:rFonts w:ascii="Calibri" w:hAnsi="Calibri"/>
                <w:b/>
                <w:lang w:val="en-GB"/>
              </w:rPr>
            </w:pPr>
          </w:p>
        </w:tc>
        <w:tc>
          <w:tcPr>
            <w:tcW w:w="5095" w:type="dxa"/>
            <w:gridSpan w:val="3"/>
          </w:tcPr>
          <w:p w14:paraId="29779618" w14:textId="4D2DF7B5" w:rsidR="00F742D5" w:rsidRPr="007F66F5" w:rsidRDefault="00F742D5" w:rsidP="007F66F5">
            <w:pPr>
              <w:pStyle w:val="NoSpacing"/>
              <w:rPr>
                <w:rFonts w:ascii="Calibri" w:hAnsi="Calibri"/>
                <w:iCs/>
                <w:sz w:val="22"/>
                <w:szCs w:val="22"/>
                <w:lang w:val="en-GB"/>
              </w:rPr>
            </w:pPr>
            <w:r w:rsidRPr="00F742D5">
              <w:rPr>
                <w:rFonts w:ascii="Calibri" w:hAnsi="Calibri"/>
                <w:iCs/>
                <w:sz w:val="22"/>
                <w:szCs w:val="22"/>
              </w:rPr>
              <w:t xml:space="preserve">Report of the </w:t>
            </w:r>
            <w:r>
              <w:rPr>
                <w:rFonts w:ascii="Calibri" w:hAnsi="Calibri"/>
                <w:iCs/>
                <w:sz w:val="22"/>
                <w:szCs w:val="22"/>
              </w:rPr>
              <w:t xml:space="preserve">United Nations </w:t>
            </w:r>
            <w:r w:rsidRPr="00F742D5">
              <w:rPr>
                <w:rFonts w:ascii="Calibri" w:hAnsi="Calibri"/>
                <w:iCs/>
                <w:sz w:val="22"/>
                <w:szCs w:val="22"/>
              </w:rPr>
              <w:t>Special Rapporteur on the issue of human rights obligations relating to the enjoyment of a safe, clean, healthy and sustainable environment</w:t>
            </w:r>
          </w:p>
        </w:tc>
      </w:tr>
      <w:tr w:rsidR="00E64552" w:rsidRPr="00F96974" w14:paraId="43B2DDA9" w14:textId="77777777" w:rsidTr="00220A00">
        <w:tc>
          <w:tcPr>
            <w:tcW w:w="3535" w:type="dxa"/>
          </w:tcPr>
          <w:p w14:paraId="37052125" w14:textId="77777777" w:rsidR="00E64552" w:rsidRPr="00F96974" w:rsidRDefault="00E64552" w:rsidP="00015BE6">
            <w:pPr>
              <w:pStyle w:val="NoSpacing"/>
              <w:rPr>
                <w:rFonts w:ascii="Calibri" w:hAnsi="Calibri"/>
                <w:b/>
                <w:lang w:val="en-GB"/>
              </w:rPr>
            </w:pPr>
            <w:r w:rsidRPr="00F96974">
              <w:rPr>
                <w:rFonts w:ascii="Calibri" w:hAnsi="Calibri"/>
                <w:b/>
                <w:lang w:val="en-GB"/>
              </w:rPr>
              <w:lastRenderedPageBreak/>
              <w:t xml:space="preserve">Additional literature:  </w:t>
            </w:r>
          </w:p>
        </w:tc>
        <w:tc>
          <w:tcPr>
            <w:tcW w:w="5095" w:type="dxa"/>
            <w:gridSpan w:val="3"/>
          </w:tcPr>
          <w:p w14:paraId="5AD54B34" w14:textId="67EE68D3" w:rsidR="00E64552" w:rsidRPr="00F96974" w:rsidRDefault="00220A00" w:rsidP="00015BE6">
            <w:pPr>
              <w:pStyle w:val="NoSpacing"/>
              <w:rPr>
                <w:rFonts w:ascii="Calibri" w:hAnsi="Calibri"/>
                <w:i/>
                <w:sz w:val="22"/>
                <w:szCs w:val="22"/>
                <w:lang w:val="en-GB"/>
              </w:rPr>
            </w:pPr>
            <w:r w:rsidRPr="00C75498">
              <w:rPr>
                <w:rFonts w:ascii="Calibri" w:hAnsi="Calibri"/>
                <w:iCs/>
                <w:sz w:val="22"/>
                <w:szCs w:val="22"/>
                <w:lang w:val="en-GB"/>
              </w:rPr>
              <w:t>Environmental principles:</w:t>
            </w:r>
            <w:r>
              <w:rPr>
                <w:rFonts w:ascii="Calibri" w:hAnsi="Calibri"/>
                <w:iCs/>
                <w:sz w:val="22"/>
                <w:szCs w:val="22"/>
                <w:lang w:val="en-GB"/>
              </w:rPr>
              <w:t xml:space="preserve"> </w:t>
            </w:r>
            <w:r w:rsidRPr="00C75498">
              <w:rPr>
                <w:rFonts w:ascii="Calibri" w:hAnsi="Calibri"/>
                <w:iCs/>
                <w:sz w:val="22"/>
                <w:szCs w:val="22"/>
                <w:lang w:val="en-GB"/>
              </w:rPr>
              <w:t>from political slogans to legal rules</w:t>
            </w:r>
            <w:r>
              <w:rPr>
                <w:rFonts w:ascii="Calibri" w:hAnsi="Calibri"/>
                <w:iCs/>
                <w:sz w:val="22"/>
                <w:szCs w:val="22"/>
                <w:lang w:val="en-GB"/>
              </w:rPr>
              <w:t>.</w:t>
            </w:r>
            <w:r w:rsidRPr="00C75498">
              <w:rPr>
                <w:rFonts w:ascii="Calibri" w:hAnsi="Calibri"/>
                <w:iCs/>
                <w:sz w:val="22"/>
                <w:szCs w:val="22"/>
                <w:lang w:val="en-GB"/>
              </w:rPr>
              <w:t xml:space="preserve"> Nicolas de Sadeleer</w:t>
            </w:r>
            <w:r>
              <w:rPr>
                <w:rFonts w:ascii="Calibri" w:hAnsi="Calibri"/>
                <w:iCs/>
                <w:sz w:val="22"/>
                <w:szCs w:val="22"/>
                <w:lang w:val="en-GB"/>
              </w:rPr>
              <w:t xml:space="preserve">. </w:t>
            </w:r>
            <w:r w:rsidRPr="00C75498">
              <w:rPr>
                <w:rFonts w:ascii="Calibri" w:hAnsi="Calibri"/>
                <w:iCs/>
                <w:sz w:val="22"/>
                <w:szCs w:val="22"/>
                <w:lang w:val="en-GB"/>
              </w:rPr>
              <w:t xml:space="preserve">Second edition. New York: Oxford University Press, </w:t>
            </w:r>
            <w:r>
              <w:rPr>
                <w:rFonts w:ascii="Calibri" w:hAnsi="Calibri"/>
                <w:iCs/>
                <w:sz w:val="22"/>
                <w:szCs w:val="22"/>
                <w:lang w:val="en-GB"/>
              </w:rPr>
              <w:t>[</w:t>
            </w:r>
            <w:r w:rsidRPr="00C75498">
              <w:rPr>
                <w:rFonts w:ascii="Calibri" w:hAnsi="Calibri"/>
                <w:iCs/>
                <w:sz w:val="22"/>
                <w:szCs w:val="22"/>
                <w:lang w:val="en-GB"/>
              </w:rPr>
              <w:t>2020</w:t>
            </w:r>
            <w:r>
              <w:rPr>
                <w:rFonts w:ascii="Calibri" w:hAnsi="Calibri"/>
                <w:iCs/>
                <w:sz w:val="22"/>
                <w:szCs w:val="22"/>
                <w:lang w:val="en-GB"/>
              </w:rPr>
              <w:t>]</w:t>
            </w:r>
            <w:r w:rsidRPr="00C75498">
              <w:rPr>
                <w:rFonts w:ascii="Calibri" w:hAnsi="Calibri"/>
                <w:iCs/>
                <w:sz w:val="22"/>
                <w:szCs w:val="22"/>
                <w:lang w:val="en-GB"/>
              </w:rPr>
              <w:t>.</w:t>
            </w:r>
          </w:p>
        </w:tc>
      </w:tr>
      <w:tr w:rsidR="00E64552" w:rsidRPr="00F96974" w14:paraId="569165D4" w14:textId="77777777" w:rsidTr="00220A00">
        <w:tc>
          <w:tcPr>
            <w:tcW w:w="3535" w:type="dxa"/>
          </w:tcPr>
          <w:p w14:paraId="3FEE7915" w14:textId="77777777" w:rsidR="00E64552" w:rsidRPr="00F96974" w:rsidRDefault="00E64552" w:rsidP="00015BE6">
            <w:pPr>
              <w:pStyle w:val="NoSpacing"/>
              <w:rPr>
                <w:rFonts w:ascii="Calibri" w:hAnsi="Calibri"/>
                <w:b/>
                <w:lang w:val="en-GB"/>
              </w:rPr>
            </w:pPr>
          </w:p>
        </w:tc>
        <w:tc>
          <w:tcPr>
            <w:tcW w:w="5095" w:type="dxa"/>
            <w:gridSpan w:val="3"/>
          </w:tcPr>
          <w:p w14:paraId="3AA7E88E" w14:textId="77777777" w:rsidR="00E64552" w:rsidRPr="00F96974" w:rsidRDefault="00E64552" w:rsidP="00015BE6">
            <w:pPr>
              <w:pStyle w:val="NoSpacing"/>
              <w:ind w:left="720"/>
              <w:rPr>
                <w:rFonts w:ascii="Calibri" w:hAnsi="Calibri"/>
                <w:i/>
                <w:sz w:val="22"/>
                <w:szCs w:val="22"/>
                <w:lang w:val="en-GB"/>
              </w:rPr>
            </w:pPr>
          </w:p>
        </w:tc>
      </w:tr>
    </w:tbl>
    <w:p w14:paraId="22FC527B" w14:textId="77777777" w:rsidR="00E64552" w:rsidRPr="00F96974" w:rsidRDefault="00E64552" w:rsidP="00E64552">
      <w:pPr>
        <w:rPr>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7555"/>
      </w:tblGrid>
      <w:tr w:rsidR="00E64552" w:rsidRPr="00F96974" w14:paraId="2C6DD9FA" w14:textId="77777777" w:rsidTr="00FC253A">
        <w:tc>
          <w:tcPr>
            <w:tcW w:w="8630" w:type="dxa"/>
            <w:gridSpan w:val="2"/>
            <w:shd w:val="clear" w:color="auto" w:fill="D9D9D9"/>
          </w:tcPr>
          <w:p w14:paraId="44F4F1B4" w14:textId="77777777" w:rsidR="00E64552" w:rsidRPr="00F96974" w:rsidRDefault="00E64552" w:rsidP="00015BE6">
            <w:pPr>
              <w:rPr>
                <w:rFonts w:ascii="Calibri" w:hAnsi="Calibri"/>
                <w:b/>
                <w:lang w:val="en-GB"/>
              </w:rPr>
            </w:pPr>
            <w:r w:rsidRPr="00F96974">
              <w:rPr>
                <w:rFonts w:ascii="Calibri" w:hAnsi="Calibri"/>
                <w:b/>
                <w:lang w:val="en-GB"/>
              </w:rPr>
              <w:t xml:space="preserve">Designed learning plan:  </w:t>
            </w:r>
          </w:p>
          <w:p w14:paraId="03E96900" w14:textId="77777777" w:rsidR="00E64552" w:rsidRPr="00F96974" w:rsidRDefault="00E64552" w:rsidP="00015BE6">
            <w:pPr>
              <w:rPr>
                <w:rFonts w:ascii="Calibri" w:hAnsi="Calibri"/>
                <w:b/>
                <w:lang w:val="en-GB"/>
              </w:rPr>
            </w:pPr>
          </w:p>
        </w:tc>
      </w:tr>
      <w:tr w:rsidR="00E64552" w:rsidRPr="00F96974" w14:paraId="6BF60A09" w14:textId="77777777" w:rsidTr="00FC253A">
        <w:trPr>
          <w:trHeight w:val="473"/>
        </w:trPr>
        <w:tc>
          <w:tcPr>
            <w:tcW w:w="1075" w:type="dxa"/>
            <w:shd w:val="clear" w:color="auto" w:fill="D9D9D9"/>
          </w:tcPr>
          <w:p w14:paraId="0D500F69" w14:textId="77777777" w:rsidR="00E64552" w:rsidRPr="00F96974" w:rsidRDefault="00E64552" w:rsidP="00015BE6">
            <w:pPr>
              <w:rPr>
                <w:rFonts w:ascii="Calibri" w:hAnsi="Calibri"/>
                <w:b/>
                <w:lang w:val="en-GB"/>
              </w:rPr>
            </w:pPr>
            <w:r w:rsidRPr="00F96974">
              <w:rPr>
                <w:rFonts w:ascii="Calibri" w:hAnsi="Calibri"/>
                <w:b/>
                <w:lang w:val="en-GB"/>
              </w:rPr>
              <w:t>Week</w:t>
            </w:r>
          </w:p>
        </w:tc>
        <w:tc>
          <w:tcPr>
            <w:tcW w:w="7555" w:type="dxa"/>
            <w:shd w:val="clear" w:color="auto" w:fill="D9D9D9"/>
          </w:tcPr>
          <w:p w14:paraId="536BDC7A" w14:textId="77777777" w:rsidR="00E64552" w:rsidRPr="00F96974" w:rsidRDefault="00E64552" w:rsidP="00015BE6">
            <w:pPr>
              <w:rPr>
                <w:rFonts w:ascii="Calibri" w:hAnsi="Calibri"/>
                <w:b/>
                <w:lang w:val="en-GB"/>
              </w:rPr>
            </w:pPr>
            <w:r w:rsidRPr="00F96974">
              <w:rPr>
                <w:rFonts w:ascii="Calibri" w:hAnsi="Calibri"/>
                <w:b/>
                <w:lang w:val="en-GB"/>
              </w:rPr>
              <w:t xml:space="preserve">Lectures </w:t>
            </w:r>
          </w:p>
        </w:tc>
      </w:tr>
      <w:tr w:rsidR="00E64552" w:rsidRPr="00F96974" w14:paraId="0F742F1F" w14:textId="77777777" w:rsidTr="00FC253A">
        <w:tc>
          <w:tcPr>
            <w:tcW w:w="1075" w:type="dxa"/>
          </w:tcPr>
          <w:p w14:paraId="58EBF3AE" w14:textId="77777777" w:rsidR="00E64552" w:rsidRPr="00F96974" w:rsidRDefault="00E64552" w:rsidP="00015BE6">
            <w:pPr>
              <w:rPr>
                <w:rFonts w:ascii="Calibri" w:hAnsi="Calibri"/>
                <w:b/>
                <w:lang w:val="en-GB"/>
              </w:rPr>
            </w:pPr>
            <w:r w:rsidRPr="00F96974">
              <w:rPr>
                <w:rFonts w:ascii="Calibri" w:hAnsi="Calibri"/>
                <w:b/>
                <w:lang w:val="en-GB"/>
              </w:rPr>
              <w:t>Introduction</w:t>
            </w:r>
          </w:p>
        </w:tc>
        <w:tc>
          <w:tcPr>
            <w:tcW w:w="7555" w:type="dxa"/>
          </w:tcPr>
          <w:p w14:paraId="6EF03027" w14:textId="26CF4CBD" w:rsidR="00E64552" w:rsidRPr="00266811" w:rsidRDefault="00276C24" w:rsidP="00276C24">
            <w:pPr>
              <w:rPr>
                <w:rFonts w:ascii="Calibri" w:hAnsi="Calibri"/>
                <w:lang w:val="en-GB"/>
              </w:rPr>
            </w:pPr>
            <w:r>
              <w:rPr>
                <w:rFonts w:ascii="Calibri" w:hAnsi="Calibri"/>
                <w:lang w:val="en-GB"/>
              </w:rPr>
              <w:t>Introduction</w:t>
            </w:r>
            <w:r>
              <w:t xml:space="preserve"> </w:t>
            </w:r>
            <w:r w:rsidRPr="00276C24">
              <w:rPr>
                <w:rFonts w:ascii="Calibri" w:hAnsi="Calibri"/>
                <w:lang w:val="en-GB"/>
              </w:rPr>
              <w:t>(</w:t>
            </w:r>
            <w:r>
              <w:rPr>
                <w:rFonts w:ascii="Calibri" w:hAnsi="Calibri"/>
                <w:lang w:val="en-GB"/>
              </w:rPr>
              <w:t>c</w:t>
            </w:r>
            <w:r w:rsidRPr="00276C24">
              <w:rPr>
                <w:rFonts w:ascii="Calibri" w:hAnsi="Calibri"/>
                <w:lang w:val="en-GB"/>
              </w:rPr>
              <w:t>ourse content, methodology, organization, requirements and</w:t>
            </w:r>
            <w:r>
              <w:rPr>
                <w:rFonts w:ascii="Calibri" w:hAnsi="Calibri"/>
                <w:lang w:val="en-GB"/>
              </w:rPr>
              <w:t xml:space="preserve"> </w:t>
            </w:r>
            <w:r w:rsidRPr="00276C24">
              <w:rPr>
                <w:rFonts w:ascii="Calibri" w:hAnsi="Calibri"/>
                <w:lang w:val="en-GB"/>
              </w:rPr>
              <w:t>assessment)</w:t>
            </w:r>
          </w:p>
        </w:tc>
      </w:tr>
      <w:tr w:rsidR="00E64552" w:rsidRPr="00F96974" w14:paraId="1B611D0F" w14:textId="77777777" w:rsidTr="00FC253A">
        <w:tc>
          <w:tcPr>
            <w:tcW w:w="1075" w:type="dxa"/>
          </w:tcPr>
          <w:p w14:paraId="774081EA" w14:textId="77777777" w:rsidR="00E64552" w:rsidRPr="00F96974" w:rsidRDefault="00E64552" w:rsidP="00015BE6">
            <w:pPr>
              <w:rPr>
                <w:rFonts w:ascii="Calibri" w:hAnsi="Calibri"/>
                <w:b/>
                <w:lang w:val="en-GB"/>
              </w:rPr>
            </w:pPr>
            <w:r w:rsidRPr="00F96974">
              <w:rPr>
                <w:rFonts w:ascii="Calibri" w:hAnsi="Calibri"/>
                <w:b/>
                <w:i/>
                <w:lang w:val="en-GB"/>
              </w:rPr>
              <w:t xml:space="preserve">Week 2: </w:t>
            </w:r>
            <w:r w:rsidRPr="00F96974">
              <w:rPr>
                <w:rFonts w:ascii="Arial" w:hAnsi="Arial" w:cs="Arial"/>
                <w:b/>
                <w:lang w:val="en-GB"/>
              </w:rPr>
              <w:t xml:space="preserve"> </w:t>
            </w:r>
          </w:p>
        </w:tc>
        <w:tc>
          <w:tcPr>
            <w:tcW w:w="7555" w:type="dxa"/>
          </w:tcPr>
          <w:p w14:paraId="00C4DD0E" w14:textId="5022B64D" w:rsidR="00655296" w:rsidRPr="00B82956" w:rsidRDefault="00276C24" w:rsidP="00B82956">
            <w:pPr>
              <w:rPr>
                <w:rFonts w:ascii="Calibri" w:hAnsi="Calibri"/>
                <w:lang w:val="en-GB"/>
              </w:rPr>
            </w:pPr>
            <w:r>
              <w:rPr>
                <w:rFonts w:ascii="Calibri" w:hAnsi="Calibri"/>
                <w:lang w:val="en-GB"/>
              </w:rPr>
              <w:t>Histor</w:t>
            </w:r>
            <w:r w:rsidR="005C4A54">
              <w:rPr>
                <w:rFonts w:ascii="Calibri" w:hAnsi="Calibri"/>
                <w:lang w:val="en-GB"/>
              </w:rPr>
              <w:t>ical development</w:t>
            </w:r>
            <w:r>
              <w:rPr>
                <w:rFonts w:ascii="Calibri" w:hAnsi="Calibri"/>
                <w:lang w:val="en-GB"/>
              </w:rPr>
              <w:t xml:space="preserve"> of environmental law – from </w:t>
            </w:r>
            <w:r w:rsidR="005C4A54">
              <w:rPr>
                <w:rFonts w:ascii="Calibri" w:hAnsi="Calibri"/>
                <w:lang w:val="en-GB"/>
              </w:rPr>
              <w:t>morals/ethics to binding international and national legal provisions</w:t>
            </w:r>
          </w:p>
        </w:tc>
      </w:tr>
      <w:tr w:rsidR="00E64552" w:rsidRPr="00F96974" w14:paraId="0923B7F4" w14:textId="77777777" w:rsidTr="00FC253A">
        <w:tc>
          <w:tcPr>
            <w:tcW w:w="1075" w:type="dxa"/>
          </w:tcPr>
          <w:p w14:paraId="77A47A0D" w14:textId="77777777" w:rsidR="00E64552" w:rsidRPr="00F96974" w:rsidRDefault="00E64552" w:rsidP="00015BE6">
            <w:pPr>
              <w:rPr>
                <w:rFonts w:ascii="Calibri" w:hAnsi="Calibri"/>
                <w:b/>
                <w:lang w:val="en-GB"/>
              </w:rPr>
            </w:pPr>
            <w:r w:rsidRPr="00F96974">
              <w:rPr>
                <w:rFonts w:ascii="Calibri" w:hAnsi="Calibri"/>
                <w:b/>
                <w:i/>
                <w:lang w:val="en-GB"/>
              </w:rPr>
              <w:t>Week 3</w:t>
            </w:r>
            <w:r w:rsidRPr="00F96974">
              <w:rPr>
                <w:rFonts w:ascii="Calibri" w:hAnsi="Calibri"/>
                <w:b/>
                <w:lang w:val="en-GB"/>
              </w:rPr>
              <w:t xml:space="preserve">: </w:t>
            </w:r>
            <w:r w:rsidRPr="00F96974">
              <w:rPr>
                <w:rFonts w:ascii="Arial" w:hAnsi="Arial" w:cs="Arial"/>
                <w:b/>
                <w:lang w:val="en-GB"/>
              </w:rPr>
              <w:t xml:space="preserve"> </w:t>
            </w:r>
          </w:p>
        </w:tc>
        <w:tc>
          <w:tcPr>
            <w:tcW w:w="7555" w:type="dxa"/>
          </w:tcPr>
          <w:p w14:paraId="7BEB3380" w14:textId="6CA4713A" w:rsidR="006434B7" w:rsidRPr="00FC253A" w:rsidRDefault="00A8045D" w:rsidP="00FC253A">
            <w:pPr>
              <w:rPr>
                <w:rFonts w:ascii="Calibri" w:hAnsi="Calibri"/>
                <w:lang w:val="en-GB"/>
              </w:rPr>
            </w:pPr>
            <w:r w:rsidRPr="00A8045D">
              <w:rPr>
                <w:rFonts w:ascii="Calibri" w:hAnsi="Calibri"/>
                <w:lang w:val="en-GB"/>
              </w:rPr>
              <w:t>Global &amp; Regional Frameworks: UN, EU, CoE.</w:t>
            </w:r>
          </w:p>
        </w:tc>
      </w:tr>
      <w:tr w:rsidR="001F1180" w:rsidRPr="00F96974" w14:paraId="6E683816" w14:textId="77777777" w:rsidTr="00FC253A">
        <w:tc>
          <w:tcPr>
            <w:tcW w:w="1075" w:type="dxa"/>
          </w:tcPr>
          <w:p w14:paraId="3A54C842" w14:textId="77777777" w:rsidR="001F1180" w:rsidRPr="00F96974" w:rsidRDefault="001F1180" w:rsidP="001F1180">
            <w:pPr>
              <w:rPr>
                <w:rFonts w:ascii="Calibri" w:hAnsi="Calibri"/>
                <w:b/>
                <w:lang w:val="en-GB"/>
              </w:rPr>
            </w:pPr>
            <w:r w:rsidRPr="00F96974">
              <w:rPr>
                <w:rFonts w:ascii="Calibri" w:hAnsi="Calibri"/>
                <w:b/>
                <w:i/>
                <w:lang w:val="en-GB"/>
              </w:rPr>
              <w:t>Week 4:</w:t>
            </w:r>
            <w:r w:rsidRPr="00F96974">
              <w:rPr>
                <w:rFonts w:ascii="Arial" w:hAnsi="Arial" w:cs="Arial"/>
                <w:b/>
                <w:lang w:val="en-GB"/>
              </w:rPr>
              <w:t xml:space="preserve"> </w:t>
            </w:r>
          </w:p>
        </w:tc>
        <w:tc>
          <w:tcPr>
            <w:tcW w:w="7555" w:type="dxa"/>
          </w:tcPr>
          <w:p w14:paraId="619363CA" w14:textId="48E1D936" w:rsidR="008473AB" w:rsidRPr="00266811" w:rsidRDefault="00A8045D" w:rsidP="00FC253A">
            <w:pPr>
              <w:rPr>
                <w:rFonts w:ascii="Calibri" w:hAnsi="Calibri"/>
                <w:lang w:val="en-GB"/>
              </w:rPr>
            </w:pPr>
            <w:r w:rsidRPr="00A8045D">
              <w:rPr>
                <w:rFonts w:ascii="Calibri" w:hAnsi="Calibri"/>
                <w:lang w:val="en-GB"/>
              </w:rPr>
              <w:t>Conceptual Scope</w:t>
            </w:r>
            <w:r w:rsidRPr="00A8045D">
              <w:rPr>
                <w:rFonts w:ascii="Calibri" w:hAnsi="Calibri"/>
                <w:lang w:val="en-GB"/>
              </w:rPr>
              <w:t xml:space="preserve">: </w:t>
            </w:r>
            <w:r w:rsidRPr="00A8045D">
              <w:rPr>
                <w:rFonts w:ascii="Calibri" w:hAnsi="Calibri"/>
                <w:lang w:val="en-GB"/>
              </w:rPr>
              <w:t>Defining the existence, legal scope, and limits of the RHE</w:t>
            </w:r>
          </w:p>
        </w:tc>
      </w:tr>
      <w:tr w:rsidR="001F1180" w:rsidRPr="00F96974" w14:paraId="1F508E1C" w14:textId="77777777" w:rsidTr="00FC253A">
        <w:tc>
          <w:tcPr>
            <w:tcW w:w="1075" w:type="dxa"/>
          </w:tcPr>
          <w:p w14:paraId="2F3C9FED" w14:textId="77777777" w:rsidR="001F1180" w:rsidRPr="00F96974" w:rsidRDefault="001F1180" w:rsidP="001F1180">
            <w:pPr>
              <w:rPr>
                <w:rFonts w:ascii="Arial" w:hAnsi="Arial" w:cs="Arial"/>
                <w:b/>
                <w:lang w:val="en-GB"/>
              </w:rPr>
            </w:pPr>
            <w:r w:rsidRPr="00F96974">
              <w:rPr>
                <w:rFonts w:ascii="Calibri" w:hAnsi="Calibri"/>
                <w:b/>
                <w:i/>
                <w:lang w:val="en-GB"/>
              </w:rPr>
              <w:t xml:space="preserve">Week 5: </w:t>
            </w:r>
          </w:p>
        </w:tc>
        <w:tc>
          <w:tcPr>
            <w:tcW w:w="7555" w:type="dxa"/>
          </w:tcPr>
          <w:p w14:paraId="43D00B5C" w14:textId="06AE5C9F" w:rsidR="001F1180" w:rsidRPr="00266811" w:rsidRDefault="00A8045D" w:rsidP="00FC253A">
            <w:pPr>
              <w:rPr>
                <w:rFonts w:ascii="Calibri" w:hAnsi="Calibri"/>
                <w:lang w:val="en-GB"/>
              </w:rPr>
            </w:pPr>
            <w:r w:rsidRPr="00A8045D">
              <w:rPr>
                <w:rFonts w:ascii="Calibri" w:hAnsi="Calibri"/>
                <w:lang w:val="en-GB"/>
              </w:rPr>
              <w:t>Substantive Rights: The "What": Determining the actual content of the right.</w:t>
            </w:r>
          </w:p>
        </w:tc>
      </w:tr>
      <w:tr w:rsidR="001F1180" w:rsidRPr="00F96974" w14:paraId="5B8D785D" w14:textId="77777777" w:rsidTr="00FC253A">
        <w:tc>
          <w:tcPr>
            <w:tcW w:w="1075" w:type="dxa"/>
          </w:tcPr>
          <w:p w14:paraId="706878CC" w14:textId="77777777" w:rsidR="001F1180" w:rsidRPr="00F96974" w:rsidRDefault="001F1180" w:rsidP="001F1180">
            <w:pPr>
              <w:rPr>
                <w:rFonts w:ascii="Calibri" w:hAnsi="Calibri"/>
                <w:b/>
                <w:lang w:val="en-GB"/>
              </w:rPr>
            </w:pPr>
            <w:r w:rsidRPr="00F96974">
              <w:rPr>
                <w:rFonts w:ascii="Calibri" w:hAnsi="Calibri"/>
                <w:b/>
                <w:i/>
                <w:lang w:val="en-GB"/>
              </w:rPr>
              <w:t>Week 6</w:t>
            </w:r>
            <w:r w:rsidRPr="00F96974">
              <w:rPr>
                <w:rFonts w:ascii="Calibri" w:hAnsi="Calibri"/>
                <w:b/>
                <w:lang w:val="en-GB"/>
              </w:rPr>
              <w:t xml:space="preserve">: </w:t>
            </w:r>
            <w:r w:rsidRPr="00F96974">
              <w:rPr>
                <w:rFonts w:ascii="Arial" w:hAnsi="Arial" w:cs="Arial"/>
                <w:b/>
                <w:lang w:val="en-GB"/>
              </w:rPr>
              <w:t xml:space="preserve"> </w:t>
            </w:r>
          </w:p>
        </w:tc>
        <w:tc>
          <w:tcPr>
            <w:tcW w:w="7555" w:type="dxa"/>
          </w:tcPr>
          <w:p w14:paraId="72EF25E3" w14:textId="6BD61F5A" w:rsidR="001F1180" w:rsidRPr="00266811" w:rsidRDefault="00A8045D" w:rsidP="00A8045D">
            <w:pPr>
              <w:spacing w:after="480"/>
              <w:jc w:val="both"/>
              <w:rPr>
                <w:rFonts w:ascii="Calibri" w:hAnsi="Calibri"/>
                <w:lang w:val="en-GB"/>
              </w:rPr>
            </w:pPr>
            <w:r w:rsidRPr="00A8045D">
              <w:rPr>
                <w:rFonts w:ascii="Calibri" w:hAnsi="Calibri"/>
                <w:lang w:val="en-GB"/>
              </w:rPr>
              <w:t xml:space="preserve">Procedural Rights: </w:t>
            </w:r>
            <w:r w:rsidRPr="00A8045D">
              <w:rPr>
                <w:rFonts w:ascii="Calibri" w:hAnsi="Calibri"/>
                <w:lang w:val="en-GB"/>
              </w:rPr>
              <w:t>The "How": Mechanisms for enforcement and participation.</w:t>
            </w:r>
          </w:p>
        </w:tc>
      </w:tr>
      <w:tr w:rsidR="001F1180" w:rsidRPr="00F96974" w14:paraId="08D0D122" w14:textId="77777777" w:rsidTr="00FC253A">
        <w:tc>
          <w:tcPr>
            <w:tcW w:w="1075" w:type="dxa"/>
          </w:tcPr>
          <w:p w14:paraId="5D4F6E36" w14:textId="77777777" w:rsidR="001F1180" w:rsidRPr="00F96974" w:rsidRDefault="001F1180" w:rsidP="001F1180">
            <w:pPr>
              <w:rPr>
                <w:rFonts w:ascii="Calibri" w:hAnsi="Calibri"/>
                <w:b/>
                <w:lang w:val="en-GB"/>
              </w:rPr>
            </w:pPr>
            <w:r w:rsidRPr="00F96974">
              <w:rPr>
                <w:rFonts w:ascii="Calibri" w:hAnsi="Calibri"/>
                <w:b/>
                <w:i/>
                <w:lang w:val="en-GB"/>
              </w:rPr>
              <w:t>Week 7:</w:t>
            </w:r>
            <w:r w:rsidRPr="00F96974">
              <w:rPr>
                <w:rFonts w:ascii="Calibri" w:hAnsi="Calibri"/>
                <w:b/>
                <w:lang w:val="en-GB"/>
              </w:rPr>
              <w:t xml:space="preserve">  </w:t>
            </w:r>
          </w:p>
        </w:tc>
        <w:tc>
          <w:tcPr>
            <w:tcW w:w="7555" w:type="dxa"/>
          </w:tcPr>
          <w:p w14:paraId="4B43F312" w14:textId="0190EE94" w:rsidR="004469F9" w:rsidRPr="00FC253A" w:rsidRDefault="001F1180" w:rsidP="00FC253A">
            <w:pPr>
              <w:rPr>
                <w:rFonts w:ascii="Calibri" w:hAnsi="Calibri"/>
                <w:lang w:val="en-GB"/>
              </w:rPr>
            </w:pPr>
            <w:r>
              <w:rPr>
                <w:rFonts w:ascii="Calibri" w:hAnsi="Calibri"/>
                <w:lang w:val="en-GB"/>
              </w:rPr>
              <w:t>Effect</w:t>
            </w:r>
            <w:r w:rsidR="00FC253A">
              <w:rPr>
                <w:rFonts w:ascii="Calibri" w:hAnsi="Calibri"/>
                <w:lang w:val="en-GB"/>
              </w:rPr>
              <w:t>ive protection of the right to healthy</w:t>
            </w:r>
            <w:r>
              <w:rPr>
                <w:rFonts w:ascii="Calibri" w:hAnsi="Calibri"/>
                <w:lang w:val="en-GB"/>
              </w:rPr>
              <w:t xml:space="preserve"> environment – ordinary and strategic litigation – procedural issues (Aarhus Convention)</w:t>
            </w:r>
          </w:p>
        </w:tc>
      </w:tr>
      <w:tr w:rsidR="001F1180" w:rsidRPr="00F96974" w14:paraId="0966BE6A" w14:textId="77777777" w:rsidTr="00FC253A">
        <w:tc>
          <w:tcPr>
            <w:tcW w:w="1075" w:type="dxa"/>
          </w:tcPr>
          <w:p w14:paraId="4DF3C5CA" w14:textId="77777777" w:rsidR="001F1180" w:rsidRPr="00F96974" w:rsidRDefault="001F1180" w:rsidP="001F1180">
            <w:pPr>
              <w:rPr>
                <w:rFonts w:ascii="Calibri" w:hAnsi="Calibri"/>
                <w:b/>
                <w:lang w:val="en-GB"/>
              </w:rPr>
            </w:pPr>
            <w:r w:rsidRPr="00F96974">
              <w:rPr>
                <w:rFonts w:ascii="Calibri" w:hAnsi="Calibri"/>
                <w:b/>
                <w:i/>
                <w:lang w:val="en-GB"/>
              </w:rPr>
              <w:t>Week 8:</w:t>
            </w:r>
            <w:r w:rsidRPr="00F96974">
              <w:rPr>
                <w:rFonts w:ascii="Calibri" w:hAnsi="Calibri"/>
                <w:b/>
                <w:lang w:val="en-GB"/>
              </w:rPr>
              <w:t xml:space="preserve">  </w:t>
            </w:r>
            <w:r w:rsidRPr="00F96974">
              <w:rPr>
                <w:rFonts w:ascii="Arial" w:hAnsi="Arial" w:cs="Arial"/>
                <w:b/>
                <w:lang w:val="en-GB"/>
              </w:rPr>
              <w:t xml:space="preserve"> </w:t>
            </w:r>
          </w:p>
        </w:tc>
        <w:tc>
          <w:tcPr>
            <w:tcW w:w="7555" w:type="dxa"/>
          </w:tcPr>
          <w:p w14:paraId="1BF7B851" w14:textId="2237911E" w:rsidR="004469F9" w:rsidRPr="004469F9" w:rsidRDefault="001F1180" w:rsidP="00A8045D">
            <w:pPr>
              <w:rPr>
                <w:rFonts w:ascii="Calibri" w:hAnsi="Calibri"/>
                <w:lang w:val="en-GB"/>
              </w:rPr>
            </w:pPr>
            <w:r>
              <w:rPr>
                <w:rFonts w:ascii="Calibri" w:hAnsi="Calibri"/>
                <w:lang w:val="en-GB"/>
              </w:rPr>
              <w:t>Effective protect</w:t>
            </w:r>
            <w:r w:rsidR="00FC253A">
              <w:rPr>
                <w:rFonts w:ascii="Calibri" w:hAnsi="Calibri"/>
                <w:lang w:val="en-GB"/>
              </w:rPr>
              <w:t>ion of the right to healthy</w:t>
            </w:r>
            <w:r>
              <w:rPr>
                <w:rFonts w:ascii="Calibri" w:hAnsi="Calibri"/>
                <w:lang w:val="en-GB"/>
              </w:rPr>
              <w:t xml:space="preserve"> environment – ordinary and strategic litigation – methodological issues</w:t>
            </w:r>
            <w:r w:rsidR="00A8045D">
              <w:rPr>
                <w:rFonts w:ascii="Calibri" w:hAnsi="Calibri"/>
                <w:lang w:val="en-GB"/>
              </w:rPr>
              <w:t xml:space="preserve">&gt; </w:t>
            </w:r>
            <w:r w:rsidR="004469F9" w:rsidRPr="004469F9">
              <w:rPr>
                <w:rFonts w:ascii="Calibri" w:hAnsi="Calibri"/>
              </w:rPr>
              <w:t>Gorraiz Lizarraga</w:t>
            </w:r>
            <w:r w:rsidR="004469F9">
              <w:rPr>
                <w:rFonts w:ascii="Calibri" w:hAnsi="Calibri"/>
              </w:rPr>
              <w:t xml:space="preserve"> and Others v. Spain</w:t>
            </w:r>
          </w:p>
        </w:tc>
      </w:tr>
      <w:tr w:rsidR="001F1180" w:rsidRPr="00F96974" w14:paraId="64ECF815" w14:textId="77777777" w:rsidTr="00FC253A">
        <w:tc>
          <w:tcPr>
            <w:tcW w:w="1075" w:type="dxa"/>
          </w:tcPr>
          <w:p w14:paraId="45A3AAD2" w14:textId="77777777" w:rsidR="001F1180" w:rsidRPr="00F96974" w:rsidRDefault="001F1180" w:rsidP="001F1180">
            <w:pPr>
              <w:rPr>
                <w:rFonts w:ascii="Calibri" w:hAnsi="Calibri"/>
                <w:b/>
                <w:lang w:val="en-GB"/>
              </w:rPr>
            </w:pPr>
            <w:r w:rsidRPr="00F96974">
              <w:rPr>
                <w:rFonts w:ascii="Calibri" w:hAnsi="Calibri"/>
                <w:b/>
                <w:i/>
                <w:lang w:val="en-GB"/>
              </w:rPr>
              <w:t>Week 9:</w:t>
            </w:r>
            <w:r w:rsidRPr="00F96974">
              <w:rPr>
                <w:rFonts w:ascii="Calibri" w:hAnsi="Calibri"/>
                <w:b/>
                <w:lang w:val="en-GB"/>
              </w:rPr>
              <w:t xml:space="preserve">  </w:t>
            </w:r>
          </w:p>
        </w:tc>
        <w:tc>
          <w:tcPr>
            <w:tcW w:w="7555" w:type="dxa"/>
          </w:tcPr>
          <w:p w14:paraId="0AB3E4E5" w14:textId="01E4BFF5" w:rsidR="001F1180" w:rsidRDefault="00A8045D" w:rsidP="00A8045D">
            <w:r>
              <w:t>Comparative Jurisprudence (Seminar)</w:t>
            </w:r>
          </w:p>
          <w:p w14:paraId="60D0A117" w14:textId="714A78B4" w:rsidR="00A8045D" w:rsidRDefault="00A8045D" w:rsidP="00A8045D">
            <w:pPr>
              <w:pStyle w:val="NormalWeb"/>
              <w:numPr>
                <w:ilvl w:val="0"/>
                <w:numId w:val="10"/>
              </w:numPr>
              <w:spacing w:before="0" w:beforeAutospacing="0" w:after="0" w:afterAutospacing="0"/>
            </w:pPr>
            <w:r>
              <w:rPr>
                <w:b/>
                <w:bCs/>
              </w:rPr>
              <w:t>Colombia:</w:t>
            </w:r>
            <w:r>
              <w:t xml:space="preserve"> </w:t>
            </w:r>
            <w:r>
              <w:rPr>
                <w:i/>
                <w:iCs/>
              </w:rPr>
              <w:t>Future Generations v. Ministry of the Environment</w:t>
            </w:r>
          </w:p>
          <w:p w14:paraId="3EC0C8BF" w14:textId="30AFD683" w:rsidR="00A8045D" w:rsidRDefault="00A8045D" w:rsidP="00A8045D">
            <w:pPr>
              <w:pStyle w:val="NormalWeb"/>
              <w:numPr>
                <w:ilvl w:val="0"/>
                <w:numId w:val="10"/>
              </w:numPr>
              <w:spacing w:before="0" w:beforeAutospacing="0" w:after="0" w:afterAutospacing="0"/>
            </w:pPr>
            <w:r>
              <w:rPr>
                <w:b/>
                <w:bCs/>
              </w:rPr>
              <w:t>France:</w:t>
            </w:r>
            <w:r>
              <w:t xml:space="preserve"> </w:t>
            </w:r>
            <w:r>
              <w:rPr>
                <w:i/>
                <w:iCs/>
              </w:rPr>
              <w:t>The Century Case (L'Affaire du Siècle)</w:t>
            </w:r>
          </w:p>
          <w:p w14:paraId="04E2159E" w14:textId="64C53D2C" w:rsidR="00A8045D" w:rsidRDefault="00A8045D" w:rsidP="00A8045D">
            <w:pPr>
              <w:pStyle w:val="NormalWeb"/>
              <w:numPr>
                <w:ilvl w:val="0"/>
                <w:numId w:val="10"/>
              </w:numPr>
              <w:spacing w:before="0" w:beforeAutospacing="0" w:after="0" w:afterAutospacing="0"/>
            </w:pPr>
            <w:r>
              <w:rPr>
                <w:b/>
                <w:bCs/>
              </w:rPr>
              <w:t>Germany:</w:t>
            </w:r>
            <w:r>
              <w:t xml:space="preserve"> </w:t>
            </w:r>
            <w:r>
              <w:rPr>
                <w:i/>
                <w:iCs/>
              </w:rPr>
              <w:t>Neubauer et al. v. Germany</w:t>
            </w:r>
          </w:p>
          <w:p w14:paraId="7063F3C9" w14:textId="7DC8BC2A" w:rsidR="00A8045D" w:rsidRDefault="00A8045D" w:rsidP="00A8045D">
            <w:pPr>
              <w:pStyle w:val="NormalWeb"/>
              <w:numPr>
                <w:ilvl w:val="0"/>
                <w:numId w:val="10"/>
              </w:numPr>
              <w:spacing w:before="0" w:beforeAutospacing="0" w:after="0" w:afterAutospacing="0"/>
            </w:pPr>
            <w:r>
              <w:rPr>
                <w:b/>
                <w:bCs/>
              </w:rPr>
              <w:t>Ireland:</w:t>
            </w:r>
            <w:r>
              <w:t xml:space="preserve"> </w:t>
            </w:r>
            <w:r>
              <w:rPr>
                <w:i/>
                <w:iCs/>
              </w:rPr>
              <w:t>Friends of the Irish Environment v. Government of Ireland</w:t>
            </w:r>
          </w:p>
          <w:p w14:paraId="458C585C" w14:textId="18E788C7" w:rsidR="00A8045D" w:rsidRDefault="00A8045D" w:rsidP="00A8045D">
            <w:pPr>
              <w:pStyle w:val="NormalWeb"/>
              <w:numPr>
                <w:ilvl w:val="0"/>
                <w:numId w:val="10"/>
              </w:numPr>
              <w:spacing w:before="0" w:beforeAutospacing="0" w:after="0" w:afterAutospacing="0"/>
            </w:pPr>
            <w:r>
              <w:rPr>
                <w:b/>
                <w:bCs/>
              </w:rPr>
              <w:t>Netherlands:</w:t>
            </w:r>
            <w:r>
              <w:t xml:space="preserve"> </w:t>
            </w:r>
            <w:r>
              <w:rPr>
                <w:i/>
                <w:iCs/>
              </w:rPr>
              <w:t>Urgenda Foundation v. State of the Netherlands</w:t>
            </w:r>
            <w:bookmarkStart w:id="0" w:name="_GoBack"/>
            <w:bookmarkEnd w:id="0"/>
          </w:p>
          <w:p w14:paraId="3FA4C7DC" w14:textId="77777777" w:rsidR="00A8045D" w:rsidRDefault="00A8045D" w:rsidP="00A8045D"/>
          <w:p w14:paraId="32DD0A9D" w14:textId="29AA70BE" w:rsidR="00A8045D" w:rsidRPr="00266811" w:rsidRDefault="00A8045D" w:rsidP="00A8045D">
            <w:pPr>
              <w:rPr>
                <w:rFonts w:ascii="Calibri" w:hAnsi="Calibri"/>
                <w:lang w:val="en-GB"/>
              </w:rPr>
            </w:pPr>
          </w:p>
        </w:tc>
      </w:tr>
      <w:tr w:rsidR="001F1180" w:rsidRPr="00F96974" w14:paraId="7CC02CD9" w14:textId="77777777" w:rsidTr="00FC253A">
        <w:tc>
          <w:tcPr>
            <w:tcW w:w="1075" w:type="dxa"/>
          </w:tcPr>
          <w:p w14:paraId="71F62FAB" w14:textId="77777777" w:rsidR="001F1180" w:rsidRPr="00F96974" w:rsidRDefault="001F1180" w:rsidP="001F1180">
            <w:pPr>
              <w:rPr>
                <w:rFonts w:ascii="Calibri" w:hAnsi="Calibri"/>
                <w:b/>
                <w:i/>
                <w:lang w:val="en-GB"/>
              </w:rPr>
            </w:pPr>
            <w:r w:rsidRPr="00F96974">
              <w:rPr>
                <w:rFonts w:ascii="Calibri" w:hAnsi="Calibri"/>
                <w:b/>
                <w:i/>
                <w:lang w:val="en-GB"/>
              </w:rPr>
              <w:t xml:space="preserve">Week 10: </w:t>
            </w:r>
            <w:r w:rsidRPr="00F96974">
              <w:rPr>
                <w:rFonts w:ascii="Arial" w:hAnsi="Arial" w:cs="Arial"/>
                <w:b/>
                <w:lang w:val="en-GB"/>
              </w:rPr>
              <w:t xml:space="preserve"> </w:t>
            </w:r>
          </w:p>
        </w:tc>
        <w:tc>
          <w:tcPr>
            <w:tcW w:w="7555" w:type="dxa"/>
          </w:tcPr>
          <w:p w14:paraId="0C8F9E7F" w14:textId="5212C6E7" w:rsidR="001F1180" w:rsidRPr="00266811" w:rsidRDefault="001F1180" w:rsidP="001F1180">
            <w:pPr>
              <w:rPr>
                <w:rFonts w:ascii="Calibri" w:hAnsi="Calibri"/>
                <w:lang w:val="en-GB"/>
              </w:rPr>
            </w:pPr>
            <w:r>
              <w:rPr>
                <w:rFonts w:ascii="Calibri" w:hAnsi="Calibri"/>
                <w:lang w:val="en-GB"/>
              </w:rPr>
              <w:t>Seminar on case-law of domestic and supranational courts</w:t>
            </w:r>
            <w:r w:rsidR="00A8045D">
              <w:rPr>
                <w:rFonts w:ascii="Calibri" w:hAnsi="Calibri"/>
                <w:lang w:val="en-GB"/>
              </w:rPr>
              <w:t xml:space="preserve"> </w:t>
            </w:r>
          </w:p>
        </w:tc>
      </w:tr>
      <w:tr w:rsidR="001F1180" w:rsidRPr="00F96974" w14:paraId="5F4E8A28" w14:textId="77777777" w:rsidTr="00FC253A">
        <w:tc>
          <w:tcPr>
            <w:tcW w:w="1075" w:type="dxa"/>
          </w:tcPr>
          <w:p w14:paraId="7385824E" w14:textId="77777777" w:rsidR="001F1180" w:rsidRPr="00F96974" w:rsidRDefault="001F1180" w:rsidP="001F1180">
            <w:pPr>
              <w:rPr>
                <w:rFonts w:ascii="Calibri" w:hAnsi="Calibri"/>
                <w:b/>
                <w:i/>
                <w:lang w:val="en-GB"/>
              </w:rPr>
            </w:pPr>
            <w:r w:rsidRPr="00F96974">
              <w:rPr>
                <w:rFonts w:ascii="Calibri" w:hAnsi="Calibri"/>
                <w:b/>
                <w:i/>
                <w:lang w:val="en-GB"/>
              </w:rPr>
              <w:t>Week 11</w:t>
            </w:r>
            <w:r w:rsidRPr="00F96974">
              <w:rPr>
                <w:rFonts w:ascii="Calibri" w:hAnsi="Calibri"/>
                <w:b/>
                <w:lang w:val="en-GB"/>
              </w:rPr>
              <w:t xml:space="preserve">: </w:t>
            </w:r>
          </w:p>
        </w:tc>
        <w:tc>
          <w:tcPr>
            <w:tcW w:w="7555" w:type="dxa"/>
          </w:tcPr>
          <w:p w14:paraId="63E4E5BE" w14:textId="1A84A18B" w:rsidR="00C638E0" w:rsidRPr="00FC253A" w:rsidRDefault="00FC253A" w:rsidP="00FC253A">
            <w:pPr>
              <w:rPr>
                <w:rFonts w:ascii="Calibri" w:hAnsi="Calibri"/>
                <w:lang w:val="en-GB"/>
              </w:rPr>
            </w:pPr>
            <w:r w:rsidRPr="00FC253A">
              <w:rPr>
                <w:rFonts w:ascii="Calibri" w:hAnsi="Calibri"/>
                <w:lang w:val="en-GB"/>
              </w:rPr>
              <w:t>Environmental claims without explicit right to healthy environment (ECHR jurisprudence)</w:t>
            </w:r>
            <w:r>
              <w:rPr>
                <w:rFonts w:ascii="Calibri" w:hAnsi="Calibri"/>
                <w:lang w:val="en-GB"/>
              </w:rPr>
              <w:t xml:space="preserve"> </w:t>
            </w:r>
            <w:r w:rsidR="001F1180">
              <w:rPr>
                <w:rFonts w:ascii="Calibri" w:hAnsi="Calibri"/>
                <w:lang w:val="en-GB"/>
              </w:rPr>
              <w:t>(Hatton,</w:t>
            </w:r>
            <w:r w:rsidR="001F1180" w:rsidRPr="001F1180">
              <w:rPr>
                <w:rFonts w:ascii="Arial" w:hAnsi="Arial" w:cs="Arial"/>
                <w:color w:val="000000"/>
                <w:shd w:val="clear" w:color="auto" w:fill="FFFFFF"/>
              </w:rPr>
              <w:t xml:space="preserve"> </w:t>
            </w:r>
            <w:r w:rsidR="001F1180" w:rsidRPr="001F1180">
              <w:rPr>
                <w:rFonts w:ascii="Calibri" w:hAnsi="Calibri"/>
              </w:rPr>
              <w:t>Öneryıldız</w:t>
            </w:r>
            <w:r w:rsidR="001F1180">
              <w:rPr>
                <w:rFonts w:ascii="Calibri" w:hAnsi="Calibri"/>
              </w:rPr>
              <w:t>, Budayeva and others, Tatar, Guerra and others</w:t>
            </w:r>
            <w:r w:rsidR="001F1180">
              <w:rPr>
                <w:rFonts w:ascii="Calibri" w:hAnsi="Calibri"/>
                <w:lang w:val="en-GB"/>
              </w:rPr>
              <w:t>)</w:t>
            </w:r>
          </w:p>
        </w:tc>
      </w:tr>
      <w:tr w:rsidR="001F1180" w:rsidRPr="00F96974" w14:paraId="29EBC7F3" w14:textId="77777777" w:rsidTr="00FC253A">
        <w:tc>
          <w:tcPr>
            <w:tcW w:w="1075" w:type="dxa"/>
          </w:tcPr>
          <w:p w14:paraId="6316FC18" w14:textId="77777777" w:rsidR="001F1180" w:rsidRPr="003F2FE3" w:rsidRDefault="001F1180" w:rsidP="001F1180">
            <w:pPr>
              <w:rPr>
                <w:rFonts w:ascii="Calibri" w:hAnsi="Calibri"/>
                <w:b/>
                <w:lang w:val="en-GB"/>
              </w:rPr>
            </w:pPr>
            <w:r w:rsidRPr="00F96974">
              <w:rPr>
                <w:rFonts w:ascii="Calibri" w:hAnsi="Calibri"/>
                <w:b/>
                <w:i/>
                <w:lang w:val="en-GB"/>
              </w:rPr>
              <w:t>Week 12</w:t>
            </w:r>
            <w:r>
              <w:rPr>
                <w:rFonts w:ascii="Calibri" w:hAnsi="Calibri"/>
                <w:b/>
                <w:lang w:val="en-GB"/>
              </w:rPr>
              <w:t>:</w:t>
            </w:r>
          </w:p>
        </w:tc>
        <w:tc>
          <w:tcPr>
            <w:tcW w:w="7555" w:type="dxa"/>
          </w:tcPr>
          <w:p w14:paraId="03D1FD37" w14:textId="35BC7793" w:rsidR="001F1180" w:rsidRPr="00266811" w:rsidRDefault="00E337F0" w:rsidP="001F1180">
            <w:pPr>
              <w:rPr>
                <w:rFonts w:ascii="Calibri" w:hAnsi="Calibri"/>
                <w:lang w:val="en-GB"/>
              </w:rPr>
            </w:pPr>
            <w:r w:rsidRPr="00E337F0">
              <w:rPr>
                <w:rFonts w:ascii="Calibri" w:hAnsi="Calibri"/>
                <w:lang w:val="en-GB"/>
              </w:rPr>
              <w:t>Environmental claims without explicit right to healthy environment (ECHR jurisprudence)</w:t>
            </w:r>
            <w:r>
              <w:rPr>
                <w:rFonts w:ascii="Calibri" w:hAnsi="Calibri"/>
                <w:lang w:val="en-GB"/>
              </w:rPr>
              <w:t xml:space="preserve"> </w:t>
            </w:r>
            <w:r w:rsidR="001F1180">
              <w:rPr>
                <w:rFonts w:ascii="Calibri" w:hAnsi="Calibri"/>
                <w:lang w:val="en-GB"/>
              </w:rPr>
              <w:t>(Hatton,</w:t>
            </w:r>
            <w:r w:rsidR="001F1180" w:rsidRPr="001F1180">
              <w:rPr>
                <w:rFonts w:ascii="Arial" w:hAnsi="Arial" w:cs="Arial"/>
                <w:color w:val="000000"/>
                <w:shd w:val="clear" w:color="auto" w:fill="FFFFFF"/>
              </w:rPr>
              <w:t xml:space="preserve"> </w:t>
            </w:r>
            <w:r w:rsidR="001F1180" w:rsidRPr="001F1180">
              <w:rPr>
                <w:rFonts w:ascii="Calibri" w:hAnsi="Calibri"/>
              </w:rPr>
              <w:t>Öneryıldız</w:t>
            </w:r>
            <w:r w:rsidR="001F1180">
              <w:rPr>
                <w:rFonts w:ascii="Calibri" w:hAnsi="Calibri"/>
              </w:rPr>
              <w:t>, Budayeva and others, Tatar, Guerra and others</w:t>
            </w:r>
            <w:r w:rsidR="001F1180">
              <w:rPr>
                <w:rFonts w:ascii="Calibri" w:hAnsi="Calibri"/>
                <w:lang w:val="en-GB"/>
              </w:rPr>
              <w:t>) ctd.</w:t>
            </w:r>
          </w:p>
        </w:tc>
      </w:tr>
      <w:tr w:rsidR="001F1180" w:rsidRPr="00F96974" w14:paraId="464185CD" w14:textId="77777777" w:rsidTr="00FC253A">
        <w:tc>
          <w:tcPr>
            <w:tcW w:w="1075" w:type="dxa"/>
          </w:tcPr>
          <w:p w14:paraId="55628C1E" w14:textId="77777777" w:rsidR="001F1180" w:rsidRPr="00F96974" w:rsidRDefault="001F1180" w:rsidP="001F1180">
            <w:pPr>
              <w:rPr>
                <w:rFonts w:ascii="Calibri" w:hAnsi="Calibri"/>
                <w:b/>
                <w:i/>
                <w:lang w:val="en-GB"/>
              </w:rPr>
            </w:pPr>
            <w:r w:rsidRPr="00F96974">
              <w:rPr>
                <w:rFonts w:ascii="Calibri" w:hAnsi="Calibri"/>
                <w:b/>
                <w:i/>
                <w:lang w:val="en-GB"/>
              </w:rPr>
              <w:t>Week 13</w:t>
            </w:r>
            <w:r w:rsidRPr="00F96974">
              <w:rPr>
                <w:rFonts w:ascii="Calibri" w:hAnsi="Calibri"/>
                <w:b/>
                <w:lang w:val="en-GB"/>
              </w:rPr>
              <w:t>:</w:t>
            </w:r>
            <w:r w:rsidRPr="00F96974">
              <w:rPr>
                <w:rFonts w:ascii="Arial" w:hAnsi="Arial" w:cs="Arial"/>
                <w:b/>
                <w:lang w:val="en-GB"/>
              </w:rPr>
              <w:t xml:space="preserve"> </w:t>
            </w:r>
          </w:p>
        </w:tc>
        <w:tc>
          <w:tcPr>
            <w:tcW w:w="7555" w:type="dxa"/>
          </w:tcPr>
          <w:p w14:paraId="40A648BE" w14:textId="48D07781" w:rsidR="006434B7" w:rsidRPr="00E337F0" w:rsidRDefault="00E337F0" w:rsidP="00E337F0">
            <w:pPr>
              <w:jc w:val="both"/>
              <w:rPr>
                <w:rFonts w:ascii="Calibri" w:hAnsi="Calibri"/>
                <w:lang w:val="en-GB"/>
              </w:rPr>
            </w:pPr>
            <w:r w:rsidRPr="00E337F0">
              <w:rPr>
                <w:rFonts w:ascii="Calibri" w:hAnsi="Calibri"/>
                <w:lang w:val="en-GB"/>
              </w:rPr>
              <w:t>Marginalised/vulnerable groups; environmental justice and rights of indigenous peoples</w:t>
            </w:r>
          </w:p>
        </w:tc>
      </w:tr>
      <w:tr w:rsidR="001F1180" w:rsidRPr="00F96974" w14:paraId="5F1E0785" w14:textId="77777777" w:rsidTr="00FC253A">
        <w:tc>
          <w:tcPr>
            <w:tcW w:w="1075" w:type="dxa"/>
          </w:tcPr>
          <w:p w14:paraId="5AB6EF13" w14:textId="77777777" w:rsidR="001F1180" w:rsidRPr="00F96974" w:rsidRDefault="001F1180" w:rsidP="001F1180">
            <w:pPr>
              <w:rPr>
                <w:rFonts w:ascii="Calibri" w:hAnsi="Calibri"/>
                <w:b/>
                <w:i/>
                <w:lang w:val="en-GB"/>
              </w:rPr>
            </w:pPr>
            <w:r w:rsidRPr="00F96974">
              <w:rPr>
                <w:rFonts w:ascii="Calibri" w:hAnsi="Calibri"/>
                <w:b/>
                <w:i/>
                <w:lang w:val="en-GB"/>
              </w:rPr>
              <w:lastRenderedPageBreak/>
              <w:t>Week 14</w:t>
            </w:r>
            <w:r w:rsidRPr="00F96974">
              <w:rPr>
                <w:rFonts w:ascii="Calibri" w:hAnsi="Calibri"/>
                <w:b/>
                <w:lang w:val="en-GB"/>
              </w:rPr>
              <w:t xml:space="preserve">: </w:t>
            </w:r>
          </w:p>
        </w:tc>
        <w:tc>
          <w:tcPr>
            <w:tcW w:w="7555" w:type="dxa"/>
          </w:tcPr>
          <w:p w14:paraId="36FE916E" w14:textId="76E7054B" w:rsidR="001F1180" w:rsidRPr="00266811" w:rsidRDefault="001F1180" w:rsidP="00E337F0">
            <w:pPr>
              <w:rPr>
                <w:rFonts w:ascii="Calibri" w:hAnsi="Calibri"/>
                <w:lang w:val="en-GB"/>
              </w:rPr>
            </w:pPr>
            <w:r>
              <w:rPr>
                <w:rFonts w:ascii="Calibri" w:hAnsi="Calibri"/>
                <w:lang w:val="en-GB"/>
              </w:rPr>
              <w:t>The impact of climate change / environmental disasters on human rights (including the need/possibility to derogate from human rights obligations)</w:t>
            </w:r>
            <w:r w:rsidR="00AF245F">
              <w:rPr>
                <w:rFonts w:ascii="Calibri" w:hAnsi="Calibri"/>
                <w:lang w:val="en-GB"/>
              </w:rPr>
              <w:t>. (ECHR:</w:t>
            </w:r>
            <w:r w:rsidR="004156E2" w:rsidRPr="004156E2">
              <w:t xml:space="preserve"> </w:t>
            </w:r>
            <w:r w:rsidR="004156E2" w:rsidRPr="004156E2">
              <w:rPr>
                <w:rFonts w:ascii="Calibri" w:hAnsi="Calibri"/>
              </w:rPr>
              <w:t>Duarte Agostinho and Others v. Portugal and Others</w:t>
            </w:r>
            <w:r w:rsidR="004156E2">
              <w:rPr>
                <w:rFonts w:ascii="Calibri" w:hAnsi="Calibri"/>
              </w:rPr>
              <w:t>,</w:t>
            </w:r>
            <w:r w:rsidR="004156E2" w:rsidRPr="004156E2">
              <w:t xml:space="preserve"> </w:t>
            </w:r>
            <w:r w:rsidR="004156E2" w:rsidRPr="004156E2">
              <w:rPr>
                <w:rFonts w:ascii="Calibri" w:hAnsi="Calibri"/>
              </w:rPr>
              <w:t>Verein KlimaSeniorinnen Schweiz and others v. Switzerland</w:t>
            </w:r>
            <w:r w:rsidR="004156E2">
              <w:rPr>
                <w:rFonts w:ascii="Calibri" w:hAnsi="Calibri"/>
              </w:rPr>
              <w:t>, etc.</w:t>
            </w:r>
            <w:r w:rsidR="00AF245F">
              <w:rPr>
                <w:rFonts w:ascii="Calibri" w:hAnsi="Calibri"/>
                <w:lang w:val="en-GB"/>
              </w:rPr>
              <w:t>)</w:t>
            </w:r>
          </w:p>
        </w:tc>
      </w:tr>
      <w:tr w:rsidR="001F1180" w:rsidRPr="00F96974" w14:paraId="5EB22E60" w14:textId="77777777" w:rsidTr="00FC253A">
        <w:tc>
          <w:tcPr>
            <w:tcW w:w="1075" w:type="dxa"/>
          </w:tcPr>
          <w:p w14:paraId="1E135C00" w14:textId="77777777" w:rsidR="001F1180" w:rsidRPr="00F96974" w:rsidRDefault="001F1180" w:rsidP="001F1180">
            <w:pPr>
              <w:rPr>
                <w:rFonts w:ascii="Calibri" w:hAnsi="Calibri"/>
                <w:b/>
                <w:i/>
                <w:lang w:val="en-GB"/>
              </w:rPr>
            </w:pPr>
            <w:r w:rsidRPr="00F96974">
              <w:rPr>
                <w:rFonts w:ascii="Calibri" w:hAnsi="Calibri"/>
                <w:b/>
                <w:i/>
                <w:lang w:val="en-GB"/>
              </w:rPr>
              <w:t>Week 15</w:t>
            </w:r>
            <w:r w:rsidRPr="00F96974">
              <w:rPr>
                <w:rFonts w:ascii="Calibri" w:hAnsi="Calibri"/>
                <w:b/>
                <w:lang w:val="en-GB"/>
              </w:rPr>
              <w:t xml:space="preserve">:   </w:t>
            </w:r>
          </w:p>
        </w:tc>
        <w:tc>
          <w:tcPr>
            <w:tcW w:w="7555" w:type="dxa"/>
          </w:tcPr>
          <w:p w14:paraId="67BD27F1" w14:textId="2191A289" w:rsidR="001F1180" w:rsidRPr="00266811" w:rsidRDefault="001F1180" w:rsidP="001F1180">
            <w:pPr>
              <w:rPr>
                <w:rFonts w:ascii="Calibri" w:hAnsi="Calibri"/>
                <w:lang w:val="en-GB"/>
              </w:rPr>
            </w:pPr>
            <w:r>
              <w:rPr>
                <w:rFonts w:ascii="Calibri" w:hAnsi="Calibri"/>
                <w:lang w:val="en-GB"/>
              </w:rPr>
              <w:t>Review of the course / final exam</w:t>
            </w:r>
          </w:p>
        </w:tc>
      </w:tr>
    </w:tbl>
    <w:p w14:paraId="74AA134E" w14:textId="77777777" w:rsidR="00E64552" w:rsidRPr="00F96974" w:rsidRDefault="00E64552" w:rsidP="00E64552">
      <w:pPr>
        <w:jc w:val="center"/>
        <w:rPr>
          <w:rFonts w:ascii="Calibri" w:hAnsi="Calibr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64552" w:rsidRPr="00F96974" w14:paraId="72A42811" w14:textId="77777777" w:rsidTr="00015BE6">
        <w:tc>
          <w:tcPr>
            <w:tcW w:w="8856" w:type="dxa"/>
            <w:shd w:val="clear" w:color="auto" w:fill="D9D9D9"/>
          </w:tcPr>
          <w:p w14:paraId="3BB38FE5" w14:textId="77777777" w:rsidR="00E64552" w:rsidRPr="00F96974" w:rsidRDefault="00E64552" w:rsidP="00015BE6">
            <w:pPr>
              <w:tabs>
                <w:tab w:val="left" w:pos="2340"/>
                <w:tab w:val="center" w:pos="4320"/>
              </w:tabs>
              <w:rPr>
                <w:rFonts w:ascii="Calibri" w:hAnsi="Calibri"/>
                <w:b/>
                <w:lang w:val="en-GB"/>
              </w:rPr>
            </w:pPr>
            <w:r w:rsidRPr="00F96974">
              <w:rPr>
                <w:rFonts w:ascii="Calibri" w:hAnsi="Calibri"/>
                <w:b/>
                <w:lang w:val="en-GB"/>
              </w:rPr>
              <w:tab/>
            </w:r>
            <w:r w:rsidRPr="00F96974">
              <w:rPr>
                <w:rFonts w:ascii="Calibri" w:hAnsi="Calibri"/>
                <w:b/>
                <w:lang w:val="en-GB"/>
              </w:rPr>
              <w:tab/>
              <w:t>Academic policies and rules of conduct:</w:t>
            </w:r>
          </w:p>
        </w:tc>
      </w:tr>
      <w:tr w:rsidR="00E64552" w:rsidRPr="00F96974" w14:paraId="3D96C6AD" w14:textId="77777777" w:rsidTr="00015BE6">
        <w:trPr>
          <w:trHeight w:val="1088"/>
        </w:trPr>
        <w:tc>
          <w:tcPr>
            <w:tcW w:w="8856" w:type="dxa"/>
          </w:tcPr>
          <w:p w14:paraId="1EA21940" w14:textId="77777777" w:rsidR="00E64552" w:rsidRPr="00F96974" w:rsidRDefault="00E64552" w:rsidP="00015BE6">
            <w:pPr>
              <w:rPr>
                <w:rFonts w:ascii="Calibri" w:hAnsi="Calibri"/>
                <w:b/>
                <w:i/>
                <w:sz w:val="22"/>
                <w:szCs w:val="22"/>
                <w:lang w:val="en-GB"/>
              </w:rPr>
            </w:pPr>
          </w:p>
          <w:p w14:paraId="13A3E55B" w14:textId="77777777" w:rsidR="00E337F0" w:rsidRPr="00E337F0" w:rsidRDefault="00E337F0" w:rsidP="00E337F0">
            <w:pPr>
              <w:numPr>
                <w:ilvl w:val="0"/>
                <w:numId w:val="4"/>
              </w:numPr>
              <w:rPr>
                <w:rFonts w:ascii="Calibri" w:hAnsi="Calibri"/>
                <w:lang w:val="en-GB"/>
              </w:rPr>
            </w:pPr>
            <w:r w:rsidRPr="00E337F0">
              <w:rPr>
                <w:rFonts w:ascii="Calibri" w:hAnsi="Calibri"/>
                <w:lang w:val="en-GB"/>
              </w:rPr>
              <w:t>Regular attendance and participation required</w:t>
            </w:r>
          </w:p>
          <w:p w14:paraId="2627828F" w14:textId="77777777" w:rsidR="00E337F0" w:rsidRPr="00E337F0" w:rsidRDefault="00E337F0" w:rsidP="00E337F0">
            <w:pPr>
              <w:numPr>
                <w:ilvl w:val="0"/>
                <w:numId w:val="4"/>
              </w:numPr>
              <w:rPr>
                <w:rFonts w:ascii="Calibri" w:hAnsi="Calibri"/>
                <w:lang w:val="en-GB"/>
              </w:rPr>
            </w:pPr>
            <w:r w:rsidRPr="00E337F0">
              <w:rPr>
                <w:rFonts w:ascii="Calibri" w:hAnsi="Calibri"/>
                <w:lang w:val="en-GB"/>
              </w:rPr>
              <w:t>Academic integrity and ethical behavior mandatory</w:t>
            </w:r>
          </w:p>
          <w:p w14:paraId="2A41FE67" w14:textId="77777777" w:rsidR="00E337F0" w:rsidRPr="00E337F0" w:rsidRDefault="00E337F0" w:rsidP="00E337F0">
            <w:pPr>
              <w:numPr>
                <w:ilvl w:val="0"/>
                <w:numId w:val="4"/>
              </w:numPr>
              <w:rPr>
                <w:rFonts w:ascii="Calibri" w:hAnsi="Calibri"/>
                <w:lang w:val="en-GB"/>
              </w:rPr>
            </w:pPr>
            <w:r w:rsidRPr="00E337F0">
              <w:rPr>
                <w:rFonts w:ascii="Calibri" w:hAnsi="Calibri"/>
                <w:lang w:val="en-GB"/>
              </w:rPr>
              <w:t>Plagiarism or academic dishonesty results in disqualification from assessment</w:t>
            </w:r>
          </w:p>
          <w:p w14:paraId="4BAF7681" w14:textId="0D228454" w:rsidR="003F2FE3" w:rsidRPr="00E337F0" w:rsidRDefault="00E337F0" w:rsidP="00E337F0">
            <w:pPr>
              <w:numPr>
                <w:ilvl w:val="0"/>
                <w:numId w:val="4"/>
              </w:numPr>
              <w:rPr>
                <w:rFonts w:ascii="Calibri" w:hAnsi="Calibri"/>
                <w:lang w:val="en-GB"/>
              </w:rPr>
            </w:pPr>
            <w:r w:rsidRPr="00E337F0">
              <w:rPr>
                <w:rFonts w:ascii="Calibri" w:hAnsi="Calibri"/>
                <w:lang w:val="en-GB"/>
              </w:rPr>
              <w:t>Respectful, inclusive classroom environment encouraged</w:t>
            </w:r>
          </w:p>
          <w:p w14:paraId="25620CEE" w14:textId="77777777" w:rsidR="00E64552" w:rsidRPr="00F96974" w:rsidRDefault="00E64552" w:rsidP="003F2FE3">
            <w:pPr>
              <w:ind w:left="720"/>
              <w:rPr>
                <w:rFonts w:ascii="Calibri" w:hAnsi="Calibri"/>
                <w:b/>
                <w:i/>
                <w:sz w:val="22"/>
                <w:szCs w:val="22"/>
                <w:lang w:val="en-GB"/>
              </w:rPr>
            </w:pPr>
          </w:p>
        </w:tc>
      </w:tr>
    </w:tbl>
    <w:p w14:paraId="5C50A7DF" w14:textId="77777777" w:rsidR="00E64552" w:rsidRPr="00F96974" w:rsidRDefault="00E64552" w:rsidP="00E64552">
      <w:pPr>
        <w:rPr>
          <w:rFonts w:ascii="Calibri" w:hAnsi="Calibri"/>
          <w:b/>
          <w:sz w:val="28"/>
          <w:szCs w:val="28"/>
          <w:lang w:val="en-GB"/>
        </w:rPr>
      </w:pPr>
    </w:p>
    <w:p w14:paraId="1D450BBA" w14:textId="77777777" w:rsidR="00E64552" w:rsidRPr="00F96974" w:rsidRDefault="00E64552" w:rsidP="00E64552">
      <w:pPr>
        <w:rPr>
          <w:rFonts w:ascii="Calibri" w:hAnsi="Calibri"/>
          <w:b/>
          <w:sz w:val="28"/>
          <w:szCs w:val="28"/>
          <w:lang w:val="en-GB"/>
        </w:rPr>
      </w:pPr>
    </w:p>
    <w:p w14:paraId="7CDF9FC1" w14:textId="77777777" w:rsidR="00035938" w:rsidRDefault="00035938"/>
    <w:sectPr w:rsidR="0003593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C5D40" w14:textId="77777777" w:rsidR="00EF02D0" w:rsidRDefault="00EF02D0">
      <w:r>
        <w:separator/>
      </w:r>
    </w:p>
  </w:endnote>
  <w:endnote w:type="continuationSeparator" w:id="0">
    <w:p w14:paraId="2C7EB247" w14:textId="77777777" w:rsidR="00EF02D0" w:rsidRDefault="00EF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9C88" w14:textId="77777777" w:rsidR="001752B9" w:rsidRDefault="003F2FE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BFB8D" w14:textId="77777777" w:rsidR="001752B9" w:rsidRDefault="00EF02D0"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B8B4" w14:textId="6E94F11E" w:rsidR="001752B9" w:rsidRDefault="003F2FE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E4C">
      <w:rPr>
        <w:rStyle w:val="PageNumber"/>
        <w:noProof/>
      </w:rPr>
      <w:t>1</w:t>
    </w:r>
    <w:r>
      <w:rPr>
        <w:rStyle w:val="PageNumber"/>
      </w:rPr>
      <w:fldChar w:fldCharType="end"/>
    </w:r>
  </w:p>
  <w:p w14:paraId="3767DEC8" w14:textId="77777777" w:rsidR="001752B9" w:rsidRDefault="00EF02D0"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DA56" w14:textId="77777777" w:rsidR="00EF02D0" w:rsidRDefault="00EF02D0">
      <w:r>
        <w:separator/>
      </w:r>
    </w:p>
  </w:footnote>
  <w:footnote w:type="continuationSeparator" w:id="0">
    <w:p w14:paraId="5897AA5B" w14:textId="77777777" w:rsidR="00EF02D0" w:rsidRDefault="00EF0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1B8"/>
    <w:multiLevelType w:val="hybridMultilevel"/>
    <w:tmpl w:val="7A904DA6"/>
    <w:lvl w:ilvl="0" w:tplc="FA44AC5A">
      <w:start w:val="34"/>
      <w:numFmt w:val="bullet"/>
      <w:lvlText w:val="-"/>
      <w:lvlJc w:val="left"/>
      <w:pPr>
        <w:ind w:left="360" w:hanging="360"/>
      </w:pPr>
      <w:rPr>
        <w:rFonts w:ascii="Calibri" w:eastAsia="Times New Roman"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15:restartNumberingAfterBreak="0">
    <w:nsid w:val="0A6D2DD0"/>
    <w:multiLevelType w:val="hybridMultilevel"/>
    <w:tmpl w:val="9454D3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24D6F"/>
    <w:multiLevelType w:val="hybridMultilevel"/>
    <w:tmpl w:val="77961590"/>
    <w:lvl w:ilvl="0" w:tplc="3814D792">
      <w:start w:val="3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7A69FA"/>
    <w:multiLevelType w:val="hybridMultilevel"/>
    <w:tmpl w:val="2F567190"/>
    <w:lvl w:ilvl="0" w:tplc="9D80CA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B6E84"/>
    <w:multiLevelType w:val="hybridMultilevel"/>
    <w:tmpl w:val="FBF2FC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16E8"/>
    <w:multiLevelType w:val="hybridMultilevel"/>
    <w:tmpl w:val="D194CC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45A72"/>
    <w:multiLevelType w:val="hybridMultilevel"/>
    <w:tmpl w:val="A19A2EA8"/>
    <w:lvl w:ilvl="0" w:tplc="041C0001">
      <w:start w:val="1"/>
      <w:numFmt w:val="bullet"/>
      <w:lvlText w:val=""/>
      <w:lvlJc w:val="left"/>
      <w:pPr>
        <w:ind w:left="360" w:hanging="360"/>
      </w:pPr>
      <w:rPr>
        <w:rFonts w:ascii="Symbol" w:eastAsia="Times New Roman" w:hAnsi="Symbol"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57D24D82"/>
    <w:multiLevelType w:val="hybridMultilevel"/>
    <w:tmpl w:val="A33239D2"/>
    <w:lvl w:ilvl="0" w:tplc="FA44AC5A">
      <w:start w:val="3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B8242C"/>
    <w:multiLevelType w:val="hybridMultilevel"/>
    <w:tmpl w:val="B48CF32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73431965"/>
    <w:multiLevelType w:val="hybridMultilevel"/>
    <w:tmpl w:val="6C34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3"/>
  </w:num>
  <w:num w:numId="6">
    <w:abstractNumId w:val="7"/>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52"/>
    <w:rsid w:val="00035938"/>
    <w:rsid w:val="001648F2"/>
    <w:rsid w:val="001848B6"/>
    <w:rsid w:val="001A56B6"/>
    <w:rsid w:val="001F1180"/>
    <w:rsid w:val="00220A00"/>
    <w:rsid w:val="0023741B"/>
    <w:rsid w:val="00276C24"/>
    <w:rsid w:val="00290829"/>
    <w:rsid w:val="002D2E47"/>
    <w:rsid w:val="00300BC6"/>
    <w:rsid w:val="003B4AEF"/>
    <w:rsid w:val="003D179C"/>
    <w:rsid w:val="003F2FE3"/>
    <w:rsid w:val="004156E2"/>
    <w:rsid w:val="004469F9"/>
    <w:rsid w:val="00500237"/>
    <w:rsid w:val="00527E8C"/>
    <w:rsid w:val="005373A4"/>
    <w:rsid w:val="005B73B4"/>
    <w:rsid w:val="005C4A54"/>
    <w:rsid w:val="005E24F2"/>
    <w:rsid w:val="006434B7"/>
    <w:rsid w:val="00655296"/>
    <w:rsid w:val="00660DD9"/>
    <w:rsid w:val="006D3766"/>
    <w:rsid w:val="006F21BF"/>
    <w:rsid w:val="00753FAF"/>
    <w:rsid w:val="00787CDB"/>
    <w:rsid w:val="007F1309"/>
    <w:rsid w:val="007F66F5"/>
    <w:rsid w:val="008473AB"/>
    <w:rsid w:val="00897CF4"/>
    <w:rsid w:val="008C4E4C"/>
    <w:rsid w:val="00950CBE"/>
    <w:rsid w:val="0098030A"/>
    <w:rsid w:val="009A22BC"/>
    <w:rsid w:val="00A72DB3"/>
    <w:rsid w:val="00A8045D"/>
    <w:rsid w:val="00AA532B"/>
    <w:rsid w:val="00AF245F"/>
    <w:rsid w:val="00B340CD"/>
    <w:rsid w:val="00B82956"/>
    <w:rsid w:val="00C01CF5"/>
    <w:rsid w:val="00C638E0"/>
    <w:rsid w:val="00C75498"/>
    <w:rsid w:val="00DB3796"/>
    <w:rsid w:val="00E337F0"/>
    <w:rsid w:val="00E64552"/>
    <w:rsid w:val="00EB2C55"/>
    <w:rsid w:val="00EF02D0"/>
    <w:rsid w:val="00F27C36"/>
    <w:rsid w:val="00F742D5"/>
    <w:rsid w:val="00FC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F4EF"/>
  <w15:chartTrackingRefBased/>
  <w15:docId w15:val="{42BBF877-3393-4EC1-9A4A-CD59D9D0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4552"/>
    <w:pPr>
      <w:tabs>
        <w:tab w:val="center" w:pos="4320"/>
        <w:tab w:val="right" w:pos="8640"/>
      </w:tabs>
    </w:pPr>
  </w:style>
  <w:style w:type="character" w:customStyle="1" w:styleId="FooterChar">
    <w:name w:val="Footer Char"/>
    <w:basedOn w:val="DefaultParagraphFont"/>
    <w:link w:val="Footer"/>
    <w:rsid w:val="00E64552"/>
    <w:rPr>
      <w:rFonts w:ascii="Times New Roman" w:eastAsia="Times New Roman" w:hAnsi="Times New Roman" w:cs="Times New Roman"/>
      <w:sz w:val="24"/>
      <w:szCs w:val="24"/>
    </w:rPr>
  </w:style>
  <w:style w:type="character" w:styleId="PageNumber">
    <w:name w:val="page number"/>
    <w:basedOn w:val="DefaultParagraphFont"/>
    <w:rsid w:val="00E64552"/>
  </w:style>
  <w:style w:type="paragraph" w:styleId="NoSpacing">
    <w:name w:val="No Spacing"/>
    <w:uiPriority w:val="1"/>
    <w:qFormat/>
    <w:rsid w:val="00E64552"/>
    <w:pPr>
      <w:spacing w:after="0" w:line="240" w:lineRule="auto"/>
    </w:pPr>
    <w:rPr>
      <w:rFonts w:ascii="Times New Roman" w:eastAsia="Times New Roman" w:hAnsi="Times New Roman" w:cs="Times New Roman"/>
      <w:sz w:val="24"/>
      <w:szCs w:val="24"/>
    </w:rPr>
  </w:style>
  <w:style w:type="character" w:styleId="Hyperlink">
    <w:name w:val="Hyperlink"/>
    <w:rsid w:val="00E64552"/>
    <w:rPr>
      <w:color w:val="0000FF"/>
      <w:u w:val="single"/>
    </w:rPr>
  </w:style>
  <w:style w:type="character" w:customStyle="1" w:styleId="UnresolvedMention">
    <w:name w:val="Unresolved Mention"/>
    <w:basedOn w:val="DefaultParagraphFont"/>
    <w:uiPriority w:val="99"/>
    <w:semiHidden/>
    <w:unhideWhenUsed/>
    <w:rsid w:val="0098030A"/>
    <w:rPr>
      <w:color w:val="605E5C"/>
      <w:shd w:val="clear" w:color="auto" w:fill="E1DFDD"/>
    </w:rPr>
  </w:style>
  <w:style w:type="paragraph" w:styleId="ListParagraph">
    <w:name w:val="List Paragraph"/>
    <w:basedOn w:val="Normal"/>
    <w:uiPriority w:val="34"/>
    <w:qFormat/>
    <w:rsid w:val="00EB2C55"/>
    <w:pPr>
      <w:ind w:left="720"/>
      <w:contextualSpacing/>
    </w:pPr>
  </w:style>
  <w:style w:type="paragraph" w:styleId="NormalWeb">
    <w:name w:val="Normal (Web)"/>
    <w:basedOn w:val="Normal"/>
    <w:uiPriority w:val="99"/>
    <w:semiHidden/>
    <w:unhideWhenUsed/>
    <w:rsid w:val="00A8045D"/>
    <w:pPr>
      <w:spacing w:before="100" w:beforeAutospacing="1" w:after="100" w:afterAutospacing="1"/>
    </w:pPr>
    <w:rPr>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48505">
      <w:bodyDiv w:val="1"/>
      <w:marLeft w:val="0"/>
      <w:marRight w:val="0"/>
      <w:marTop w:val="0"/>
      <w:marBottom w:val="0"/>
      <w:divBdr>
        <w:top w:val="none" w:sz="0" w:space="0" w:color="auto"/>
        <w:left w:val="none" w:sz="0" w:space="0" w:color="auto"/>
        <w:bottom w:val="none" w:sz="0" w:space="0" w:color="auto"/>
        <w:right w:val="none" w:sz="0" w:space="0" w:color="auto"/>
      </w:divBdr>
    </w:div>
    <w:div w:id="561407238">
      <w:bodyDiv w:val="1"/>
      <w:marLeft w:val="0"/>
      <w:marRight w:val="0"/>
      <w:marTop w:val="0"/>
      <w:marBottom w:val="0"/>
      <w:divBdr>
        <w:top w:val="none" w:sz="0" w:space="0" w:color="auto"/>
        <w:left w:val="none" w:sz="0" w:space="0" w:color="auto"/>
        <w:bottom w:val="none" w:sz="0" w:space="0" w:color="auto"/>
        <w:right w:val="none" w:sz="0" w:space="0" w:color="auto"/>
      </w:divBdr>
    </w:div>
    <w:div w:id="771894178">
      <w:bodyDiv w:val="1"/>
      <w:marLeft w:val="0"/>
      <w:marRight w:val="0"/>
      <w:marTop w:val="0"/>
      <w:marBottom w:val="0"/>
      <w:divBdr>
        <w:top w:val="none" w:sz="0" w:space="0" w:color="auto"/>
        <w:left w:val="none" w:sz="0" w:space="0" w:color="auto"/>
        <w:bottom w:val="none" w:sz="0" w:space="0" w:color="auto"/>
        <w:right w:val="none" w:sz="0" w:space="0" w:color="auto"/>
      </w:divBdr>
    </w:div>
    <w:div w:id="953905275">
      <w:bodyDiv w:val="1"/>
      <w:marLeft w:val="0"/>
      <w:marRight w:val="0"/>
      <w:marTop w:val="0"/>
      <w:marBottom w:val="0"/>
      <w:divBdr>
        <w:top w:val="none" w:sz="0" w:space="0" w:color="auto"/>
        <w:left w:val="none" w:sz="0" w:space="0" w:color="auto"/>
        <w:bottom w:val="none" w:sz="0" w:space="0" w:color="auto"/>
        <w:right w:val="none" w:sz="0" w:space="0" w:color="auto"/>
      </w:divBdr>
      <w:divsChild>
        <w:div w:id="1584071614">
          <w:marLeft w:val="0"/>
          <w:marRight w:val="180"/>
          <w:marTop w:val="0"/>
          <w:marBottom w:val="0"/>
          <w:divBdr>
            <w:top w:val="none" w:sz="0" w:space="0" w:color="auto"/>
            <w:left w:val="none" w:sz="0" w:space="0" w:color="auto"/>
            <w:bottom w:val="none" w:sz="0" w:space="0" w:color="auto"/>
            <w:right w:val="none" w:sz="0" w:space="0" w:color="auto"/>
          </w:divBdr>
        </w:div>
        <w:div w:id="2065329061">
          <w:marLeft w:val="0"/>
          <w:marRight w:val="0"/>
          <w:marTop w:val="0"/>
          <w:marBottom w:val="30"/>
          <w:divBdr>
            <w:top w:val="none" w:sz="0" w:space="0" w:color="auto"/>
            <w:left w:val="none" w:sz="0" w:space="0" w:color="auto"/>
            <w:bottom w:val="none" w:sz="0" w:space="0" w:color="auto"/>
            <w:right w:val="none" w:sz="0" w:space="0" w:color="auto"/>
          </w:divBdr>
          <w:divsChild>
            <w:div w:id="487787941">
              <w:marLeft w:val="0"/>
              <w:marRight w:val="0"/>
              <w:marTop w:val="48"/>
              <w:marBottom w:val="48"/>
              <w:divBdr>
                <w:top w:val="none" w:sz="0" w:space="0" w:color="auto"/>
                <w:left w:val="none" w:sz="0" w:space="0" w:color="auto"/>
                <w:bottom w:val="none" w:sz="0" w:space="0" w:color="auto"/>
                <w:right w:val="none" w:sz="0" w:space="0" w:color="auto"/>
              </w:divBdr>
            </w:div>
            <w:div w:id="195043291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039472466">
      <w:bodyDiv w:val="1"/>
      <w:marLeft w:val="0"/>
      <w:marRight w:val="0"/>
      <w:marTop w:val="0"/>
      <w:marBottom w:val="0"/>
      <w:divBdr>
        <w:top w:val="none" w:sz="0" w:space="0" w:color="auto"/>
        <w:left w:val="none" w:sz="0" w:space="0" w:color="auto"/>
        <w:bottom w:val="none" w:sz="0" w:space="0" w:color="auto"/>
        <w:right w:val="none" w:sz="0" w:space="0" w:color="auto"/>
      </w:divBdr>
    </w:div>
    <w:div w:id="1436054532">
      <w:bodyDiv w:val="1"/>
      <w:marLeft w:val="0"/>
      <w:marRight w:val="0"/>
      <w:marTop w:val="0"/>
      <w:marBottom w:val="0"/>
      <w:divBdr>
        <w:top w:val="none" w:sz="0" w:space="0" w:color="auto"/>
        <w:left w:val="none" w:sz="0" w:space="0" w:color="auto"/>
        <w:bottom w:val="none" w:sz="0" w:space="0" w:color="auto"/>
        <w:right w:val="none" w:sz="0" w:space="0" w:color="auto"/>
      </w:divBdr>
    </w:div>
    <w:div w:id="1452898152">
      <w:bodyDiv w:val="1"/>
      <w:marLeft w:val="0"/>
      <w:marRight w:val="0"/>
      <w:marTop w:val="0"/>
      <w:marBottom w:val="0"/>
      <w:divBdr>
        <w:top w:val="none" w:sz="0" w:space="0" w:color="auto"/>
        <w:left w:val="none" w:sz="0" w:space="0" w:color="auto"/>
        <w:bottom w:val="none" w:sz="0" w:space="0" w:color="auto"/>
        <w:right w:val="none" w:sz="0" w:space="0" w:color="auto"/>
      </w:divBdr>
    </w:div>
    <w:div w:id="1634363476">
      <w:bodyDiv w:val="1"/>
      <w:marLeft w:val="0"/>
      <w:marRight w:val="0"/>
      <w:marTop w:val="0"/>
      <w:marBottom w:val="0"/>
      <w:divBdr>
        <w:top w:val="none" w:sz="0" w:space="0" w:color="auto"/>
        <w:left w:val="none" w:sz="0" w:space="0" w:color="auto"/>
        <w:bottom w:val="none" w:sz="0" w:space="0" w:color="auto"/>
        <w:right w:val="none" w:sz="0" w:space="0" w:color="auto"/>
      </w:divBdr>
    </w:div>
    <w:div w:id="1666086803">
      <w:bodyDiv w:val="1"/>
      <w:marLeft w:val="0"/>
      <w:marRight w:val="0"/>
      <w:marTop w:val="0"/>
      <w:marBottom w:val="0"/>
      <w:divBdr>
        <w:top w:val="none" w:sz="0" w:space="0" w:color="auto"/>
        <w:left w:val="none" w:sz="0" w:space="0" w:color="auto"/>
        <w:bottom w:val="none" w:sz="0" w:space="0" w:color="auto"/>
        <w:right w:val="none" w:sz="0" w:space="0" w:color="auto"/>
      </w:divBdr>
      <w:divsChild>
        <w:div w:id="1043139754">
          <w:marLeft w:val="0"/>
          <w:marRight w:val="0"/>
          <w:marTop w:val="0"/>
          <w:marBottom w:val="0"/>
          <w:divBdr>
            <w:top w:val="none" w:sz="0" w:space="0" w:color="auto"/>
            <w:left w:val="none" w:sz="0" w:space="0" w:color="auto"/>
            <w:bottom w:val="none" w:sz="0" w:space="0" w:color="auto"/>
            <w:right w:val="none" w:sz="0" w:space="0" w:color="auto"/>
          </w:divBdr>
        </w:div>
      </w:divsChild>
    </w:div>
    <w:div w:id="1715425565">
      <w:bodyDiv w:val="1"/>
      <w:marLeft w:val="0"/>
      <w:marRight w:val="0"/>
      <w:marTop w:val="0"/>
      <w:marBottom w:val="0"/>
      <w:divBdr>
        <w:top w:val="none" w:sz="0" w:space="0" w:color="auto"/>
        <w:left w:val="none" w:sz="0" w:space="0" w:color="auto"/>
        <w:bottom w:val="none" w:sz="0" w:space="0" w:color="auto"/>
        <w:right w:val="none" w:sz="0" w:space="0" w:color="auto"/>
      </w:divBdr>
    </w:div>
    <w:div w:id="1746999518">
      <w:bodyDiv w:val="1"/>
      <w:marLeft w:val="0"/>
      <w:marRight w:val="0"/>
      <w:marTop w:val="0"/>
      <w:marBottom w:val="0"/>
      <w:divBdr>
        <w:top w:val="none" w:sz="0" w:space="0" w:color="auto"/>
        <w:left w:val="none" w:sz="0" w:space="0" w:color="auto"/>
        <w:bottom w:val="none" w:sz="0" w:space="0" w:color="auto"/>
        <w:right w:val="none" w:sz="0" w:space="0" w:color="auto"/>
      </w:divBdr>
    </w:div>
    <w:div w:id="1828788747">
      <w:bodyDiv w:val="1"/>
      <w:marLeft w:val="0"/>
      <w:marRight w:val="0"/>
      <w:marTop w:val="0"/>
      <w:marBottom w:val="0"/>
      <w:divBdr>
        <w:top w:val="none" w:sz="0" w:space="0" w:color="auto"/>
        <w:left w:val="none" w:sz="0" w:space="0" w:color="auto"/>
        <w:bottom w:val="none" w:sz="0" w:space="0" w:color="auto"/>
        <w:right w:val="none" w:sz="0" w:space="0" w:color="auto"/>
      </w:divBdr>
    </w:div>
    <w:div w:id="18362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4717</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Visar</cp:lastModifiedBy>
  <cp:revision>2</cp:revision>
  <dcterms:created xsi:type="dcterms:W3CDTF">2026-02-24T13:13:00Z</dcterms:created>
  <dcterms:modified xsi:type="dcterms:W3CDTF">2026-02-24T13:13:00Z</dcterms:modified>
</cp:coreProperties>
</file>