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6BD0F" w14:textId="77777777" w:rsidR="00E64552" w:rsidRPr="00F96974" w:rsidRDefault="00E64552" w:rsidP="00E64552">
      <w:pPr>
        <w:rPr>
          <w:rFonts w:ascii="Calibri" w:hAnsi="Calibr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1386"/>
        <w:gridCol w:w="1738"/>
        <w:gridCol w:w="1971"/>
      </w:tblGrid>
      <w:tr w:rsidR="00E64552" w:rsidRPr="00F96974" w14:paraId="1F7B0537" w14:textId="77777777" w:rsidTr="00220A00">
        <w:tc>
          <w:tcPr>
            <w:tcW w:w="8630" w:type="dxa"/>
            <w:gridSpan w:val="4"/>
            <w:shd w:val="clear" w:color="auto" w:fill="D9D9D9"/>
          </w:tcPr>
          <w:p w14:paraId="686FAE35" w14:textId="77777777" w:rsidR="00E64552" w:rsidRPr="00F96974" w:rsidRDefault="00E64552" w:rsidP="00015BE6">
            <w:pPr>
              <w:pStyle w:val="NoSpacing"/>
              <w:rPr>
                <w:rFonts w:ascii="Calibri" w:hAnsi="Calibri"/>
                <w:b/>
                <w:lang w:val="en-GB"/>
              </w:rPr>
            </w:pPr>
            <w:r w:rsidRPr="00F96974">
              <w:rPr>
                <w:rFonts w:ascii="Calibri" w:hAnsi="Calibri"/>
                <w:b/>
                <w:lang w:val="en-GB"/>
              </w:rPr>
              <w:t>Basic information of the course</w:t>
            </w:r>
          </w:p>
        </w:tc>
      </w:tr>
      <w:tr w:rsidR="00E64552" w:rsidRPr="00F96974" w14:paraId="489C3C39" w14:textId="77777777" w:rsidTr="00220A00">
        <w:tc>
          <w:tcPr>
            <w:tcW w:w="3535" w:type="dxa"/>
          </w:tcPr>
          <w:p w14:paraId="4D83E047"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 xml:space="preserve">Academic unit: </w:t>
            </w:r>
          </w:p>
        </w:tc>
        <w:tc>
          <w:tcPr>
            <w:tcW w:w="5095" w:type="dxa"/>
            <w:gridSpan w:val="3"/>
          </w:tcPr>
          <w:p w14:paraId="573FE0B4" w14:textId="77777777" w:rsidR="00E64552" w:rsidRPr="00F96974" w:rsidRDefault="00E64552" w:rsidP="00015BE6">
            <w:pPr>
              <w:pStyle w:val="NoSpacing"/>
              <w:rPr>
                <w:szCs w:val="28"/>
                <w:lang w:val="en-GB"/>
              </w:rPr>
            </w:pPr>
            <w:r w:rsidRPr="00F96974">
              <w:rPr>
                <w:szCs w:val="28"/>
                <w:lang w:val="en-GB"/>
              </w:rPr>
              <w:t>Faculty of Law</w:t>
            </w:r>
          </w:p>
        </w:tc>
      </w:tr>
      <w:tr w:rsidR="00E64552" w:rsidRPr="00F96974" w14:paraId="52A6EC15" w14:textId="77777777" w:rsidTr="00220A00">
        <w:tc>
          <w:tcPr>
            <w:tcW w:w="3535" w:type="dxa"/>
          </w:tcPr>
          <w:p w14:paraId="2CBF2096"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Course title:</w:t>
            </w:r>
          </w:p>
        </w:tc>
        <w:tc>
          <w:tcPr>
            <w:tcW w:w="5095" w:type="dxa"/>
            <w:gridSpan w:val="3"/>
          </w:tcPr>
          <w:p w14:paraId="3B51F814" w14:textId="4F842915" w:rsidR="00E64552" w:rsidRPr="00F96974" w:rsidRDefault="006D3766" w:rsidP="00015BE6">
            <w:pPr>
              <w:pStyle w:val="NoSpacing"/>
              <w:rPr>
                <w:szCs w:val="28"/>
                <w:lang w:val="en-GB"/>
              </w:rPr>
            </w:pPr>
            <w:r>
              <w:rPr>
                <w:szCs w:val="28"/>
                <w:lang w:val="en-GB"/>
              </w:rPr>
              <w:t>Human Rights and Environment</w:t>
            </w:r>
          </w:p>
        </w:tc>
      </w:tr>
      <w:tr w:rsidR="00E64552" w:rsidRPr="00F96974" w14:paraId="00150B8C" w14:textId="77777777" w:rsidTr="00220A00">
        <w:tc>
          <w:tcPr>
            <w:tcW w:w="3535" w:type="dxa"/>
          </w:tcPr>
          <w:p w14:paraId="68BBD325"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Level:</w:t>
            </w:r>
          </w:p>
        </w:tc>
        <w:tc>
          <w:tcPr>
            <w:tcW w:w="5095" w:type="dxa"/>
            <w:gridSpan w:val="3"/>
          </w:tcPr>
          <w:p w14:paraId="08A01367" w14:textId="77777777" w:rsidR="00E64552" w:rsidRPr="00F96974" w:rsidRDefault="00E64552" w:rsidP="00015BE6">
            <w:pPr>
              <w:pStyle w:val="NoSpacing"/>
              <w:rPr>
                <w:szCs w:val="28"/>
                <w:lang w:val="en-GB"/>
              </w:rPr>
            </w:pPr>
            <w:r w:rsidRPr="00F96974">
              <w:rPr>
                <w:szCs w:val="28"/>
                <w:lang w:val="en-GB"/>
              </w:rPr>
              <w:t>MASTER</w:t>
            </w:r>
          </w:p>
        </w:tc>
      </w:tr>
      <w:tr w:rsidR="00E64552" w:rsidRPr="00F96974" w14:paraId="729F472B" w14:textId="77777777" w:rsidTr="00220A00">
        <w:tc>
          <w:tcPr>
            <w:tcW w:w="3535" w:type="dxa"/>
          </w:tcPr>
          <w:p w14:paraId="4268A505"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Course status:</w:t>
            </w:r>
          </w:p>
        </w:tc>
        <w:tc>
          <w:tcPr>
            <w:tcW w:w="5095" w:type="dxa"/>
            <w:gridSpan w:val="3"/>
          </w:tcPr>
          <w:p w14:paraId="438F7C45" w14:textId="6E8E2B35" w:rsidR="00E64552" w:rsidRPr="00F96974" w:rsidRDefault="00950CBE" w:rsidP="00015BE6">
            <w:pPr>
              <w:pStyle w:val="NoSpacing"/>
              <w:rPr>
                <w:szCs w:val="28"/>
                <w:lang w:val="en-GB"/>
              </w:rPr>
            </w:pPr>
            <w:r>
              <w:rPr>
                <w:szCs w:val="28"/>
                <w:lang w:val="en-GB"/>
              </w:rPr>
              <w:t>Elective</w:t>
            </w:r>
          </w:p>
        </w:tc>
      </w:tr>
      <w:tr w:rsidR="00E64552" w:rsidRPr="00F96974" w14:paraId="51F077C8" w14:textId="77777777" w:rsidTr="00220A00">
        <w:tc>
          <w:tcPr>
            <w:tcW w:w="3535" w:type="dxa"/>
          </w:tcPr>
          <w:p w14:paraId="637A303C"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Year of study:</w:t>
            </w:r>
          </w:p>
        </w:tc>
        <w:tc>
          <w:tcPr>
            <w:tcW w:w="5095" w:type="dxa"/>
            <w:gridSpan w:val="3"/>
          </w:tcPr>
          <w:p w14:paraId="61995220" w14:textId="5C8BBB31" w:rsidR="00E64552" w:rsidRPr="00F96974" w:rsidRDefault="00950CBE" w:rsidP="00015BE6">
            <w:pPr>
              <w:pStyle w:val="NoSpacing"/>
              <w:rPr>
                <w:szCs w:val="28"/>
                <w:lang w:val="en-GB"/>
              </w:rPr>
            </w:pPr>
            <w:r>
              <w:rPr>
                <w:szCs w:val="28"/>
                <w:lang w:val="en-GB"/>
              </w:rPr>
              <w:t>1</w:t>
            </w:r>
          </w:p>
        </w:tc>
      </w:tr>
      <w:tr w:rsidR="00E64552" w:rsidRPr="00F96974" w14:paraId="2820276F" w14:textId="77777777" w:rsidTr="00220A00">
        <w:tc>
          <w:tcPr>
            <w:tcW w:w="3535" w:type="dxa"/>
          </w:tcPr>
          <w:p w14:paraId="11300B8D"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Number of hours per week:</w:t>
            </w:r>
          </w:p>
        </w:tc>
        <w:tc>
          <w:tcPr>
            <w:tcW w:w="5095" w:type="dxa"/>
            <w:gridSpan w:val="3"/>
          </w:tcPr>
          <w:p w14:paraId="7B37D62B" w14:textId="4F719CA6" w:rsidR="00E64552" w:rsidRPr="00F96974" w:rsidRDefault="00950CBE" w:rsidP="00015BE6">
            <w:pPr>
              <w:pStyle w:val="NoSpacing"/>
              <w:rPr>
                <w:szCs w:val="28"/>
                <w:lang w:val="en-GB"/>
              </w:rPr>
            </w:pPr>
            <w:r>
              <w:rPr>
                <w:szCs w:val="28"/>
                <w:lang w:val="en-GB"/>
              </w:rPr>
              <w:t>2+0</w:t>
            </w:r>
          </w:p>
        </w:tc>
      </w:tr>
      <w:tr w:rsidR="00E64552" w:rsidRPr="00F96974" w14:paraId="0FF7560E" w14:textId="77777777" w:rsidTr="00220A00">
        <w:tc>
          <w:tcPr>
            <w:tcW w:w="3535" w:type="dxa"/>
          </w:tcPr>
          <w:p w14:paraId="749591E1"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Credits– ECTS:</w:t>
            </w:r>
          </w:p>
        </w:tc>
        <w:tc>
          <w:tcPr>
            <w:tcW w:w="5095" w:type="dxa"/>
            <w:gridSpan w:val="3"/>
          </w:tcPr>
          <w:p w14:paraId="290A6CA9" w14:textId="1C28DE7A" w:rsidR="00E64552" w:rsidRPr="00F96974" w:rsidRDefault="006D3766" w:rsidP="00015BE6">
            <w:pPr>
              <w:pStyle w:val="NoSpacing"/>
              <w:rPr>
                <w:szCs w:val="28"/>
                <w:lang w:val="en-GB"/>
              </w:rPr>
            </w:pPr>
            <w:r>
              <w:rPr>
                <w:szCs w:val="28"/>
                <w:lang w:val="en-GB"/>
              </w:rPr>
              <w:t>4</w:t>
            </w:r>
          </w:p>
        </w:tc>
      </w:tr>
      <w:tr w:rsidR="00E64552" w:rsidRPr="00F96974" w14:paraId="305CF5DD" w14:textId="77777777" w:rsidTr="00220A00">
        <w:tc>
          <w:tcPr>
            <w:tcW w:w="3535" w:type="dxa"/>
          </w:tcPr>
          <w:p w14:paraId="1EAD1594"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Time / location:</w:t>
            </w:r>
          </w:p>
        </w:tc>
        <w:tc>
          <w:tcPr>
            <w:tcW w:w="5095" w:type="dxa"/>
            <w:gridSpan w:val="3"/>
          </w:tcPr>
          <w:p w14:paraId="712194F9" w14:textId="77777777" w:rsidR="00E64552" w:rsidRPr="00F96974" w:rsidRDefault="00E64552" w:rsidP="00015BE6">
            <w:pPr>
              <w:pStyle w:val="NoSpacing"/>
              <w:rPr>
                <w:szCs w:val="28"/>
                <w:lang w:val="en-GB"/>
              </w:rPr>
            </w:pPr>
          </w:p>
        </w:tc>
      </w:tr>
      <w:tr w:rsidR="00E64552" w:rsidRPr="00F96974" w14:paraId="27E8E7B7" w14:textId="77777777" w:rsidTr="00220A00">
        <w:tc>
          <w:tcPr>
            <w:tcW w:w="3535" w:type="dxa"/>
          </w:tcPr>
          <w:p w14:paraId="7950FE37"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Lecturer:</w:t>
            </w:r>
          </w:p>
        </w:tc>
        <w:tc>
          <w:tcPr>
            <w:tcW w:w="5095" w:type="dxa"/>
            <w:gridSpan w:val="3"/>
          </w:tcPr>
          <w:p w14:paraId="33358981" w14:textId="41EFB4CB" w:rsidR="00E64552" w:rsidRPr="00EB2C55" w:rsidRDefault="00EB2C55" w:rsidP="00015BE6">
            <w:pPr>
              <w:pStyle w:val="NoSpacing"/>
              <w:rPr>
                <w:szCs w:val="28"/>
                <w:lang w:val="en-GB"/>
              </w:rPr>
            </w:pPr>
            <w:r w:rsidRPr="00EB2C55">
              <w:rPr>
                <w:szCs w:val="28"/>
              </w:rPr>
              <w:t xml:space="preserve">Prof. Dr. Visar </w:t>
            </w:r>
            <w:proofErr w:type="spellStart"/>
            <w:r w:rsidRPr="00EB2C55">
              <w:rPr>
                <w:szCs w:val="28"/>
              </w:rPr>
              <w:t>Morina</w:t>
            </w:r>
            <w:proofErr w:type="spellEnd"/>
          </w:p>
        </w:tc>
      </w:tr>
      <w:tr w:rsidR="00E64552" w:rsidRPr="00F96974" w14:paraId="59C87DAC" w14:textId="77777777" w:rsidTr="00220A00">
        <w:tc>
          <w:tcPr>
            <w:tcW w:w="3535" w:type="dxa"/>
          </w:tcPr>
          <w:p w14:paraId="2D0E26C2" w14:textId="77777777" w:rsidR="00E64552" w:rsidRPr="00F96974" w:rsidRDefault="00E64552" w:rsidP="00015BE6">
            <w:pPr>
              <w:pStyle w:val="NoSpacing"/>
              <w:rPr>
                <w:rFonts w:ascii="Calibri" w:hAnsi="Calibri"/>
                <w:b/>
                <w:szCs w:val="28"/>
                <w:lang w:val="en-GB"/>
              </w:rPr>
            </w:pPr>
            <w:r w:rsidRPr="00F96974">
              <w:rPr>
                <w:rFonts w:ascii="Calibri" w:hAnsi="Calibri"/>
                <w:b/>
                <w:szCs w:val="28"/>
                <w:lang w:val="en-GB"/>
              </w:rPr>
              <w:t xml:space="preserve">Contact details: </w:t>
            </w:r>
          </w:p>
        </w:tc>
        <w:tc>
          <w:tcPr>
            <w:tcW w:w="5095" w:type="dxa"/>
            <w:gridSpan w:val="3"/>
          </w:tcPr>
          <w:p w14:paraId="12F19AB3" w14:textId="6ED81AA8" w:rsidR="00E64552" w:rsidRPr="00F96974" w:rsidRDefault="0096162F" w:rsidP="00015BE6">
            <w:pPr>
              <w:pStyle w:val="NoSpacing"/>
              <w:rPr>
                <w:b/>
                <w:szCs w:val="28"/>
                <w:lang w:val="en-GB"/>
              </w:rPr>
            </w:pPr>
            <w:hyperlink r:id="rId7" w:history="1">
              <w:r w:rsidRPr="00AA7C12">
                <w:rPr>
                  <w:rStyle w:val="Hyperlink"/>
                  <w:b/>
                  <w:szCs w:val="28"/>
                  <w:lang w:val="en-GB"/>
                </w:rPr>
                <w:t>visar.morina@uni-pr.edu</w:t>
              </w:r>
            </w:hyperlink>
          </w:p>
        </w:tc>
      </w:tr>
      <w:tr w:rsidR="00E64552" w:rsidRPr="00F96974" w14:paraId="7B6BF19D" w14:textId="77777777" w:rsidTr="00220A00">
        <w:tc>
          <w:tcPr>
            <w:tcW w:w="8630" w:type="dxa"/>
            <w:gridSpan w:val="4"/>
            <w:shd w:val="clear" w:color="auto" w:fill="D9D9D9"/>
          </w:tcPr>
          <w:p w14:paraId="7B8A159C" w14:textId="77777777" w:rsidR="00E64552" w:rsidRPr="00F96974" w:rsidRDefault="00E64552" w:rsidP="00015BE6">
            <w:pPr>
              <w:pStyle w:val="NoSpacing"/>
              <w:rPr>
                <w:rFonts w:ascii="Calibri" w:hAnsi="Calibri"/>
                <w:lang w:val="en-GB"/>
              </w:rPr>
            </w:pPr>
          </w:p>
        </w:tc>
      </w:tr>
      <w:tr w:rsidR="00E64552" w:rsidRPr="00F96974" w14:paraId="3D3FFCB4" w14:textId="77777777" w:rsidTr="00220A00">
        <w:tc>
          <w:tcPr>
            <w:tcW w:w="3535" w:type="dxa"/>
          </w:tcPr>
          <w:p w14:paraId="7720FC42" w14:textId="77777777" w:rsidR="00E64552" w:rsidRPr="00F96974" w:rsidRDefault="00E64552" w:rsidP="00015BE6">
            <w:pPr>
              <w:pStyle w:val="NoSpacing"/>
              <w:rPr>
                <w:rFonts w:ascii="Calibri" w:hAnsi="Calibri"/>
                <w:b/>
                <w:lang w:val="en-GB"/>
              </w:rPr>
            </w:pPr>
          </w:p>
        </w:tc>
        <w:tc>
          <w:tcPr>
            <w:tcW w:w="5095" w:type="dxa"/>
            <w:gridSpan w:val="3"/>
          </w:tcPr>
          <w:p w14:paraId="477A634B" w14:textId="77777777" w:rsidR="00E64552" w:rsidRPr="00F96974" w:rsidRDefault="00E64552" w:rsidP="00015BE6">
            <w:pPr>
              <w:pStyle w:val="NoSpacing"/>
              <w:jc w:val="both"/>
              <w:rPr>
                <w:rFonts w:ascii="Calibri" w:hAnsi="Calibri" w:cs="Calibri"/>
                <w:i/>
                <w:sz w:val="22"/>
                <w:szCs w:val="22"/>
                <w:lang w:val="en-GB"/>
              </w:rPr>
            </w:pPr>
          </w:p>
        </w:tc>
      </w:tr>
      <w:tr w:rsidR="00E64552" w:rsidRPr="00F96974" w14:paraId="3A6802FD" w14:textId="77777777" w:rsidTr="00220A00">
        <w:tc>
          <w:tcPr>
            <w:tcW w:w="3535" w:type="dxa"/>
          </w:tcPr>
          <w:p w14:paraId="5ACE51AB" w14:textId="77777777" w:rsidR="00E64552" w:rsidRPr="00F96974" w:rsidRDefault="00E64552" w:rsidP="00015BE6">
            <w:pPr>
              <w:pStyle w:val="NoSpacing"/>
              <w:rPr>
                <w:rFonts w:ascii="Calibri" w:hAnsi="Calibri"/>
                <w:b/>
                <w:lang w:val="en-GB"/>
              </w:rPr>
            </w:pPr>
            <w:r w:rsidRPr="00F96974">
              <w:rPr>
                <w:rFonts w:ascii="Calibri" w:hAnsi="Calibri"/>
                <w:b/>
                <w:lang w:val="en-GB"/>
              </w:rPr>
              <w:t>Objectives of the course:</w:t>
            </w:r>
          </w:p>
        </w:tc>
        <w:tc>
          <w:tcPr>
            <w:tcW w:w="5095" w:type="dxa"/>
            <w:gridSpan w:val="3"/>
          </w:tcPr>
          <w:p w14:paraId="31BEA3C5" w14:textId="043F76B3" w:rsidR="00E64552" w:rsidRDefault="00527E8C" w:rsidP="00015BE6">
            <w:pPr>
              <w:pStyle w:val="NoSpacing"/>
              <w:jc w:val="both"/>
              <w:rPr>
                <w:rFonts w:ascii="Calibri" w:hAnsi="Calibri"/>
                <w:iCs/>
                <w:sz w:val="22"/>
                <w:szCs w:val="22"/>
                <w:lang w:val="en-GB"/>
              </w:rPr>
            </w:pPr>
            <w:r>
              <w:rPr>
                <w:rFonts w:ascii="Calibri" w:hAnsi="Calibri"/>
                <w:iCs/>
                <w:sz w:val="22"/>
                <w:szCs w:val="22"/>
                <w:lang w:val="en-GB"/>
              </w:rPr>
              <w:t>The course is intended to give students a comprehensive introduction to the relatively new area of intersection between environment (environmental law) and human rights law. The course is intended to address the dual interaction between these two fields, namely to explore how human rights law may be and has been used to shape environment (and environmental law) and the impact that environment and environmental law have on human rights law.</w:t>
            </w:r>
          </w:p>
          <w:p w14:paraId="11B96B1A" w14:textId="77777777" w:rsidR="00527E8C" w:rsidRDefault="00527E8C" w:rsidP="00015BE6">
            <w:pPr>
              <w:pStyle w:val="NoSpacing"/>
              <w:jc w:val="both"/>
              <w:rPr>
                <w:rFonts w:ascii="Calibri" w:hAnsi="Calibri"/>
                <w:iCs/>
                <w:sz w:val="22"/>
                <w:szCs w:val="22"/>
                <w:lang w:val="en-GB"/>
              </w:rPr>
            </w:pPr>
          </w:p>
          <w:p w14:paraId="2CF11ABD" w14:textId="77777777" w:rsidR="001A56B6" w:rsidRDefault="00527E8C" w:rsidP="00015BE6">
            <w:pPr>
              <w:pStyle w:val="NoSpacing"/>
              <w:jc w:val="both"/>
              <w:rPr>
                <w:rFonts w:ascii="Calibri" w:hAnsi="Calibri"/>
                <w:iCs/>
                <w:sz w:val="22"/>
                <w:szCs w:val="22"/>
                <w:lang w:val="en-GB"/>
              </w:rPr>
            </w:pPr>
            <w:r>
              <w:rPr>
                <w:rFonts w:ascii="Calibri" w:hAnsi="Calibri"/>
                <w:iCs/>
                <w:sz w:val="22"/>
                <w:szCs w:val="22"/>
                <w:lang w:val="en-GB"/>
              </w:rPr>
              <w:t xml:space="preserve">The students will learn about how </w:t>
            </w:r>
            <w:r w:rsidR="00B340CD">
              <w:rPr>
                <w:rFonts w:ascii="Calibri" w:hAnsi="Calibri"/>
                <w:iCs/>
                <w:sz w:val="22"/>
                <w:szCs w:val="22"/>
                <w:lang w:val="en-GB"/>
              </w:rPr>
              <w:t xml:space="preserve">the interaction between environmental and human rights law is governed </w:t>
            </w:r>
            <w:r w:rsidR="001A56B6">
              <w:rPr>
                <w:rFonts w:ascii="Calibri" w:hAnsi="Calibri"/>
                <w:iCs/>
                <w:sz w:val="22"/>
                <w:szCs w:val="22"/>
                <w:lang w:val="en-GB"/>
              </w:rPr>
              <w:t>on the</w:t>
            </w:r>
            <w:r w:rsidR="00B340CD">
              <w:rPr>
                <w:rFonts w:ascii="Calibri" w:hAnsi="Calibri"/>
                <w:iCs/>
                <w:sz w:val="22"/>
                <w:szCs w:val="22"/>
                <w:lang w:val="en-GB"/>
              </w:rPr>
              <w:t xml:space="preserve"> national, supranational and international level.</w:t>
            </w:r>
            <w:r w:rsidR="001A56B6">
              <w:rPr>
                <w:rFonts w:ascii="Calibri" w:hAnsi="Calibri"/>
                <w:iCs/>
                <w:sz w:val="22"/>
                <w:szCs w:val="22"/>
                <w:lang w:val="en-GB"/>
              </w:rPr>
              <w:t xml:space="preserve"> During the course the student</w:t>
            </w:r>
            <w:r w:rsidR="007F1309">
              <w:rPr>
                <w:rFonts w:ascii="Calibri" w:hAnsi="Calibri"/>
                <w:iCs/>
                <w:sz w:val="22"/>
                <w:szCs w:val="22"/>
                <w:lang w:val="en-GB"/>
              </w:rPr>
              <w:t>s</w:t>
            </w:r>
            <w:r w:rsidR="001A56B6">
              <w:rPr>
                <w:rFonts w:ascii="Calibri" w:hAnsi="Calibri"/>
                <w:iCs/>
                <w:sz w:val="22"/>
                <w:szCs w:val="22"/>
                <w:lang w:val="en-GB"/>
              </w:rPr>
              <w:t xml:space="preserve"> will learn about the human right to a healthy/benevolent environment and consider the substantive and procedural aspects of this right. </w:t>
            </w:r>
          </w:p>
          <w:p w14:paraId="43AF5699" w14:textId="77777777" w:rsidR="007F1309" w:rsidRDefault="007F1309" w:rsidP="00015BE6">
            <w:pPr>
              <w:pStyle w:val="NoSpacing"/>
              <w:jc w:val="both"/>
              <w:rPr>
                <w:rFonts w:ascii="Calibri" w:hAnsi="Calibri"/>
                <w:iCs/>
                <w:sz w:val="22"/>
                <w:szCs w:val="22"/>
                <w:lang w:val="en-GB"/>
              </w:rPr>
            </w:pPr>
          </w:p>
          <w:p w14:paraId="381FE384" w14:textId="7F5AC36C" w:rsidR="007F1309" w:rsidRPr="00527E8C" w:rsidRDefault="007F1309" w:rsidP="00015BE6">
            <w:pPr>
              <w:pStyle w:val="NoSpacing"/>
              <w:jc w:val="both"/>
              <w:rPr>
                <w:rFonts w:ascii="Calibri" w:hAnsi="Calibri"/>
                <w:iCs/>
                <w:sz w:val="22"/>
                <w:szCs w:val="22"/>
                <w:lang w:val="en-GB"/>
              </w:rPr>
            </w:pPr>
            <w:r>
              <w:rPr>
                <w:rFonts w:ascii="Calibri" w:hAnsi="Calibri"/>
                <w:iCs/>
                <w:sz w:val="22"/>
                <w:szCs w:val="22"/>
                <w:lang w:val="en-GB"/>
              </w:rPr>
              <w:t>Significant portion of the course will be devoted to practical aspect of litigating human rights-related environmental issues.</w:t>
            </w:r>
          </w:p>
        </w:tc>
      </w:tr>
      <w:tr w:rsidR="00E64552" w:rsidRPr="00F96974" w14:paraId="01262490" w14:textId="77777777" w:rsidTr="00220A00">
        <w:tc>
          <w:tcPr>
            <w:tcW w:w="3535" w:type="dxa"/>
          </w:tcPr>
          <w:p w14:paraId="43477B0D" w14:textId="77777777" w:rsidR="00E64552" w:rsidRPr="00F96974" w:rsidRDefault="00E64552" w:rsidP="00015BE6">
            <w:pPr>
              <w:pStyle w:val="NoSpacing"/>
              <w:rPr>
                <w:rFonts w:ascii="Calibri" w:hAnsi="Calibri"/>
                <w:b/>
                <w:lang w:val="en-GB"/>
              </w:rPr>
            </w:pPr>
            <w:r w:rsidRPr="00F96974">
              <w:rPr>
                <w:rFonts w:ascii="Calibri" w:hAnsi="Calibri"/>
                <w:b/>
                <w:lang w:val="en-GB"/>
              </w:rPr>
              <w:t>Learning outcomes:</w:t>
            </w:r>
          </w:p>
        </w:tc>
        <w:tc>
          <w:tcPr>
            <w:tcW w:w="5095" w:type="dxa"/>
            <w:gridSpan w:val="3"/>
          </w:tcPr>
          <w:p w14:paraId="5BE0E4EF" w14:textId="77777777" w:rsidR="00E64552" w:rsidRDefault="007F1309" w:rsidP="00015BE6">
            <w:pPr>
              <w:pStyle w:val="NoSpacing"/>
              <w:jc w:val="both"/>
              <w:rPr>
                <w:rFonts w:ascii="Calibri" w:hAnsi="Calibri"/>
                <w:iCs/>
                <w:sz w:val="22"/>
                <w:szCs w:val="22"/>
                <w:lang w:val="en-GB"/>
              </w:rPr>
            </w:pPr>
            <w:r>
              <w:rPr>
                <w:rFonts w:ascii="Calibri" w:hAnsi="Calibri"/>
                <w:iCs/>
                <w:sz w:val="22"/>
                <w:szCs w:val="22"/>
                <w:lang w:val="en-GB"/>
              </w:rPr>
              <w:t>Upon completion of the course, the students:</w:t>
            </w:r>
          </w:p>
          <w:p w14:paraId="6DB089BA" w14:textId="520EA35B" w:rsid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w:t>
            </w:r>
            <w:r w:rsidR="007F1309">
              <w:rPr>
                <w:rFonts w:ascii="Calibri" w:hAnsi="Calibri"/>
                <w:iCs/>
                <w:sz w:val="22"/>
                <w:szCs w:val="22"/>
                <w:lang w:val="en-GB"/>
              </w:rPr>
              <w:t>ill be aware of the origins of environmental law, including the right to live in a healthy environment;</w:t>
            </w:r>
          </w:p>
          <w:p w14:paraId="3CC4032A" w14:textId="6F6FD5F8" w:rsid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will be aware of national and international mechanisms and legal instruments for the protection of environment as well as the differences and overlaps between those mechanisms and institutions;</w:t>
            </w:r>
          </w:p>
          <w:p w14:paraId="3B329B71" w14:textId="77777777" w:rsidR="00AF245F"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 xml:space="preserve">will know about the scope and content of the right to a healthy environment, its substantive </w:t>
            </w:r>
            <w:r>
              <w:rPr>
                <w:rFonts w:ascii="Calibri" w:hAnsi="Calibri"/>
                <w:iCs/>
                <w:sz w:val="22"/>
                <w:szCs w:val="22"/>
                <w:lang w:val="en-GB"/>
              </w:rPr>
              <w:lastRenderedPageBreak/>
              <w:t>and procedural aspects, as well as its interplay with other human rights;</w:t>
            </w:r>
          </w:p>
          <w:p w14:paraId="28488514" w14:textId="6EF99828" w:rsidR="00AF245F" w:rsidRPr="007F1309" w:rsidRDefault="00AF245F" w:rsidP="007F1309">
            <w:pPr>
              <w:pStyle w:val="NoSpacing"/>
              <w:numPr>
                <w:ilvl w:val="0"/>
                <w:numId w:val="5"/>
              </w:numPr>
              <w:jc w:val="both"/>
              <w:rPr>
                <w:rFonts w:ascii="Calibri" w:hAnsi="Calibri"/>
                <w:iCs/>
                <w:sz w:val="22"/>
                <w:szCs w:val="22"/>
                <w:lang w:val="en-GB"/>
              </w:rPr>
            </w:pPr>
            <w:r>
              <w:rPr>
                <w:rFonts w:ascii="Calibri" w:hAnsi="Calibri"/>
                <w:iCs/>
                <w:sz w:val="22"/>
                <w:szCs w:val="22"/>
                <w:lang w:val="en-GB"/>
              </w:rPr>
              <w:t>will have detailed knowledge of main trends in environmental human rights litigation on the national and international level, as well as will be aware of major pending cases.</w:t>
            </w:r>
          </w:p>
        </w:tc>
      </w:tr>
      <w:tr w:rsidR="00E64552" w:rsidRPr="00F96974" w14:paraId="7AABEF29" w14:textId="77777777" w:rsidTr="00220A00">
        <w:tc>
          <w:tcPr>
            <w:tcW w:w="8630" w:type="dxa"/>
            <w:gridSpan w:val="4"/>
            <w:shd w:val="clear" w:color="auto" w:fill="D9D9D9"/>
          </w:tcPr>
          <w:p w14:paraId="2F55690D" w14:textId="77777777" w:rsidR="00E64552" w:rsidRPr="00F96974" w:rsidRDefault="00E64552" w:rsidP="00015BE6">
            <w:pPr>
              <w:pStyle w:val="NoSpacing"/>
              <w:rPr>
                <w:rFonts w:ascii="Calibri" w:hAnsi="Calibri"/>
                <w:i/>
                <w:sz w:val="22"/>
                <w:szCs w:val="22"/>
                <w:lang w:val="en-GB"/>
              </w:rPr>
            </w:pPr>
          </w:p>
        </w:tc>
      </w:tr>
      <w:tr w:rsidR="00E64552" w:rsidRPr="00F96974" w14:paraId="5B88869F" w14:textId="77777777" w:rsidTr="00220A00">
        <w:tc>
          <w:tcPr>
            <w:tcW w:w="8630" w:type="dxa"/>
            <w:gridSpan w:val="4"/>
            <w:shd w:val="clear" w:color="auto" w:fill="D9D9D9"/>
          </w:tcPr>
          <w:p w14:paraId="310302A0" w14:textId="77777777" w:rsidR="00E64552" w:rsidRPr="00F96974" w:rsidRDefault="00E64552" w:rsidP="00015BE6">
            <w:pPr>
              <w:pStyle w:val="NoSpacing"/>
              <w:jc w:val="center"/>
              <w:rPr>
                <w:rFonts w:ascii="Calibri" w:hAnsi="Calibri"/>
                <w:b/>
                <w:lang w:val="en-GB"/>
              </w:rPr>
            </w:pPr>
            <w:r w:rsidRPr="00F96974">
              <w:rPr>
                <w:rFonts w:ascii="Calibri" w:hAnsi="Calibri"/>
                <w:b/>
                <w:lang w:val="en-GB"/>
              </w:rPr>
              <w:t>Student requirements and assessment ( that must correspond to learning outcome of the student )</w:t>
            </w:r>
          </w:p>
        </w:tc>
      </w:tr>
      <w:tr w:rsidR="00E64552" w:rsidRPr="00F96974" w14:paraId="60C529D7" w14:textId="77777777" w:rsidTr="00220A00">
        <w:tc>
          <w:tcPr>
            <w:tcW w:w="3535" w:type="dxa"/>
            <w:tcBorders>
              <w:right w:val="single" w:sz="4" w:space="0" w:color="auto"/>
            </w:tcBorders>
            <w:shd w:val="clear" w:color="auto" w:fill="D9D9D9"/>
          </w:tcPr>
          <w:p w14:paraId="1FA15B14"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Activity</w:t>
            </w:r>
          </w:p>
        </w:tc>
        <w:tc>
          <w:tcPr>
            <w:tcW w:w="1386" w:type="dxa"/>
            <w:tcBorders>
              <w:left w:val="single" w:sz="4" w:space="0" w:color="auto"/>
              <w:right w:val="single" w:sz="4" w:space="0" w:color="auto"/>
            </w:tcBorders>
            <w:shd w:val="clear" w:color="auto" w:fill="D9D9D9"/>
          </w:tcPr>
          <w:p w14:paraId="0C2FD587"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Hour</w:t>
            </w:r>
          </w:p>
        </w:tc>
        <w:tc>
          <w:tcPr>
            <w:tcW w:w="1738" w:type="dxa"/>
            <w:tcBorders>
              <w:left w:val="single" w:sz="4" w:space="0" w:color="auto"/>
              <w:right w:val="single" w:sz="4" w:space="0" w:color="auto"/>
            </w:tcBorders>
            <w:shd w:val="clear" w:color="auto" w:fill="D9D9D9"/>
          </w:tcPr>
          <w:p w14:paraId="221F458E"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 xml:space="preserve"> Day/week  </w:t>
            </w:r>
          </w:p>
        </w:tc>
        <w:tc>
          <w:tcPr>
            <w:tcW w:w="1971" w:type="dxa"/>
            <w:tcBorders>
              <w:left w:val="single" w:sz="4" w:space="0" w:color="auto"/>
            </w:tcBorders>
            <w:shd w:val="clear" w:color="auto" w:fill="D9D9D9"/>
          </w:tcPr>
          <w:p w14:paraId="24BC2431"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In total</w:t>
            </w:r>
          </w:p>
        </w:tc>
      </w:tr>
      <w:tr w:rsidR="00E64552" w:rsidRPr="00F96974" w14:paraId="6066E78B" w14:textId="77777777" w:rsidTr="00220A00">
        <w:tc>
          <w:tcPr>
            <w:tcW w:w="3535" w:type="dxa"/>
            <w:tcBorders>
              <w:right w:val="single" w:sz="4" w:space="0" w:color="auto"/>
            </w:tcBorders>
            <w:shd w:val="clear" w:color="auto" w:fill="FFFFFF"/>
          </w:tcPr>
          <w:p w14:paraId="06E3063C" w14:textId="77777777" w:rsidR="00E64552" w:rsidRPr="003F2FE3" w:rsidRDefault="00E64552" w:rsidP="00015BE6">
            <w:pPr>
              <w:rPr>
                <w:sz w:val="22"/>
                <w:szCs w:val="22"/>
                <w:lang w:val="en-GB"/>
              </w:rPr>
            </w:pPr>
            <w:r w:rsidRPr="003F2FE3">
              <w:rPr>
                <w:sz w:val="22"/>
                <w:szCs w:val="22"/>
                <w:lang w:val="en-GB"/>
              </w:rPr>
              <w:t xml:space="preserve">Lectures </w:t>
            </w:r>
          </w:p>
        </w:tc>
        <w:tc>
          <w:tcPr>
            <w:tcW w:w="1386" w:type="dxa"/>
            <w:tcBorders>
              <w:left w:val="single" w:sz="4" w:space="0" w:color="auto"/>
              <w:right w:val="single" w:sz="4" w:space="0" w:color="auto"/>
            </w:tcBorders>
            <w:shd w:val="clear" w:color="auto" w:fill="FFFFFF"/>
          </w:tcPr>
          <w:p w14:paraId="4E72D934"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27037C94"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4BCF07B1" w14:textId="77777777" w:rsidR="00E64552" w:rsidRPr="00F96974" w:rsidRDefault="00E64552" w:rsidP="00015BE6">
            <w:pPr>
              <w:rPr>
                <w:rFonts w:ascii="Calibri" w:hAnsi="Calibri" w:cs="Arial"/>
                <w:sz w:val="22"/>
                <w:szCs w:val="22"/>
                <w:lang w:val="en-GB"/>
              </w:rPr>
            </w:pPr>
          </w:p>
        </w:tc>
      </w:tr>
      <w:tr w:rsidR="00E64552" w:rsidRPr="00F96974" w14:paraId="149D89D4" w14:textId="77777777" w:rsidTr="00220A00">
        <w:tc>
          <w:tcPr>
            <w:tcW w:w="3535" w:type="dxa"/>
            <w:tcBorders>
              <w:right w:val="single" w:sz="4" w:space="0" w:color="auto"/>
            </w:tcBorders>
            <w:shd w:val="clear" w:color="auto" w:fill="FFFFFF"/>
          </w:tcPr>
          <w:p w14:paraId="66CD9BF5" w14:textId="77777777" w:rsidR="00E64552" w:rsidRPr="003F2FE3" w:rsidRDefault="00E64552" w:rsidP="00015BE6">
            <w:pPr>
              <w:rPr>
                <w:sz w:val="22"/>
                <w:szCs w:val="22"/>
                <w:lang w:val="en-GB"/>
              </w:rPr>
            </w:pPr>
            <w:r w:rsidRPr="003F2FE3">
              <w:rPr>
                <w:sz w:val="22"/>
                <w:szCs w:val="22"/>
                <w:lang w:val="en-GB"/>
              </w:rPr>
              <w:t>Theoretical exercises/laboratory</w:t>
            </w:r>
          </w:p>
        </w:tc>
        <w:tc>
          <w:tcPr>
            <w:tcW w:w="1386" w:type="dxa"/>
            <w:tcBorders>
              <w:left w:val="single" w:sz="4" w:space="0" w:color="auto"/>
              <w:right w:val="single" w:sz="4" w:space="0" w:color="auto"/>
            </w:tcBorders>
            <w:shd w:val="clear" w:color="auto" w:fill="FFFFFF"/>
          </w:tcPr>
          <w:p w14:paraId="78E4E562"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0040E993"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554D6160" w14:textId="77777777" w:rsidR="00E64552" w:rsidRPr="00F96974" w:rsidRDefault="00E64552" w:rsidP="00015BE6">
            <w:pPr>
              <w:rPr>
                <w:rFonts w:ascii="Calibri" w:hAnsi="Calibri" w:cs="Arial"/>
                <w:sz w:val="22"/>
                <w:szCs w:val="22"/>
                <w:lang w:val="en-GB"/>
              </w:rPr>
            </w:pPr>
          </w:p>
        </w:tc>
      </w:tr>
      <w:tr w:rsidR="00E64552" w:rsidRPr="00F96974" w14:paraId="106DBF28" w14:textId="77777777" w:rsidTr="00220A00">
        <w:tc>
          <w:tcPr>
            <w:tcW w:w="3535" w:type="dxa"/>
            <w:tcBorders>
              <w:right w:val="single" w:sz="4" w:space="0" w:color="auto"/>
            </w:tcBorders>
            <w:shd w:val="clear" w:color="auto" w:fill="FFFFFF"/>
          </w:tcPr>
          <w:p w14:paraId="7ABD45BB" w14:textId="77777777" w:rsidR="00E64552" w:rsidRPr="003F2FE3" w:rsidRDefault="00E64552" w:rsidP="00015BE6">
            <w:pPr>
              <w:rPr>
                <w:sz w:val="22"/>
                <w:szCs w:val="22"/>
                <w:lang w:val="en-GB"/>
              </w:rPr>
            </w:pPr>
            <w:r w:rsidRPr="003F2FE3">
              <w:rPr>
                <w:sz w:val="22"/>
                <w:szCs w:val="22"/>
                <w:lang w:val="en-GB"/>
              </w:rPr>
              <w:t>Practice work</w:t>
            </w:r>
          </w:p>
        </w:tc>
        <w:tc>
          <w:tcPr>
            <w:tcW w:w="1386" w:type="dxa"/>
            <w:tcBorders>
              <w:left w:val="single" w:sz="4" w:space="0" w:color="auto"/>
              <w:right w:val="single" w:sz="4" w:space="0" w:color="auto"/>
            </w:tcBorders>
            <w:shd w:val="clear" w:color="auto" w:fill="FFFFFF"/>
          </w:tcPr>
          <w:p w14:paraId="4A290E38"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24135AC7"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158E555E" w14:textId="77777777" w:rsidR="00E64552" w:rsidRPr="00F96974" w:rsidRDefault="00E64552" w:rsidP="00015BE6">
            <w:pPr>
              <w:rPr>
                <w:rFonts w:ascii="Calibri" w:hAnsi="Calibri" w:cs="Arial"/>
                <w:sz w:val="22"/>
                <w:szCs w:val="22"/>
                <w:lang w:val="en-GB"/>
              </w:rPr>
            </w:pPr>
          </w:p>
        </w:tc>
      </w:tr>
      <w:tr w:rsidR="00E64552" w:rsidRPr="00F96974" w14:paraId="32640792" w14:textId="77777777" w:rsidTr="00220A00">
        <w:tc>
          <w:tcPr>
            <w:tcW w:w="3535" w:type="dxa"/>
            <w:tcBorders>
              <w:right w:val="single" w:sz="4" w:space="0" w:color="auto"/>
            </w:tcBorders>
            <w:shd w:val="clear" w:color="auto" w:fill="FFFFFF"/>
          </w:tcPr>
          <w:p w14:paraId="5D4B2A5C" w14:textId="77777777" w:rsidR="00E64552" w:rsidRPr="003F2FE3" w:rsidRDefault="00E64552" w:rsidP="00015BE6">
            <w:pPr>
              <w:rPr>
                <w:sz w:val="22"/>
                <w:szCs w:val="22"/>
                <w:lang w:val="en-GB"/>
              </w:rPr>
            </w:pPr>
            <w:r w:rsidRPr="003F2FE3">
              <w:rPr>
                <w:sz w:val="22"/>
                <w:szCs w:val="22"/>
                <w:lang w:val="en-GB"/>
              </w:rPr>
              <w:t xml:space="preserve">Contacts with </w:t>
            </w:r>
            <w:proofErr w:type="spellStart"/>
            <w:r w:rsidRPr="003F2FE3">
              <w:rPr>
                <w:sz w:val="22"/>
                <w:szCs w:val="22"/>
                <w:lang w:val="en-GB"/>
              </w:rPr>
              <w:t>lectorer</w:t>
            </w:r>
            <w:proofErr w:type="spellEnd"/>
            <w:r w:rsidRPr="003F2FE3">
              <w:rPr>
                <w:sz w:val="22"/>
                <w:szCs w:val="22"/>
                <w:lang w:val="en-GB"/>
              </w:rPr>
              <w:t>/</w:t>
            </w:r>
            <w:proofErr w:type="spellStart"/>
            <w:r w:rsidRPr="003F2FE3">
              <w:rPr>
                <w:sz w:val="22"/>
                <w:szCs w:val="22"/>
                <w:lang w:val="en-GB"/>
              </w:rPr>
              <w:t>consulations</w:t>
            </w:r>
            <w:proofErr w:type="spellEnd"/>
          </w:p>
        </w:tc>
        <w:tc>
          <w:tcPr>
            <w:tcW w:w="1386" w:type="dxa"/>
            <w:tcBorders>
              <w:left w:val="single" w:sz="4" w:space="0" w:color="auto"/>
              <w:right w:val="single" w:sz="4" w:space="0" w:color="auto"/>
            </w:tcBorders>
            <w:shd w:val="clear" w:color="auto" w:fill="FFFFFF"/>
          </w:tcPr>
          <w:p w14:paraId="27A4FA8B"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7F2C6848"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65A97E6D" w14:textId="77777777" w:rsidR="00E64552" w:rsidRPr="00F96974" w:rsidRDefault="00E64552" w:rsidP="00015BE6">
            <w:pPr>
              <w:rPr>
                <w:rFonts w:ascii="Calibri" w:hAnsi="Calibri" w:cs="Arial"/>
                <w:sz w:val="22"/>
                <w:szCs w:val="22"/>
                <w:lang w:val="en-GB"/>
              </w:rPr>
            </w:pPr>
          </w:p>
        </w:tc>
      </w:tr>
      <w:tr w:rsidR="00E64552" w:rsidRPr="00F96974" w14:paraId="1EEFAD0E" w14:textId="77777777" w:rsidTr="00220A00">
        <w:tc>
          <w:tcPr>
            <w:tcW w:w="3535" w:type="dxa"/>
            <w:tcBorders>
              <w:right w:val="single" w:sz="4" w:space="0" w:color="auto"/>
            </w:tcBorders>
            <w:shd w:val="clear" w:color="auto" w:fill="FFFFFF"/>
          </w:tcPr>
          <w:p w14:paraId="42833C10" w14:textId="77777777" w:rsidR="00E64552" w:rsidRPr="003F2FE3" w:rsidRDefault="00E64552" w:rsidP="00015BE6">
            <w:pPr>
              <w:rPr>
                <w:sz w:val="22"/>
                <w:szCs w:val="22"/>
                <w:lang w:val="en-GB"/>
              </w:rPr>
            </w:pPr>
            <w:r w:rsidRPr="003F2FE3">
              <w:rPr>
                <w:sz w:val="22"/>
                <w:szCs w:val="22"/>
                <w:lang w:val="en-GB"/>
              </w:rPr>
              <w:t xml:space="preserve">Field practice </w:t>
            </w:r>
          </w:p>
        </w:tc>
        <w:tc>
          <w:tcPr>
            <w:tcW w:w="1386" w:type="dxa"/>
            <w:tcBorders>
              <w:left w:val="single" w:sz="4" w:space="0" w:color="auto"/>
              <w:right w:val="single" w:sz="4" w:space="0" w:color="auto"/>
            </w:tcBorders>
            <w:shd w:val="clear" w:color="auto" w:fill="FFFFFF"/>
          </w:tcPr>
          <w:p w14:paraId="3FA40B5A"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135457DC"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25BB566F" w14:textId="77777777" w:rsidR="00E64552" w:rsidRPr="00F96974" w:rsidRDefault="00E64552" w:rsidP="00015BE6">
            <w:pPr>
              <w:rPr>
                <w:rFonts w:ascii="Calibri" w:hAnsi="Calibri" w:cs="Arial"/>
                <w:sz w:val="22"/>
                <w:szCs w:val="22"/>
                <w:lang w:val="en-GB"/>
              </w:rPr>
            </w:pPr>
          </w:p>
        </w:tc>
      </w:tr>
      <w:tr w:rsidR="00E64552" w:rsidRPr="00F96974" w14:paraId="1F361CEA" w14:textId="77777777" w:rsidTr="00220A00">
        <w:tc>
          <w:tcPr>
            <w:tcW w:w="3535" w:type="dxa"/>
            <w:tcBorders>
              <w:right w:val="single" w:sz="4" w:space="0" w:color="auto"/>
            </w:tcBorders>
            <w:shd w:val="clear" w:color="auto" w:fill="FFFFFF"/>
          </w:tcPr>
          <w:p w14:paraId="6BCEA58F" w14:textId="77777777" w:rsidR="00E64552" w:rsidRPr="003F2FE3" w:rsidRDefault="00E64552" w:rsidP="00015BE6">
            <w:pPr>
              <w:rPr>
                <w:sz w:val="22"/>
                <w:szCs w:val="22"/>
                <w:lang w:val="en-GB"/>
              </w:rPr>
            </w:pPr>
            <w:r w:rsidRPr="003F2FE3">
              <w:rPr>
                <w:sz w:val="22"/>
                <w:szCs w:val="22"/>
                <w:lang w:val="en-GB"/>
              </w:rPr>
              <w:t xml:space="preserve">Midterm exam, workshops </w:t>
            </w:r>
          </w:p>
        </w:tc>
        <w:tc>
          <w:tcPr>
            <w:tcW w:w="1386" w:type="dxa"/>
            <w:tcBorders>
              <w:left w:val="single" w:sz="4" w:space="0" w:color="auto"/>
              <w:right w:val="single" w:sz="4" w:space="0" w:color="auto"/>
            </w:tcBorders>
            <w:shd w:val="clear" w:color="auto" w:fill="FFFFFF"/>
          </w:tcPr>
          <w:p w14:paraId="71B256FB"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61BFDB16"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1844B73B" w14:textId="77777777" w:rsidR="00E64552" w:rsidRPr="00F96974" w:rsidRDefault="00E64552" w:rsidP="00015BE6">
            <w:pPr>
              <w:rPr>
                <w:rFonts w:ascii="Calibri" w:hAnsi="Calibri" w:cs="Arial"/>
                <w:sz w:val="22"/>
                <w:szCs w:val="22"/>
                <w:lang w:val="en-GB"/>
              </w:rPr>
            </w:pPr>
          </w:p>
        </w:tc>
      </w:tr>
      <w:tr w:rsidR="00E64552" w:rsidRPr="00F96974" w14:paraId="6EB9A5DB" w14:textId="77777777" w:rsidTr="00220A00">
        <w:tc>
          <w:tcPr>
            <w:tcW w:w="3535" w:type="dxa"/>
            <w:tcBorders>
              <w:right w:val="single" w:sz="4" w:space="0" w:color="auto"/>
            </w:tcBorders>
            <w:shd w:val="clear" w:color="auto" w:fill="FFFFFF"/>
          </w:tcPr>
          <w:p w14:paraId="7A00059C" w14:textId="77777777" w:rsidR="00E64552" w:rsidRPr="003F2FE3" w:rsidRDefault="00E64552" w:rsidP="00015BE6">
            <w:pPr>
              <w:rPr>
                <w:sz w:val="22"/>
                <w:szCs w:val="22"/>
                <w:lang w:val="en-GB"/>
              </w:rPr>
            </w:pPr>
            <w:r w:rsidRPr="003F2FE3">
              <w:rPr>
                <w:sz w:val="22"/>
                <w:szCs w:val="22"/>
                <w:lang w:val="en-GB"/>
              </w:rPr>
              <w:t xml:space="preserve">Homework </w:t>
            </w:r>
          </w:p>
        </w:tc>
        <w:tc>
          <w:tcPr>
            <w:tcW w:w="1386" w:type="dxa"/>
            <w:tcBorders>
              <w:left w:val="single" w:sz="4" w:space="0" w:color="auto"/>
              <w:right w:val="single" w:sz="4" w:space="0" w:color="auto"/>
            </w:tcBorders>
            <w:shd w:val="clear" w:color="auto" w:fill="FFFFFF"/>
          </w:tcPr>
          <w:p w14:paraId="6DE4323F"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66688F66"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54522747" w14:textId="77777777" w:rsidR="00E64552" w:rsidRPr="00F96974" w:rsidRDefault="00E64552" w:rsidP="00015BE6">
            <w:pPr>
              <w:rPr>
                <w:rFonts w:ascii="Calibri" w:hAnsi="Calibri" w:cs="Arial"/>
                <w:sz w:val="22"/>
                <w:szCs w:val="22"/>
                <w:lang w:val="en-GB"/>
              </w:rPr>
            </w:pPr>
          </w:p>
        </w:tc>
      </w:tr>
      <w:tr w:rsidR="00E64552" w:rsidRPr="00F96974" w14:paraId="03B4AFA6" w14:textId="77777777" w:rsidTr="00220A00">
        <w:tc>
          <w:tcPr>
            <w:tcW w:w="3535" w:type="dxa"/>
            <w:tcBorders>
              <w:right w:val="single" w:sz="4" w:space="0" w:color="auto"/>
            </w:tcBorders>
            <w:shd w:val="clear" w:color="auto" w:fill="FFFFFF"/>
          </w:tcPr>
          <w:p w14:paraId="631CC54F" w14:textId="77777777" w:rsidR="00E64552" w:rsidRPr="003F2FE3" w:rsidRDefault="00E64552" w:rsidP="00015BE6">
            <w:pPr>
              <w:rPr>
                <w:sz w:val="22"/>
                <w:szCs w:val="22"/>
                <w:lang w:val="en-GB"/>
              </w:rPr>
            </w:pPr>
            <w:proofErr w:type="spellStart"/>
            <w:r w:rsidRPr="003F2FE3">
              <w:rPr>
                <w:sz w:val="22"/>
                <w:szCs w:val="22"/>
                <w:lang w:val="en-GB"/>
              </w:rPr>
              <w:t>Self learning</w:t>
            </w:r>
            <w:proofErr w:type="spellEnd"/>
            <w:r w:rsidRPr="003F2FE3">
              <w:rPr>
                <w:sz w:val="22"/>
                <w:szCs w:val="22"/>
                <w:lang w:val="en-GB"/>
              </w:rPr>
              <w:t xml:space="preserve"> time student ( at the library or home )</w:t>
            </w:r>
          </w:p>
        </w:tc>
        <w:tc>
          <w:tcPr>
            <w:tcW w:w="1386" w:type="dxa"/>
            <w:tcBorders>
              <w:left w:val="single" w:sz="4" w:space="0" w:color="auto"/>
              <w:right w:val="single" w:sz="4" w:space="0" w:color="auto"/>
            </w:tcBorders>
            <w:shd w:val="clear" w:color="auto" w:fill="FFFFFF"/>
          </w:tcPr>
          <w:p w14:paraId="61CA4030"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270D5F22"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47077231" w14:textId="77777777" w:rsidR="00E64552" w:rsidRPr="00F96974" w:rsidRDefault="00E64552" w:rsidP="00015BE6">
            <w:pPr>
              <w:rPr>
                <w:rFonts w:ascii="Calibri" w:hAnsi="Calibri" w:cs="Arial"/>
                <w:sz w:val="22"/>
                <w:szCs w:val="22"/>
                <w:lang w:val="en-GB"/>
              </w:rPr>
            </w:pPr>
          </w:p>
        </w:tc>
      </w:tr>
      <w:tr w:rsidR="00E64552" w:rsidRPr="00F96974" w14:paraId="5DFF23CC" w14:textId="77777777" w:rsidTr="00220A00">
        <w:tc>
          <w:tcPr>
            <w:tcW w:w="3535" w:type="dxa"/>
            <w:tcBorders>
              <w:right w:val="single" w:sz="4" w:space="0" w:color="auto"/>
            </w:tcBorders>
            <w:shd w:val="clear" w:color="auto" w:fill="FFFFFF"/>
          </w:tcPr>
          <w:p w14:paraId="45C331B8" w14:textId="77777777" w:rsidR="00E64552" w:rsidRPr="003F2FE3" w:rsidRDefault="00E64552" w:rsidP="00015BE6">
            <w:pPr>
              <w:rPr>
                <w:sz w:val="22"/>
                <w:szCs w:val="22"/>
                <w:lang w:val="en-GB"/>
              </w:rPr>
            </w:pPr>
            <w:r w:rsidRPr="003F2FE3">
              <w:rPr>
                <w:sz w:val="22"/>
                <w:szCs w:val="22"/>
                <w:lang w:val="en-GB"/>
              </w:rPr>
              <w:t>Final preparation for the exam</w:t>
            </w:r>
          </w:p>
        </w:tc>
        <w:tc>
          <w:tcPr>
            <w:tcW w:w="1386" w:type="dxa"/>
            <w:tcBorders>
              <w:left w:val="single" w:sz="4" w:space="0" w:color="auto"/>
              <w:right w:val="single" w:sz="4" w:space="0" w:color="auto"/>
            </w:tcBorders>
            <w:shd w:val="clear" w:color="auto" w:fill="FFFFFF"/>
          </w:tcPr>
          <w:p w14:paraId="6C574572"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6B100BF1"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61A6FB2F" w14:textId="77777777" w:rsidR="00E64552" w:rsidRPr="00F96974" w:rsidRDefault="00E64552" w:rsidP="00015BE6">
            <w:pPr>
              <w:rPr>
                <w:rFonts w:ascii="Calibri" w:hAnsi="Calibri" w:cs="Arial"/>
                <w:sz w:val="22"/>
                <w:szCs w:val="22"/>
                <w:lang w:val="en-GB"/>
              </w:rPr>
            </w:pPr>
          </w:p>
        </w:tc>
      </w:tr>
      <w:tr w:rsidR="00E64552" w:rsidRPr="00F96974" w14:paraId="1CDCA4CE" w14:textId="77777777" w:rsidTr="00220A00">
        <w:tc>
          <w:tcPr>
            <w:tcW w:w="3535" w:type="dxa"/>
            <w:tcBorders>
              <w:right w:val="single" w:sz="4" w:space="0" w:color="auto"/>
            </w:tcBorders>
            <w:shd w:val="clear" w:color="auto" w:fill="FFFFFF"/>
          </w:tcPr>
          <w:p w14:paraId="200D2E44" w14:textId="77777777" w:rsidR="00E64552" w:rsidRPr="003F2FE3" w:rsidRDefault="00E64552" w:rsidP="00015BE6">
            <w:pPr>
              <w:rPr>
                <w:sz w:val="22"/>
                <w:szCs w:val="22"/>
                <w:lang w:val="en-GB"/>
              </w:rPr>
            </w:pPr>
            <w:r w:rsidRPr="003F2FE3">
              <w:rPr>
                <w:sz w:val="22"/>
                <w:szCs w:val="22"/>
                <w:lang w:val="en-GB"/>
              </w:rPr>
              <w:t>Time spent on evaluation ( tests, quiz, final exam )</w:t>
            </w:r>
          </w:p>
        </w:tc>
        <w:tc>
          <w:tcPr>
            <w:tcW w:w="1386" w:type="dxa"/>
            <w:tcBorders>
              <w:left w:val="single" w:sz="4" w:space="0" w:color="auto"/>
              <w:right w:val="single" w:sz="4" w:space="0" w:color="auto"/>
            </w:tcBorders>
            <w:shd w:val="clear" w:color="auto" w:fill="FFFFFF"/>
          </w:tcPr>
          <w:p w14:paraId="34B4A26C"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10C7DA29"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5E0910F6" w14:textId="77777777" w:rsidR="00E64552" w:rsidRPr="00F96974" w:rsidRDefault="00E64552" w:rsidP="00015BE6">
            <w:pPr>
              <w:rPr>
                <w:rFonts w:ascii="Calibri" w:hAnsi="Calibri" w:cs="Arial"/>
                <w:sz w:val="22"/>
                <w:szCs w:val="22"/>
                <w:lang w:val="en-GB"/>
              </w:rPr>
            </w:pPr>
          </w:p>
        </w:tc>
      </w:tr>
      <w:tr w:rsidR="00E64552" w:rsidRPr="00F96974" w14:paraId="0EC4C96F" w14:textId="77777777" w:rsidTr="00220A00">
        <w:tc>
          <w:tcPr>
            <w:tcW w:w="3535" w:type="dxa"/>
            <w:tcBorders>
              <w:right w:val="single" w:sz="4" w:space="0" w:color="auto"/>
            </w:tcBorders>
            <w:shd w:val="clear" w:color="auto" w:fill="FFFFFF"/>
          </w:tcPr>
          <w:p w14:paraId="57AB3AD7" w14:textId="77777777" w:rsidR="00E64552" w:rsidRPr="003F2FE3" w:rsidRDefault="00E64552" w:rsidP="00015BE6">
            <w:pPr>
              <w:rPr>
                <w:sz w:val="22"/>
                <w:szCs w:val="22"/>
                <w:lang w:val="en-GB"/>
              </w:rPr>
            </w:pPr>
            <w:r w:rsidRPr="003F2FE3">
              <w:rPr>
                <w:sz w:val="22"/>
                <w:szCs w:val="22"/>
                <w:lang w:val="en-GB"/>
              </w:rPr>
              <w:t xml:space="preserve">Projects, </w:t>
            </w:r>
            <w:proofErr w:type="gramStart"/>
            <w:r w:rsidRPr="003F2FE3">
              <w:rPr>
                <w:sz w:val="22"/>
                <w:szCs w:val="22"/>
                <w:lang w:val="en-GB"/>
              </w:rPr>
              <w:t>presentations ,</w:t>
            </w:r>
            <w:proofErr w:type="gramEnd"/>
            <w:r w:rsidRPr="003F2FE3">
              <w:rPr>
                <w:sz w:val="22"/>
                <w:szCs w:val="22"/>
                <w:lang w:val="en-GB"/>
              </w:rPr>
              <w:t>etc.</w:t>
            </w:r>
          </w:p>
          <w:p w14:paraId="5EFD394C" w14:textId="77777777" w:rsidR="00E64552" w:rsidRPr="003F2FE3" w:rsidRDefault="00E64552" w:rsidP="00015BE6">
            <w:pPr>
              <w:tabs>
                <w:tab w:val="center" w:pos="1700"/>
              </w:tabs>
              <w:rPr>
                <w:sz w:val="22"/>
                <w:szCs w:val="22"/>
                <w:lang w:val="en-GB"/>
              </w:rPr>
            </w:pPr>
            <w:r w:rsidRPr="003F2FE3">
              <w:rPr>
                <w:sz w:val="22"/>
                <w:szCs w:val="22"/>
                <w:lang w:val="en-GB"/>
              </w:rPr>
              <w:t xml:space="preserve"> </w:t>
            </w:r>
            <w:r w:rsidRPr="003F2FE3">
              <w:rPr>
                <w:sz w:val="22"/>
                <w:szCs w:val="22"/>
                <w:lang w:val="en-GB"/>
              </w:rPr>
              <w:tab/>
            </w:r>
          </w:p>
        </w:tc>
        <w:tc>
          <w:tcPr>
            <w:tcW w:w="1386" w:type="dxa"/>
            <w:tcBorders>
              <w:left w:val="single" w:sz="4" w:space="0" w:color="auto"/>
              <w:right w:val="single" w:sz="4" w:space="0" w:color="auto"/>
            </w:tcBorders>
            <w:shd w:val="clear" w:color="auto" w:fill="FFFFFF"/>
          </w:tcPr>
          <w:p w14:paraId="338C07BB" w14:textId="77777777" w:rsidR="00E64552" w:rsidRPr="00F96974" w:rsidRDefault="00E64552" w:rsidP="00015BE6">
            <w:pPr>
              <w:rPr>
                <w:rFonts w:ascii="Calibri" w:hAnsi="Calibri" w:cs="Arial"/>
                <w:sz w:val="22"/>
                <w:szCs w:val="22"/>
                <w:lang w:val="en-GB"/>
              </w:rPr>
            </w:pPr>
          </w:p>
        </w:tc>
        <w:tc>
          <w:tcPr>
            <w:tcW w:w="1738" w:type="dxa"/>
            <w:tcBorders>
              <w:left w:val="single" w:sz="4" w:space="0" w:color="auto"/>
              <w:right w:val="single" w:sz="4" w:space="0" w:color="auto"/>
            </w:tcBorders>
            <w:shd w:val="clear" w:color="auto" w:fill="FFFFFF"/>
          </w:tcPr>
          <w:p w14:paraId="1E1152B9" w14:textId="77777777" w:rsidR="00E64552" w:rsidRPr="00F96974" w:rsidRDefault="00E64552" w:rsidP="00015BE6">
            <w:pPr>
              <w:rPr>
                <w:rFonts w:ascii="Calibri" w:hAnsi="Calibri" w:cs="Arial"/>
                <w:sz w:val="22"/>
                <w:szCs w:val="22"/>
                <w:lang w:val="en-GB"/>
              </w:rPr>
            </w:pPr>
          </w:p>
        </w:tc>
        <w:tc>
          <w:tcPr>
            <w:tcW w:w="1971" w:type="dxa"/>
            <w:tcBorders>
              <w:left w:val="single" w:sz="4" w:space="0" w:color="auto"/>
            </w:tcBorders>
            <w:shd w:val="clear" w:color="auto" w:fill="FFFFFF"/>
          </w:tcPr>
          <w:p w14:paraId="199F491E" w14:textId="77777777" w:rsidR="00E64552" w:rsidRPr="00F96974" w:rsidRDefault="00E64552" w:rsidP="00015BE6">
            <w:pPr>
              <w:rPr>
                <w:rFonts w:ascii="Calibri" w:hAnsi="Calibri" w:cs="Arial"/>
                <w:sz w:val="22"/>
                <w:szCs w:val="22"/>
                <w:lang w:val="en-GB"/>
              </w:rPr>
            </w:pPr>
          </w:p>
        </w:tc>
      </w:tr>
      <w:tr w:rsidR="00E64552" w:rsidRPr="00F96974" w14:paraId="156FD5D9" w14:textId="77777777" w:rsidTr="00220A00">
        <w:tc>
          <w:tcPr>
            <w:tcW w:w="3535" w:type="dxa"/>
            <w:tcBorders>
              <w:right w:val="single" w:sz="4" w:space="0" w:color="auto"/>
            </w:tcBorders>
            <w:shd w:val="clear" w:color="auto" w:fill="D9D9D9"/>
          </w:tcPr>
          <w:p w14:paraId="2E707061" w14:textId="77777777" w:rsidR="00E64552" w:rsidRPr="00F96974" w:rsidRDefault="00E64552" w:rsidP="00015BE6">
            <w:pPr>
              <w:rPr>
                <w:rFonts w:ascii="Calibri" w:hAnsi="Calibri" w:cs="Arial"/>
                <w:b/>
                <w:sz w:val="22"/>
                <w:szCs w:val="22"/>
                <w:lang w:val="en-GB"/>
              </w:rPr>
            </w:pPr>
            <w:r w:rsidRPr="00F96974">
              <w:rPr>
                <w:rFonts w:ascii="Calibri" w:hAnsi="Calibri" w:cs="Arial"/>
                <w:b/>
                <w:sz w:val="22"/>
                <w:szCs w:val="22"/>
                <w:lang w:val="en-GB"/>
              </w:rPr>
              <w:t>Total</w:t>
            </w:r>
          </w:p>
          <w:p w14:paraId="2A9416E6" w14:textId="77777777" w:rsidR="00E64552" w:rsidRPr="00F96974" w:rsidRDefault="00E64552" w:rsidP="00015BE6">
            <w:pPr>
              <w:rPr>
                <w:rFonts w:ascii="Calibri" w:hAnsi="Calibri" w:cs="Arial"/>
                <w:b/>
                <w:sz w:val="22"/>
                <w:szCs w:val="22"/>
                <w:lang w:val="en-GB"/>
              </w:rPr>
            </w:pPr>
          </w:p>
        </w:tc>
        <w:tc>
          <w:tcPr>
            <w:tcW w:w="1386" w:type="dxa"/>
            <w:tcBorders>
              <w:left w:val="single" w:sz="4" w:space="0" w:color="auto"/>
              <w:right w:val="single" w:sz="4" w:space="0" w:color="auto"/>
            </w:tcBorders>
            <w:shd w:val="clear" w:color="auto" w:fill="D9D9D9"/>
          </w:tcPr>
          <w:p w14:paraId="0E3F5158" w14:textId="77777777" w:rsidR="00E64552" w:rsidRPr="00F96974" w:rsidRDefault="00E64552" w:rsidP="00015BE6">
            <w:pPr>
              <w:rPr>
                <w:rFonts w:ascii="Calibri" w:hAnsi="Calibri" w:cs="Arial"/>
                <w:b/>
                <w:sz w:val="22"/>
                <w:szCs w:val="22"/>
                <w:lang w:val="en-GB"/>
              </w:rPr>
            </w:pPr>
          </w:p>
        </w:tc>
        <w:tc>
          <w:tcPr>
            <w:tcW w:w="1738" w:type="dxa"/>
            <w:tcBorders>
              <w:left w:val="single" w:sz="4" w:space="0" w:color="auto"/>
              <w:right w:val="single" w:sz="4" w:space="0" w:color="auto"/>
            </w:tcBorders>
            <w:shd w:val="clear" w:color="auto" w:fill="D9D9D9"/>
          </w:tcPr>
          <w:p w14:paraId="2E206401" w14:textId="77777777" w:rsidR="00E64552" w:rsidRPr="00F96974" w:rsidRDefault="00E64552" w:rsidP="00015BE6">
            <w:pPr>
              <w:rPr>
                <w:rFonts w:ascii="Calibri" w:hAnsi="Calibri" w:cs="Arial"/>
                <w:b/>
                <w:sz w:val="22"/>
                <w:szCs w:val="22"/>
                <w:lang w:val="en-GB"/>
              </w:rPr>
            </w:pPr>
          </w:p>
        </w:tc>
        <w:tc>
          <w:tcPr>
            <w:tcW w:w="1971" w:type="dxa"/>
            <w:tcBorders>
              <w:left w:val="single" w:sz="4" w:space="0" w:color="auto"/>
            </w:tcBorders>
            <w:shd w:val="clear" w:color="auto" w:fill="D9D9D9"/>
          </w:tcPr>
          <w:p w14:paraId="2BA93555" w14:textId="77777777" w:rsidR="00E64552" w:rsidRPr="00F96974" w:rsidRDefault="00E64552" w:rsidP="00015BE6">
            <w:pPr>
              <w:rPr>
                <w:rFonts w:ascii="Calibri" w:hAnsi="Calibri" w:cs="Arial"/>
                <w:b/>
                <w:sz w:val="22"/>
                <w:szCs w:val="22"/>
                <w:lang w:val="en-GB"/>
              </w:rPr>
            </w:pPr>
          </w:p>
        </w:tc>
      </w:tr>
      <w:tr w:rsidR="00E64552" w:rsidRPr="00F96974" w14:paraId="024F6D15" w14:textId="77777777" w:rsidTr="00220A00">
        <w:tc>
          <w:tcPr>
            <w:tcW w:w="8630" w:type="dxa"/>
            <w:gridSpan w:val="4"/>
            <w:shd w:val="clear" w:color="auto" w:fill="D9D9D9"/>
          </w:tcPr>
          <w:p w14:paraId="7E6BA2BF" w14:textId="77777777" w:rsidR="00E64552" w:rsidRPr="00F96974" w:rsidRDefault="00E64552" w:rsidP="00015BE6">
            <w:pPr>
              <w:rPr>
                <w:rFonts w:ascii="Calibri" w:hAnsi="Calibri" w:cs="Arial"/>
                <w:b/>
                <w:sz w:val="22"/>
                <w:szCs w:val="22"/>
                <w:lang w:val="en-GB"/>
              </w:rPr>
            </w:pPr>
          </w:p>
        </w:tc>
      </w:tr>
      <w:tr w:rsidR="00E64552" w:rsidRPr="00F96974" w14:paraId="54084DA6" w14:textId="77777777" w:rsidTr="00220A00">
        <w:tc>
          <w:tcPr>
            <w:tcW w:w="3535" w:type="dxa"/>
          </w:tcPr>
          <w:p w14:paraId="3C185D20" w14:textId="77777777" w:rsidR="00E64552" w:rsidRPr="00F96974" w:rsidRDefault="00E64552" w:rsidP="00015BE6">
            <w:pPr>
              <w:pStyle w:val="NoSpacing"/>
              <w:rPr>
                <w:rFonts w:ascii="Calibri" w:hAnsi="Calibri"/>
                <w:b/>
                <w:lang w:val="en-GB"/>
              </w:rPr>
            </w:pPr>
            <w:r w:rsidRPr="00F96974">
              <w:rPr>
                <w:rFonts w:ascii="Calibri" w:hAnsi="Calibri"/>
                <w:b/>
                <w:lang w:val="en-GB"/>
              </w:rPr>
              <w:t xml:space="preserve">Methodology of teaching:  </w:t>
            </w:r>
          </w:p>
        </w:tc>
        <w:tc>
          <w:tcPr>
            <w:tcW w:w="5095" w:type="dxa"/>
            <w:gridSpan w:val="3"/>
          </w:tcPr>
          <w:p w14:paraId="1D6558B1" w14:textId="46B95C6C" w:rsidR="00E64552" w:rsidRPr="00F96974" w:rsidRDefault="004156E2" w:rsidP="00EB2C55">
            <w:pPr>
              <w:pStyle w:val="NoSpacing"/>
              <w:rPr>
                <w:rFonts w:ascii="Calibri" w:hAnsi="Calibri"/>
                <w:i/>
                <w:sz w:val="22"/>
                <w:szCs w:val="22"/>
                <w:lang w:val="en-GB"/>
              </w:rPr>
            </w:pPr>
            <w:r>
              <w:rPr>
                <w:rFonts w:ascii="Calibri" w:hAnsi="Calibri"/>
                <w:iCs/>
                <w:sz w:val="22"/>
                <w:szCs w:val="22"/>
                <w:lang w:val="en-GB"/>
              </w:rPr>
              <w:t>Lectures, independent study of doctrinal sources and case-law, in-class seminars</w:t>
            </w:r>
            <w:r w:rsidR="00E64552" w:rsidRPr="00F96974">
              <w:rPr>
                <w:rFonts w:ascii="Calibri" w:hAnsi="Calibri"/>
                <w:i/>
                <w:sz w:val="22"/>
                <w:szCs w:val="22"/>
                <w:lang w:val="en-GB"/>
              </w:rPr>
              <w:t>.</w:t>
            </w:r>
          </w:p>
        </w:tc>
      </w:tr>
      <w:tr w:rsidR="00E64552" w:rsidRPr="00F96974" w14:paraId="072337EB" w14:textId="77777777" w:rsidTr="00220A00">
        <w:tc>
          <w:tcPr>
            <w:tcW w:w="3535" w:type="dxa"/>
          </w:tcPr>
          <w:p w14:paraId="5D97C0DB" w14:textId="77777777" w:rsidR="00E64552" w:rsidRPr="00F96974" w:rsidRDefault="00E64552" w:rsidP="00015BE6">
            <w:pPr>
              <w:pStyle w:val="NoSpacing"/>
              <w:rPr>
                <w:rFonts w:ascii="Calibri" w:hAnsi="Calibri"/>
                <w:b/>
                <w:lang w:val="en-GB"/>
              </w:rPr>
            </w:pPr>
          </w:p>
        </w:tc>
        <w:tc>
          <w:tcPr>
            <w:tcW w:w="5095" w:type="dxa"/>
            <w:gridSpan w:val="3"/>
          </w:tcPr>
          <w:p w14:paraId="21CE6C73" w14:textId="77777777" w:rsidR="00E64552" w:rsidRPr="00F96974" w:rsidRDefault="00E64552" w:rsidP="00015BE6">
            <w:pPr>
              <w:pStyle w:val="NoSpacing"/>
              <w:rPr>
                <w:rFonts w:ascii="Calibri" w:hAnsi="Calibri"/>
                <w:i/>
                <w:sz w:val="22"/>
                <w:szCs w:val="22"/>
                <w:lang w:val="en-GB"/>
              </w:rPr>
            </w:pPr>
          </w:p>
        </w:tc>
      </w:tr>
      <w:tr w:rsidR="00E64552" w:rsidRPr="00F96974" w14:paraId="1B45B2DE" w14:textId="77777777" w:rsidTr="00220A00">
        <w:tc>
          <w:tcPr>
            <w:tcW w:w="3535" w:type="dxa"/>
          </w:tcPr>
          <w:p w14:paraId="6D24F86D" w14:textId="77777777" w:rsidR="00E64552" w:rsidRPr="00F96974" w:rsidRDefault="00E64552" w:rsidP="00015BE6">
            <w:pPr>
              <w:pStyle w:val="NoSpacing"/>
              <w:rPr>
                <w:rFonts w:ascii="Calibri" w:hAnsi="Calibri"/>
                <w:b/>
                <w:lang w:val="en-GB"/>
              </w:rPr>
            </w:pPr>
            <w:r w:rsidRPr="00F96974">
              <w:rPr>
                <w:rFonts w:ascii="Calibri" w:hAnsi="Calibri"/>
                <w:b/>
                <w:lang w:val="en-GB"/>
              </w:rPr>
              <w:t>Methods of assessment:</w:t>
            </w:r>
          </w:p>
        </w:tc>
        <w:tc>
          <w:tcPr>
            <w:tcW w:w="5095" w:type="dxa"/>
            <w:gridSpan w:val="3"/>
          </w:tcPr>
          <w:p w14:paraId="3E5B676E" w14:textId="14C0A916" w:rsidR="00E64552" w:rsidRPr="004156E2" w:rsidRDefault="004156E2" w:rsidP="00015BE6">
            <w:pPr>
              <w:pStyle w:val="NoSpacing"/>
              <w:rPr>
                <w:rFonts w:ascii="Calibri" w:hAnsi="Calibri"/>
                <w:iCs/>
                <w:sz w:val="22"/>
                <w:szCs w:val="22"/>
                <w:lang w:val="en-GB"/>
              </w:rPr>
            </w:pPr>
            <w:r>
              <w:rPr>
                <w:rFonts w:ascii="Calibri" w:hAnsi="Calibri"/>
                <w:iCs/>
                <w:sz w:val="22"/>
                <w:szCs w:val="22"/>
                <w:lang w:val="en-GB"/>
              </w:rPr>
              <w:t>Exam, seminars, case-summaries</w:t>
            </w:r>
          </w:p>
          <w:p w14:paraId="539BCE49" w14:textId="77777777" w:rsidR="00E64552" w:rsidRPr="00F96974" w:rsidRDefault="00E64552" w:rsidP="003F2FE3">
            <w:pPr>
              <w:pStyle w:val="NoSpacing"/>
              <w:rPr>
                <w:rFonts w:ascii="Calibri" w:hAnsi="Calibri"/>
                <w:i/>
                <w:sz w:val="20"/>
                <w:szCs w:val="20"/>
                <w:lang w:val="en-GB"/>
              </w:rPr>
            </w:pPr>
          </w:p>
        </w:tc>
      </w:tr>
      <w:tr w:rsidR="00E64552" w:rsidRPr="00F96974" w14:paraId="7D778C19" w14:textId="77777777" w:rsidTr="00220A00">
        <w:tc>
          <w:tcPr>
            <w:tcW w:w="8630" w:type="dxa"/>
            <w:gridSpan w:val="4"/>
            <w:shd w:val="clear" w:color="auto" w:fill="D9D9D9"/>
          </w:tcPr>
          <w:p w14:paraId="5BEBBB26" w14:textId="77777777" w:rsidR="00E64552" w:rsidRPr="00F96974" w:rsidRDefault="00E64552" w:rsidP="00015BE6">
            <w:pPr>
              <w:pStyle w:val="NoSpacing"/>
              <w:rPr>
                <w:rFonts w:ascii="Calibri" w:hAnsi="Calibri"/>
                <w:b/>
                <w:lang w:val="en-GB"/>
              </w:rPr>
            </w:pPr>
            <w:r w:rsidRPr="00F96974">
              <w:rPr>
                <w:rFonts w:ascii="Calibri" w:hAnsi="Calibri"/>
                <w:b/>
                <w:lang w:val="en-GB"/>
              </w:rPr>
              <w:t>Literature</w:t>
            </w:r>
          </w:p>
        </w:tc>
      </w:tr>
      <w:tr w:rsidR="00E64552" w:rsidRPr="00F96974" w14:paraId="73CA6803" w14:textId="77777777" w:rsidTr="00220A00">
        <w:tc>
          <w:tcPr>
            <w:tcW w:w="3535" w:type="dxa"/>
          </w:tcPr>
          <w:p w14:paraId="6E469F7A" w14:textId="77777777" w:rsidR="00E64552" w:rsidRPr="00F96974" w:rsidRDefault="00E64552" w:rsidP="00015BE6">
            <w:pPr>
              <w:pStyle w:val="NoSpacing"/>
              <w:rPr>
                <w:rFonts w:ascii="Calibri" w:hAnsi="Calibri"/>
                <w:b/>
                <w:lang w:val="en-GB"/>
              </w:rPr>
            </w:pPr>
            <w:r w:rsidRPr="00F96974">
              <w:rPr>
                <w:rFonts w:ascii="Calibri" w:hAnsi="Calibri"/>
                <w:b/>
                <w:lang w:val="en-GB"/>
              </w:rPr>
              <w:t xml:space="preserve">Basic literature:  </w:t>
            </w:r>
          </w:p>
        </w:tc>
        <w:tc>
          <w:tcPr>
            <w:tcW w:w="5095" w:type="dxa"/>
            <w:gridSpan w:val="3"/>
          </w:tcPr>
          <w:p w14:paraId="26610A07" w14:textId="47546873" w:rsidR="00E64552" w:rsidRPr="007F66F5" w:rsidRDefault="00220A00" w:rsidP="007F66F5">
            <w:pPr>
              <w:pStyle w:val="NoSpacing"/>
              <w:rPr>
                <w:rFonts w:ascii="Calibri" w:hAnsi="Calibri"/>
                <w:iCs/>
                <w:sz w:val="22"/>
                <w:szCs w:val="22"/>
                <w:lang w:val="en-GB"/>
              </w:rPr>
            </w:pPr>
            <w:r w:rsidRPr="0098030A">
              <w:rPr>
                <w:rFonts w:ascii="Calibri" w:hAnsi="Calibri"/>
                <w:iCs/>
                <w:sz w:val="22"/>
                <w:szCs w:val="22"/>
                <w:lang w:val="lv-LV"/>
              </w:rPr>
              <w:t>Human Rights and the Environment</w:t>
            </w:r>
            <w:r w:rsidRPr="00AA532B">
              <w:rPr>
                <w:rFonts w:ascii="Calibri" w:hAnsi="Calibri"/>
                <w:iCs/>
                <w:sz w:val="22"/>
                <w:szCs w:val="22"/>
                <w:lang w:val="lv-LV"/>
              </w:rPr>
              <w:t xml:space="preserve">. </w:t>
            </w:r>
            <w:r w:rsidRPr="0098030A">
              <w:rPr>
                <w:rFonts w:ascii="Calibri" w:hAnsi="Calibri"/>
                <w:iCs/>
                <w:sz w:val="22"/>
                <w:szCs w:val="22"/>
                <w:lang w:val="lv-LV"/>
              </w:rPr>
              <w:t>Key Issues</w:t>
            </w:r>
            <w:r w:rsidRPr="00AA532B">
              <w:rPr>
                <w:rFonts w:ascii="Calibri" w:hAnsi="Calibri"/>
                <w:iCs/>
                <w:sz w:val="22"/>
                <w:szCs w:val="22"/>
                <w:lang w:val="lv-LV"/>
              </w:rPr>
              <w:t xml:space="preserve">. </w:t>
            </w:r>
            <w:r w:rsidRPr="0098030A">
              <w:rPr>
                <w:rFonts w:ascii="Calibri" w:hAnsi="Calibri"/>
                <w:iCs/>
                <w:sz w:val="22"/>
                <w:szCs w:val="22"/>
                <w:lang w:val="lv-LV"/>
              </w:rPr>
              <w:t>Sumudu Atapattu</w:t>
            </w:r>
            <w:r w:rsidRPr="00AA532B">
              <w:rPr>
                <w:rFonts w:ascii="Calibri" w:hAnsi="Calibri"/>
                <w:iCs/>
                <w:sz w:val="22"/>
                <w:szCs w:val="22"/>
                <w:lang w:val="lv-LV"/>
              </w:rPr>
              <w:t xml:space="preserve"> and</w:t>
            </w:r>
            <w:r w:rsidRPr="0098030A">
              <w:rPr>
                <w:rFonts w:ascii="Calibri" w:hAnsi="Calibri"/>
                <w:iCs/>
                <w:sz w:val="22"/>
                <w:szCs w:val="22"/>
                <w:lang w:val="lv-LV"/>
              </w:rPr>
              <w:t>Andrea Schapper</w:t>
            </w:r>
            <w:r w:rsidRPr="00AA532B">
              <w:rPr>
                <w:rFonts w:ascii="Calibri" w:hAnsi="Calibri"/>
                <w:iCs/>
                <w:sz w:val="22"/>
                <w:szCs w:val="22"/>
                <w:lang w:val="lv-LV"/>
              </w:rPr>
              <w:t xml:space="preserve">. </w:t>
            </w:r>
            <w:r>
              <w:rPr>
                <w:rFonts w:ascii="Calibri" w:hAnsi="Calibri"/>
                <w:iCs/>
                <w:sz w:val="22"/>
                <w:szCs w:val="22"/>
                <w:lang w:val="lv-LV"/>
              </w:rPr>
              <w:t xml:space="preserve">Abingdon, Ņew York: </w:t>
            </w:r>
            <w:r w:rsidRPr="00AA532B">
              <w:rPr>
                <w:rFonts w:ascii="Calibri" w:hAnsi="Calibri"/>
                <w:iCs/>
                <w:sz w:val="22"/>
                <w:szCs w:val="22"/>
                <w:lang w:val="lv-LV"/>
              </w:rPr>
              <w:t>Routledge, [2019</w:t>
            </w:r>
            <w:r>
              <w:rPr>
                <w:rFonts w:ascii="Calibri" w:hAnsi="Calibri"/>
                <w:sz w:val="22"/>
                <w:szCs w:val="22"/>
                <w:lang w:val="lv-LV"/>
              </w:rPr>
              <w:t>]</w:t>
            </w:r>
          </w:p>
        </w:tc>
      </w:tr>
      <w:tr w:rsidR="00220A00" w:rsidRPr="00F96974" w14:paraId="240DBF5E" w14:textId="77777777" w:rsidTr="00220A00">
        <w:tc>
          <w:tcPr>
            <w:tcW w:w="3535" w:type="dxa"/>
          </w:tcPr>
          <w:p w14:paraId="0CE202C2" w14:textId="77777777" w:rsidR="00220A00" w:rsidRPr="00F96974" w:rsidRDefault="00220A00" w:rsidP="00015BE6">
            <w:pPr>
              <w:pStyle w:val="NoSpacing"/>
              <w:rPr>
                <w:rFonts w:ascii="Calibri" w:hAnsi="Calibri"/>
                <w:b/>
                <w:lang w:val="en-GB"/>
              </w:rPr>
            </w:pPr>
          </w:p>
        </w:tc>
        <w:tc>
          <w:tcPr>
            <w:tcW w:w="5095" w:type="dxa"/>
            <w:gridSpan w:val="3"/>
          </w:tcPr>
          <w:p w14:paraId="75E6B12D" w14:textId="632DAFB8" w:rsidR="00220A00" w:rsidRPr="00220A00" w:rsidRDefault="00220A00" w:rsidP="00220A00">
            <w:pPr>
              <w:pStyle w:val="NoSpacing"/>
              <w:rPr>
                <w:rFonts w:ascii="Calibri" w:hAnsi="Calibri"/>
                <w:iCs/>
                <w:sz w:val="22"/>
                <w:szCs w:val="22"/>
                <w:lang w:val="lv-LV"/>
              </w:rPr>
            </w:pPr>
            <w:r w:rsidRPr="00220A00">
              <w:rPr>
                <w:rFonts w:ascii="Calibri" w:hAnsi="Calibri"/>
                <w:iCs/>
                <w:sz w:val="22"/>
                <w:szCs w:val="22"/>
                <w:lang w:val="lv-LV"/>
              </w:rPr>
              <w:t>Environmental Protection and Human Rights.</w:t>
            </w:r>
          </w:p>
          <w:p w14:paraId="2E2810DF" w14:textId="774A9B8C" w:rsidR="00220A00" w:rsidRPr="00220A00" w:rsidRDefault="00220A00" w:rsidP="00220A00">
            <w:pPr>
              <w:pStyle w:val="NoSpacing"/>
              <w:rPr>
                <w:rFonts w:ascii="Calibri" w:hAnsi="Calibri"/>
                <w:iCs/>
                <w:sz w:val="22"/>
                <w:szCs w:val="22"/>
                <w:lang w:val="lv-LV"/>
              </w:rPr>
            </w:pPr>
            <w:r w:rsidRPr="00220A00">
              <w:rPr>
                <w:rFonts w:ascii="Calibri" w:hAnsi="Calibri"/>
                <w:iCs/>
                <w:sz w:val="22"/>
                <w:szCs w:val="22"/>
                <w:lang w:val="lv-LV"/>
              </w:rPr>
              <w:t>Donald K. Anton, Dinah L. Shelton</w:t>
            </w:r>
            <w:r>
              <w:rPr>
                <w:rFonts w:ascii="Calibri" w:hAnsi="Calibri"/>
                <w:iCs/>
                <w:sz w:val="22"/>
                <w:szCs w:val="22"/>
                <w:lang w:val="lv-LV"/>
              </w:rPr>
              <w:t>. Cambridge:</w:t>
            </w:r>
          </w:p>
          <w:p w14:paraId="55908366" w14:textId="501B6C9B" w:rsidR="00220A00" w:rsidRPr="00EB2C55" w:rsidRDefault="00220A00" w:rsidP="007F66F5">
            <w:pPr>
              <w:pStyle w:val="NoSpacing"/>
              <w:rPr>
                <w:rFonts w:ascii="Calibri" w:hAnsi="Calibri"/>
                <w:iCs/>
                <w:sz w:val="22"/>
                <w:szCs w:val="22"/>
                <w:lang w:val="lv-LV"/>
              </w:rPr>
            </w:pPr>
            <w:r w:rsidRPr="00220A00">
              <w:rPr>
                <w:rFonts w:ascii="Calibri" w:hAnsi="Calibri"/>
                <w:iCs/>
                <w:sz w:val="22"/>
                <w:szCs w:val="22"/>
                <w:lang w:val="lv-LV"/>
              </w:rPr>
              <w:t>Cambridge University Press,</w:t>
            </w:r>
            <w:r>
              <w:rPr>
                <w:rFonts w:ascii="Calibri" w:hAnsi="Calibri"/>
                <w:iCs/>
                <w:sz w:val="22"/>
                <w:szCs w:val="22"/>
                <w:lang w:val="lv-LV"/>
              </w:rPr>
              <w:t xml:space="preserve"> [</w:t>
            </w:r>
            <w:r w:rsidRPr="00220A00">
              <w:rPr>
                <w:rFonts w:ascii="Calibri" w:hAnsi="Calibri"/>
                <w:iCs/>
                <w:sz w:val="22"/>
                <w:szCs w:val="22"/>
                <w:lang w:val="lv-LV"/>
              </w:rPr>
              <w:t>2011</w:t>
            </w:r>
            <w:r>
              <w:rPr>
                <w:rFonts w:ascii="Calibri" w:hAnsi="Calibri"/>
                <w:iCs/>
                <w:sz w:val="22"/>
                <w:szCs w:val="22"/>
                <w:lang w:val="lv-LV"/>
              </w:rPr>
              <w:t>]</w:t>
            </w:r>
          </w:p>
        </w:tc>
      </w:tr>
      <w:tr w:rsidR="00220A00" w:rsidRPr="00F96974" w14:paraId="3E9455B4" w14:textId="77777777" w:rsidTr="00220A00">
        <w:tc>
          <w:tcPr>
            <w:tcW w:w="3535" w:type="dxa"/>
          </w:tcPr>
          <w:p w14:paraId="5CA6BAA9" w14:textId="77777777" w:rsidR="00220A00" w:rsidRPr="00F96974" w:rsidRDefault="00220A00" w:rsidP="00015BE6">
            <w:pPr>
              <w:pStyle w:val="NoSpacing"/>
              <w:rPr>
                <w:rFonts w:ascii="Calibri" w:hAnsi="Calibri"/>
                <w:b/>
                <w:lang w:val="en-GB"/>
              </w:rPr>
            </w:pPr>
          </w:p>
        </w:tc>
        <w:tc>
          <w:tcPr>
            <w:tcW w:w="5095" w:type="dxa"/>
            <w:gridSpan w:val="3"/>
          </w:tcPr>
          <w:p w14:paraId="0353BD5D" w14:textId="74EE8B5D" w:rsidR="00220A00" w:rsidRPr="007F66F5" w:rsidRDefault="00220A00" w:rsidP="007F66F5">
            <w:pPr>
              <w:pStyle w:val="NoSpacing"/>
              <w:rPr>
                <w:rFonts w:ascii="Calibri" w:hAnsi="Calibri"/>
                <w:iCs/>
                <w:sz w:val="22"/>
                <w:szCs w:val="22"/>
                <w:lang w:val="en-GB"/>
              </w:rPr>
            </w:pPr>
            <w:r w:rsidRPr="007F66F5">
              <w:rPr>
                <w:rFonts w:ascii="Calibri" w:hAnsi="Calibri"/>
                <w:iCs/>
                <w:sz w:val="22"/>
                <w:szCs w:val="22"/>
                <w:lang w:val="en-GB"/>
              </w:rPr>
              <w:t>Environmental rights in Europe and beyond</w:t>
            </w:r>
            <w:r>
              <w:rPr>
                <w:rFonts w:ascii="Calibri" w:hAnsi="Calibri"/>
                <w:iCs/>
                <w:sz w:val="22"/>
                <w:szCs w:val="22"/>
                <w:lang w:val="en-GB"/>
              </w:rPr>
              <w:t xml:space="preserve">, </w:t>
            </w:r>
            <w:r w:rsidRPr="007F66F5">
              <w:rPr>
                <w:rFonts w:ascii="Calibri" w:hAnsi="Calibri"/>
                <w:iCs/>
                <w:sz w:val="22"/>
                <w:szCs w:val="22"/>
                <w:lang w:val="en-GB"/>
              </w:rPr>
              <w:t xml:space="preserve">edited by </w:t>
            </w:r>
            <w:proofErr w:type="spellStart"/>
            <w:r w:rsidRPr="007F66F5">
              <w:rPr>
                <w:rFonts w:ascii="Calibri" w:hAnsi="Calibri"/>
                <w:iCs/>
                <w:sz w:val="22"/>
                <w:szCs w:val="22"/>
                <w:lang w:val="en-GB"/>
              </w:rPr>
              <w:t>Sanja</w:t>
            </w:r>
            <w:proofErr w:type="spellEnd"/>
            <w:r w:rsidRPr="007F66F5">
              <w:rPr>
                <w:rFonts w:ascii="Calibri" w:hAnsi="Calibri"/>
                <w:iCs/>
                <w:sz w:val="22"/>
                <w:szCs w:val="22"/>
                <w:lang w:val="en-GB"/>
              </w:rPr>
              <w:t xml:space="preserve"> </w:t>
            </w:r>
            <w:proofErr w:type="spellStart"/>
            <w:r w:rsidRPr="007F66F5">
              <w:rPr>
                <w:rFonts w:ascii="Calibri" w:hAnsi="Calibri"/>
                <w:iCs/>
                <w:sz w:val="22"/>
                <w:szCs w:val="22"/>
                <w:lang w:val="en-GB"/>
              </w:rPr>
              <w:t>Bogojević</w:t>
            </w:r>
            <w:proofErr w:type="spellEnd"/>
            <w:r w:rsidRPr="007F66F5">
              <w:rPr>
                <w:rFonts w:ascii="Calibri" w:hAnsi="Calibri"/>
                <w:iCs/>
                <w:sz w:val="22"/>
                <w:szCs w:val="22"/>
                <w:lang w:val="en-GB"/>
              </w:rPr>
              <w:t xml:space="preserve"> and Rosemary </w:t>
            </w:r>
            <w:proofErr w:type="spellStart"/>
            <w:r w:rsidRPr="007F66F5">
              <w:rPr>
                <w:rFonts w:ascii="Calibri" w:hAnsi="Calibri"/>
                <w:iCs/>
                <w:sz w:val="22"/>
                <w:szCs w:val="22"/>
                <w:lang w:val="en-GB"/>
              </w:rPr>
              <w:t>Rayfuse</w:t>
            </w:r>
            <w:proofErr w:type="spellEnd"/>
            <w:r w:rsidRPr="007F66F5">
              <w:rPr>
                <w:rFonts w:ascii="Calibri" w:hAnsi="Calibri"/>
                <w:iCs/>
                <w:sz w:val="22"/>
                <w:szCs w:val="22"/>
                <w:lang w:val="en-GB"/>
              </w:rPr>
              <w:t>. Oxford: Hart Publishing, [2018]</w:t>
            </w:r>
          </w:p>
        </w:tc>
      </w:tr>
      <w:tr w:rsidR="00F742D5" w:rsidRPr="00F96974" w14:paraId="6BC5EE75" w14:textId="77777777" w:rsidTr="00220A00">
        <w:tc>
          <w:tcPr>
            <w:tcW w:w="3535" w:type="dxa"/>
          </w:tcPr>
          <w:p w14:paraId="75E691E3" w14:textId="77777777" w:rsidR="00F742D5" w:rsidRPr="00F96974" w:rsidRDefault="00F742D5" w:rsidP="00015BE6">
            <w:pPr>
              <w:pStyle w:val="NoSpacing"/>
              <w:rPr>
                <w:rFonts w:ascii="Calibri" w:hAnsi="Calibri"/>
                <w:b/>
                <w:lang w:val="en-GB"/>
              </w:rPr>
            </w:pPr>
          </w:p>
        </w:tc>
        <w:tc>
          <w:tcPr>
            <w:tcW w:w="5095" w:type="dxa"/>
            <w:gridSpan w:val="3"/>
          </w:tcPr>
          <w:p w14:paraId="29779618" w14:textId="4D2DF7B5" w:rsidR="00F742D5" w:rsidRPr="007F66F5" w:rsidRDefault="00F742D5" w:rsidP="007F66F5">
            <w:pPr>
              <w:pStyle w:val="NoSpacing"/>
              <w:rPr>
                <w:rFonts w:ascii="Calibri" w:hAnsi="Calibri"/>
                <w:iCs/>
                <w:sz w:val="22"/>
                <w:szCs w:val="22"/>
                <w:lang w:val="en-GB"/>
              </w:rPr>
            </w:pPr>
            <w:r w:rsidRPr="00F742D5">
              <w:rPr>
                <w:rFonts w:ascii="Calibri" w:hAnsi="Calibri"/>
                <w:iCs/>
                <w:sz w:val="22"/>
                <w:szCs w:val="22"/>
              </w:rPr>
              <w:t xml:space="preserve">Report of the </w:t>
            </w:r>
            <w:r>
              <w:rPr>
                <w:rFonts w:ascii="Calibri" w:hAnsi="Calibri"/>
                <w:iCs/>
                <w:sz w:val="22"/>
                <w:szCs w:val="22"/>
              </w:rPr>
              <w:t xml:space="preserve">United Nations </w:t>
            </w:r>
            <w:r w:rsidRPr="00F742D5">
              <w:rPr>
                <w:rFonts w:ascii="Calibri" w:hAnsi="Calibri"/>
                <w:iCs/>
                <w:sz w:val="22"/>
                <w:szCs w:val="22"/>
              </w:rPr>
              <w:t>Special Rapporteur on the issue of human rights obligations relating to the enjoyment of a safe, clean, healthy and sustainable environment</w:t>
            </w:r>
          </w:p>
        </w:tc>
      </w:tr>
      <w:tr w:rsidR="00E64552" w:rsidRPr="00F96974" w14:paraId="43B2DDA9" w14:textId="77777777" w:rsidTr="00220A00">
        <w:tc>
          <w:tcPr>
            <w:tcW w:w="3535" w:type="dxa"/>
          </w:tcPr>
          <w:p w14:paraId="37052125" w14:textId="77777777" w:rsidR="00E64552" w:rsidRPr="00F96974" w:rsidRDefault="00E64552" w:rsidP="00015BE6">
            <w:pPr>
              <w:pStyle w:val="NoSpacing"/>
              <w:rPr>
                <w:rFonts w:ascii="Calibri" w:hAnsi="Calibri"/>
                <w:b/>
                <w:lang w:val="en-GB"/>
              </w:rPr>
            </w:pPr>
            <w:r w:rsidRPr="00F96974">
              <w:rPr>
                <w:rFonts w:ascii="Calibri" w:hAnsi="Calibri"/>
                <w:b/>
                <w:lang w:val="en-GB"/>
              </w:rPr>
              <w:lastRenderedPageBreak/>
              <w:t xml:space="preserve">Additional literature:  </w:t>
            </w:r>
          </w:p>
        </w:tc>
        <w:tc>
          <w:tcPr>
            <w:tcW w:w="5095" w:type="dxa"/>
            <w:gridSpan w:val="3"/>
          </w:tcPr>
          <w:p w14:paraId="5AD54B34" w14:textId="67EE68D3" w:rsidR="00E64552" w:rsidRPr="00F96974" w:rsidRDefault="00220A00" w:rsidP="00015BE6">
            <w:pPr>
              <w:pStyle w:val="NoSpacing"/>
              <w:rPr>
                <w:rFonts w:ascii="Calibri" w:hAnsi="Calibri"/>
                <w:i/>
                <w:sz w:val="22"/>
                <w:szCs w:val="22"/>
                <w:lang w:val="en-GB"/>
              </w:rPr>
            </w:pPr>
            <w:r w:rsidRPr="00C75498">
              <w:rPr>
                <w:rFonts w:ascii="Calibri" w:hAnsi="Calibri"/>
                <w:iCs/>
                <w:sz w:val="22"/>
                <w:szCs w:val="22"/>
                <w:lang w:val="en-GB"/>
              </w:rPr>
              <w:t>Environmental principles:</w:t>
            </w:r>
            <w:r>
              <w:rPr>
                <w:rFonts w:ascii="Calibri" w:hAnsi="Calibri"/>
                <w:iCs/>
                <w:sz w:val="22"/>
                <w:szCs w:val="22"/>
                <w:lang w:val="en-GB"/>
              </w:rPr>
              <w:t xml:space="preserve"> </w:t>
            </w:r>
            <w:r w:rsidRPr="00C75498">
              <w:rPr>
                <w:rFonts w:ascii="Calibri" w:hAnsi="Calibri"/>
                <w:iCs/>
                <w:sz w:val="22"/>
                <w:szCs w:val="22"/>
                <w:lang w:val="en-GB"/>
              </w:rPr>
              <w:t>from political slogans to legal rules</w:t>
            </w:r>
            <w:r>
              <w:rPr>
                <w:rFonts w:ascii="Calibri" w:hAnsi="Calibri"/>
                <w:iCs/>
                <w:sz w:val="22"/>
                <w:szCs w:val="22"/>
                <w:lang w:val="en-GB"/>
              </w:rPr>
              <w:t>.</w:t>
            </w:r>
            <w:r w:rsidRPr="00C75498">
              <w:rPr>
                <w:rFonts w:ascii="Calibri" w:hAnsi="Calibri"/>
                <w:iCs/>
                <w:sz w:val="22"/>
                <w:szCs w:val="22"/>
                <w:lang w:val="en-GB"/>
              </w:rPr>
              <w:t xml:space="preserve"> Nicolas de </w:t>
            </w:r>
            <w:proofErr w:type="spellStart"/>
            <w:r w:rsidRPr="00C75498">
              <w:rPr>
                <w:rFonts w:ascii="Calibri" w:hAnsi="Calibri"/>
                <w:iCs/>
                <w:sz w:val="22"/>
                <w:szCs w:val="22"/>
                <w:lang w:val="en-GB"/>
              </w:rPr>
              <w:t>Sadeleer</w:t>
            </w:r>
            <w:proofErr w:type="spellEnd"/>
            <w:r>
              <w:rPr>
                <w:rFonts w:ascii="Calibri" w:hAnsi="Calibri"/>
                <w:iCs/>
                <w:sz w:val="22"/>
                <w:szCs w:val="22"/>
                <w:lang w:val="en-GB"/>
              </w:rPr>
              <w:t xml:space="preserve">. </w:t>
            </w:r>
            <w:r w:rsidRPr="00C75498">
              <w:rPr>
                <w:rFonts w:ascii="Calibri" w:hAnsi="Calibri"/>
                <w:iCs/>
                <w:sz w:val="22"/>
                <w:szCs w:val="22"/>
                <w:lang w:val="en-GB"/>
              </w:rPr>
              <w:t xml:space="preserve">Second edition. New York: Oxford University Press, </w:t>
            </w:r>
            <w:r>
              <w:rPr>
                <w:rFonts w:ascii="Calibri" w:hAnsi="Calibri"/>
                <w:iCs/>
                <w:sz w:val="22"/>
                <w:szCs w:val="22"/>
                <w:lang w:val="en-GB"/>
              </w:rPr>
              <w:t>[</w:t>
            </w:r>
            <w:r w:rsidRPr="00C75498">
              <w:rPr>
                <w:rFonts w:ascii="Calibri" w:hAnsi="Calibri"/>
                <w:iCs/>
                <w:sz w:val="22"/>
                <w:szCs w:val="22"/>
                <w:lang w:val="en-GB"/>
              </w:rPr>
              <w:t>2020</w:t>
            </w:r>
            <w:r>
              <w:rPr>
                <w:rFonts w:ascii="Calibri" w:hAnsi="Calibri"/>
                <w:iCs/>
                <w:sz w:val="22"/>
                <w:szCs w:val="22"/>
                <w:lang w:val="en-GB"/>
              </w:rPr>
              <w:t>]</w:t>
            </w:r>
            <w:r w:rsidRPr="00C75498">
              <w:rPr>
                <w:rFonts w:ascii="Calibri" w:hAnsi="Calibri"/>
                <w:iCs/>
                <w:sz w:val="22"/>
                <w:szCs w:val="22"/>
                <w:lang w:val="en-GB"/>
              </w:rPr>
              <w:t>.</w:t>
            </w:r>
          </w:p>
        </w:tc>
      </w:tr>
      <w:tr w:rsidR="00E64552" w:rsidRPr="00F96974" w14:paraId="569165D4" w14:textId="77777777" w:rsidTr="00220A00">
        <w:tc>
          <w:tcPr>
            <w:tcW w:w="3535" w:type="dxa"/>
          </w:tcPr>
          <w:p w14:paraId="3FEE7915" w14:textId="77777777" w:rsidR="00E64552" w:rsidRPr="00F96974" w:rsidRDefault="00E64552" w:rsidP="00015BE6">
            <w:pPr>
              <w:pStyle w:val="NoSpacing"/>
              <w:rPr>
                <w:rFonts w:ascii="Calibri" w:hAnsi="Calibri"/>
                <w:b/>
                <w:lang w:val="en-GB"/>
              </w:rPr>
            </w:pPr>
          </w:p>
        </w:tc>
        <w:tc>
          <w:tcPr>
            <w:tcW w:w="5095" w:type="dxa"/>
            <w:gridSpan w:val="3"/>
          </w:tcPr>
          <w:p w14:paraId="3AA7E88E" w14:textId="77777777" w:rsidR="00E64552" w:rsidRPr="00F96974" w:rsidRDefault="00E64552" w:rsidP="00015BE6">
            <w:pPr>
              <w:pStyle w:val="NoSpacing"/>
              <w:ind w:left="720"/>
              <w:rPr>
                <w:rFonts w:ascii="Calibri" w:hAnsi="Calibri"/>
                <w:i/>
                <w:sz w:val="22"/>
                <w:szCs w:val="22"/>
                <w:lang w:val="en-GB"/>
              </w:rPr>
            </w:pPr>
          </w:p>
        </w:tc>
      </w:tr>
    </w:tbl>
    <w:p w14:paraId="22FC527B" w14:textId="77777777" w:rsidR="00E64552" w:rsidRPr="00F96974" w:rsidRDefault="00E64552" w:rsidP="00E64552">
      <w:pPr>
        <w:rPr>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7661"/>
      </w:tblGrid>
      <w:tr w:rsidR="00E64552" w:rsidRPr="00F96974" w14:paraId="2C6DD9FA" w14:textId="77777777" w:rsidTr="00660DD9">
        <w:tc>
          <w:tcPr>
            <w:tcW w:w="8630" w:type="dxa"/>
            <w:gridSpan w:val="2"/>
            <w:shd w:val="clear" w:color="auto" w:fill="D9D9D9"/>
          </w:tcPr>
          <w:p w14:paraId="44F4F1B4" w14:textId="77777777" w:rsidR="00E64552" w:rsidRPr="00F96974" w:rsidRDefault="00E64552" w:rsidP="00015BE6">
            <w:pPr>
              <w:rPr>
                <w:rFonts w:ascii="Calibri" w:hAnsi="Calibri"/>
                <w:b/>
                <w:lang w:val="en-GB"/>
              </w:rPr>
            </w:pPr>
            <w:r w:rsidRPr="00F96974">
              <w:rPr>
                <w:rFonts w:ascii="Calibri" w:hAnsi="Calibri"/>
                <w:b/>
                <w:lang w:val="en-GB"/>
              </w:rPr>
              <w:t xml:space="preserve">Designed learning plan:  </w:t>
            </w:r>
          </w:p>
          <w:p w14:paraId="03E96900" w14:textId="77777777" w:rsidR="00E64552" w:rsidRPr="00F96974" w:rsidRDefault="00E64552" w:rsidP="00015BE6">
            <w:pPr>
              <w:rPr>
                <w:rFonts w:ascii="Calibri" w:hAnsi="Calibri"/>
                <w:b/>
                <w:lang w:val="en-GB"/>
              </w:rPr>
            </w:pPr>
          </w:p>
        </w:tc>
      </w:tr>
      <w:tr w:rsidR="00E64552" w:rsidRPr="00F96974" w14:paraId="6BF60A09" w14:textId="77777777" w:rsidTr="00660DD9">
        <w:trPr>
          <w:trHeight w:val="473"/>
        </w:trPr>
        <w:tc>
          <w:tcPr>
            <w:tcW w:w="2664" w:type="dxa"/>
            <w:shd w:val="clear" w:color="auto" w:fill="D9D9D9"/>
          </w:tcPr>
          <w:p w14:paraId="0D500F69" w14:textId="77777777" w:rsidR="00E64552" w:rsidRPr="00F96974" w:rsidRDefault="00E64552" w:rsidP="00015BE6">
            <w:pPr>
              <w:rPr>
                <w:rFonts w:ascii="Calibri" w:hAnsi="Calibri"/>
                <w:b/>
                <w:lang w:val="en-GB"/>
              </w:rPr>
            </w:pPr>
            <w:r w:rsidRPr="00F96974">
              <w:rPr>
                <w:rFonts w:ascii="Calibri" w:hAnsi="Calibri"/>
                <w:b/>
                <w:lang w:val="en-GB"/>
              </w:rPr>
              <w:t>Week</w:t>
            </w:r>
          </w:p>
        </w:tc>
        <w:tc>
          <w:tcPr>
            <w:tcW w:w="5966" w:type="dxa"/>
            <w:shd w:val="clear" w:color="auto" w:fill="D9D9D9"/>
          </w:tcPr>
          <w:p w14:paraId="536BDC7A" w14:textId="77777777" w:rsidR="00E64552" w:rsidRPr="00F96974" w:rsidRDefault="00E64552" w:rsidP="00015BE6">
            <w:pPr>
              <w:rPr>
                <w:rFonts w:ascii="Calibri" w:hAnsi="Calibri"/>
                <w:b/>
                <w:lang w:val="en-GB"/>
              </w:rPr>
            </w:pPr>
            <w:r w:rsidRPr="00F96974">
              <w:rPr>
                <w:rFonts w:ascii="Calibri" w:hAnsi="Calibri"/>
                <w:b/>
                <w:lang w:val="en-GB"/>
              </w:rPr>
              <w:t xml:space="preserve">Lectures </w:t>
            </w:r>
          </w:p>
        </w:tc>
      </w:tr>
      <w:tr w:rsidR="00E64552" w:rsidRPr="00F96974" w14:paraId="0F742F1F" w14:textId="77777777" w:rsidTr="00660DD9">
        <w:tc>
          <w:tcPr>
            <w:tcW w:w="2664" w:type="dxa"/>
          </w:tcPr>
          <w:p w14:paraId="58EBF3AE" w14:textId="77777777" w:rsidR="00E64552" w:rsidRPr="00F96974" w:rsidRDefault="00E64552" w:rsidP="00015BE6">
            <w:pPr>
              <w:rPr>
                <w:rFonts w:ascii="Calibri" w:hAnsi="Calibri"/>
                <w:b/>
                <w:lang w:val="en-GB"/>
              </w:rPr>
            </w:pPr>
            <w:r w:rsidRPr="00F96974">
              <w:rPr>
                <w:rFonts w:ascii="Calibri" w:hAnsi="Calibri"/>
                <w:b/>
                <w:lang w:val="en-GB"/>
              </w:rPr>
              <w:t>Introduction</w:t>
            </w:r>
          </w:p>
        </w:tc>
        <w:tc>
          <w:tcPr>
            <w:tcW w:w="5966" w:type="dxa"/>
          </w:tcPr>
          <w:p w14:paraId="6EF03027" w14:textId="26CF4CBD" w:rsidR="00E64552" w:rsidRPr="00266811" w:rsidRDefault="00276C24" w:rsidP="00276C24">
            <w:pPr>
              <w:rPr>
                <w:rFonts w:ascii="Calibri" w:hAnsi="Calibri"/>
                <w:lang w:val="en-GB"/>
              </w:rPr>
            </w:pPr>
            <w:r>
              <w:rPr>
                <w:rFonts w:ascii="Calibri" w:hAnsi="Calibri"/>
                <w:lang w:val="en-GB"/>
              </w:rPr>
              <w:t>Introduction</w:t>
            </w:r>
            <w:r>
              <w:t xml:space="preserve"> </w:t>
            </w:r>
            <w:r w:rsidRPr="00276C24">
              <w:rPr>
                <w:rFonts w:ascii="Calibri" w:hAnsi="Calibri"/>
                <w:lang w:val="en-GB"/>
              </w:rPr>
              <w:t>(</w:t>
            </w:r>
            <w:r>
              <w:rPr>
                <w:rFonts w:ascii="Calibri" w:hAnsi="Calibri"/>
                <w:lang w:val="en-GB"/>
              </w:rPr>
              <w:t>c</w:t>
            </w:r>
            <w:r w:rsidRPr="00276C24">
              <w:rPr>
                <w:rFonts w:ascii="Calibri" w:hAnsi="Calibri"/>
                <w:lang w:val="en-GB"/>
              </w:rPr>
              <w:t>ourse content, methodology, organization, requirements and</w:t>
            </w:r>
            <w:r>
              <w:rPr>
                <w:rFonts w:ascii="Calibri" w:hAnsi="Calibri"/>
                <w:lang w:val="en-GB"/>
              </w:rPr>
              <w:t xml:space="preserve"> </w:t>
            </w:r>
            <w:r w:rsidRPr="00276C24">
              <w:rPr>
                <w:rFonts w:ascii="Calibri" w:hAnsi="Calibri"/>
                <w:lang w:val="en-GB"/>
              </w:rPr>
              <w:t>assessment)</w:t>
            </w:r>
          </w:p>
        </w:tc>
      </w:tr>
      <w:tr w:rsidR="00E64552" w:rsidRPr="00F96974" w14:paraId="1B611D0F" w14:textId="77777777" w:rsidTr="00660DD9">
        <w:tc>
          <w:tcPr>
            <w:tcW w:w="2664" w:type="dxa"/>
          </w:tcPr>
          <w:p w14:paraId="774081EA" w14:textId="77777777" w:rsidR="00E64552" w:rsidRPr="00F96974" w:rsidRDefault="00E64552" w:rsidP="00015BE6">
            <w:pPr>
              <w:rPr>
                <w:rFonts w:ascii="Calibri" w:hAnsi="Calibri"/>
                <w:b/>
                <w:lang w:val="en-GB"/>
              </w:rPr>
            </w:pPr>
            <w:r w:rsidRPr="00F96974">
              <w:rPr>
                <w:rFonts w:ascii="Calibri" w:hAnsi="Calibri"/>
                <w:b/>
                <w:i/>
                <w:lang w:val="en-GB"/>
              </w:rPr>
              <w:t xml:space="preserve">Week 2: </w:t>
            </w:r>
            <w:r w:rsidRPr="00F96974">
              <w:rPr>
                <w:rFonts w:ascii="Arial" w:hAnsi="Arial" w:cs="Arial"/>
                <w:b/>
                <w:lang w:val="en-GB"/>
              </w:rPr>
              <w:t xml:space="preserve"> </w:t>
            </w:r>
          </w:p>
        </w:tc>
        <w:tc>
          <w:tcPr>
            <w:tcW w:w="5966" w:type="dxa"/>
          </w:tcPr>
          <w:p w14:paraId="00C4DD0E" w14:textId="104590C6" w:rsidR="00655296" w:rsidRPr="0001202F" w:rsidRDefault="00276C24" w:rsidP="0001202F">
            <w:pPr>
              <w:rPr>
                <w:rFonts w:ascii="Calibri" w:hAnsi="Calibri"/>
                <w:lang w:val="en-GB"/>
              </w:rPr>
            </w:pPr>
            <w:r>
              <w:rPr>
                <w:rFonts w:ascii="Calibri" w:hAnsi="Calibri"/>
                <w:lang w:val="en-GB"/>
              </w:rPr>
              <w:t>Histor</w:t>
            </w:r>
            <w:r w:rsidR="005C4A54">
              <w:rPr>
                <w:rFonts w:ascii="Calibri" w:hAnsi="Calibri"/>
                <w:lang w:val="en-GB"/>
              </w:rPr>
              <w:t>ical development</w:t>
            </w:r>
            <w:r>
              <w:rPr>
                <w:rFonts w:ascii="Calibri" w:hAnsi="Calibri"/>
                <w:lang w:val="en-GB"/>
              </w:rPr>
              <w:t xml:space="preserve"> of environmental law </w:t>
            </w:r>
          </w:p>
        </w:tc>
      </w:tr>
      <w:tr w:rsidR="00E64552" w:rsidRPr="00F96974" w14:paraId="0923B7F4" w14:textId="77777777" w:rsidTr="00660DD9">
        <w:tc>
          <w:tcPr>
            <w:tcW w:w="2664" w:type="dxa"/>
          </w:tcPr>
          <w:p w14:paraId="77A47A0D" w14:textId="77777777" w:rsidR="00E64552" w:rsidRPr="00F96974" w:rsidRDefault="00E64552" w:rsidP="00015BE6">
            <w:pPr>
              <w:rPr>
                <w:rFonts w:ascii="Calibri" w:hAnsi="Calibri"/>
                <w:b/>
                <w:lang w:val="en-GB"/>
              </w:rPr>
            </w:pPr>
            <w:r w:rsidRPr="00F96974">
              <w:rPr>
                <w:rFonts w:ascii="Calibri" w:hAnsi="Calibri"/>
                <w:b/>
                <w:i/>
                <w:lang w:val="en-GB"/>
              </w:rPr>
              <w:t>Week 3</w:t>
            </w:r>
            <w:r w:rsidRPr="00F96974">
              <w:rPr>
                <w:rFonts w:ascii="Calibri" w:hAnsi="Calibri"/>
                <w:b/>
                <w:lang w:val="en-GB"/>
              </w:rPr>
              <w:t xml:space="preserve">: </w:t>
            </w:r>
            <w:r w:rsidRPr="00F96974">
              <w:rPr>
                <w:rFonts w:ascii="Arial" w:hAnsi="Arial" w:cs="Arial"/>
                <w:b/>
                <w:lang w:val="en-GB"/>
              </w:rPr>
              <w:t xml:space="preserve"> </w:t>
            </w:r>
          </w:p>
        </w:tc>
        <w:tc>
          <w:tcPr>
            <w:tcW w:w="5966" w:type="dxa"/>
          </w:tcPr>
          <w:p w14:paraId="0BEAC226" w14:textId="77777777" w:rsidR="00E64552" w:rsidRDefault="007F1309" w:rsidP="00015BE6">
            <w:pPr>
              <w:rPr>
                <w:rFonts w:ascii="Calibri" w:hAnsi="Calibri"/>
                <w:lang w:val="en-GB"/>
              </w:rPr>
            </w:pPr>
            <w:r>
              <w:rPr>
                <w:rFonts w:ascii="Calibri" w:hAnsi="Calibri"/>
                <w:lang w:val="en-GB"/>
              </w:rPr>
              <w:t>L</w:t>
            </w:r>
            <w:r w:rsidR="001F1180">
              <w:rPr>
                <w:rFonts w:ascii="Calibri" w:hAnsi="Calibri"/>
                <w:lang w:val="en-GB"/>
              </w:rPr>
              <w:t xml:space="preserve">egal and institutional framework </w:t>
            </w:r>
            <w:r>
              <w:rPr>
                <w:rFonts w:ascii="Calibri" w:hAnsi="Calibri"/>
                <w:lang w:val="en-GB"/>
              </w:rPr>
              <w:t>(United Nations, Council of Europe, the European Union)</w:t>
            </w:r>
          </w:p>
          <w:p w14:paraId="51D39077" w14:textId="77777777" w:rsidR="009A22BC" w:rsidRPr="00655296" w:rsidRDefault="009A22BC" w:rsidP="009A22BC">
            <w:pPr>
              <w:pStyle w:val="ListParagraph"/>
              <w:numPr>
                <w:ilvl w:val="0"/>
                <w:numId w:val="6"/>
              </w:numPr>
              <w:rPr>
                <w:rFonts w:ascii="Calibri" w:hAnsi="Calibri"/>
                <w:lang w:val="en-GB"/>
              </w:rPr>
            </w:pPr>
            <w:r w:rsidRPr="00655296">
              <w:rPr>
                <w:rFonts w:ascii="Calibri" w:hAnsi="Calibri"/>
              </w:rPr>
              <w:t>Declaration of the United Nations Conference on the Human Environment</w:t>
            </w:r>
            <w:r>
              <w:rPr>
                <w:rFonts w:ascii="Calibri" w:hAnsi="Calibri"/>
              </w:rPr>
              <w:t xml:space="preserve"> (Stockholm Declaration)</w:t>
            </w:r>
          </w:p>
          <w:p w14:paraId="1AD0A841" w14:textId="6392FA81" w:rsidR="009A22BC" w:rsidRPr="006F21BF" w:rsidRDefault="009A22BC" w:rsidP="009A22BC">
            <w:pPr>
              <w:pStyle w:val="ListParagraph"/>
              <w:numPr>
                <w:ilvl w:val="0"/>
                <w:numId w:val="6"/>
              </w:numPr>
              <w:rPr>
                <w:rFonts w:ascii="Calibri" w:hAnsi="Calibri"/>
                <w:lang w:val="en-GB"/>
              </w:rPr>
            </w:pPr>
            <w:r w:rsidRPr="00655296">
              <w:rPr>
                <w:rFonts w:ascii="Calibri" w:hAnsi="Calibri"/>
              </w:rPr>
              <w:t>Rio Declaration on Environment and Development</w:t>
            </w:r>
          </w:p>
          <w:p w14:paraId="18A119A8" w14:textId="46A98B0B" w:rsidR="006F21BF" w:rsidRDefault="006F21BF" w:rsidP="009A22BC">
            <w:pPr>
              <w:pStyle w:val="ListParagraph"/>
              <w:numPr>
                <w:ilvl w:val="0"/>
                <w:numId w:val="6"/>
              </w:numPr>
              <w:rPr>
                <w:rFonts w:ascii="Calibri" w:hAnsi="Calibri"/>
                <w:lang w:val="en-GB"/>
              </w:rPr>
            </w:pPr>
            <w:r w:rsidRPr="006F21BF">
              <w:rPr>
                <w:rFonts w:ascii="Calibri" w:hAnsi="Calibri"/>
              </w:rPr>
              <w:t>The 2030 Agenda for Sustainable Development</w:t>
            </w:r>
          </w:p>
          <w:p w14:paraId="1646FB7B" w14:textId="18D76880" w:rsidR="00EB2C55" w:rsidRDefault="00EB2C55" w:rsidP="00EB2C55">
            <w:pPr>
              <w:pStyle w:val="ListParagraph"/>
              <w:numPr>
                <w:ilvl w:val="0"/>
                <w:numId w:val="6"/>
              </w:numPr>
              <w:rPr>
                <w:rFonts w:ascii="Calibri" w:hAnsi="Calibri"/>
                <w:lang w:val="en-GB"/>
              </w:rPr>
            </w:pPr>
            <w:r>
              <w:rPr>
                <w:rFonts w:ascii="Calibri" w:hAnsi="Calibri"/>
                <w:lang w:val="en-GB"/>
              </w:rPr>
              <w:t>United Nations Framework Convention on Climate Change</w:t>
            </w:r>
          </w:p>
          <w:p w14:paraId="706E441C" w14:textId="77777777" w:rsidR="00EB2C55" w:rsidRDefault="00EB2C55" w:rsidP="00EB2C55">
            <w:pPr>
              <w:pStyle w:val="ListParagraph"/>
              <w:numPr>
                <w:ilvl w:val="0"/>
                <w:numId w:val="6"/>
              </w:numPr>
              <w:rPr>
                <w:rFonts w:ascii="Calibri" w:hAnsi="Calibri"/>
                <w:lang w:val="en-GB"/>
              </w:rPr>
            </w:pPr>
            <w:r>
              <w:rPr>
                <w:rFonts w:ascii="Calibri" w:hAnsi="Calibri"/>
                <w:lang w:val="en-GB"/>
              </w:rPr>
              <w:t>Kyoto Protocol</w:t>
            </w:r>
          </w:p>
          <w:p w14:paraId="1B3FE2CA" w14:textId="77777777" w:rsidR="00655296" w:rsidRDefault="00EB2C55" w:rsidP="009A22BC">
            <w:pPr>
              <w:pStyle w:val="ListParagraph"/>
              <w:numPr>
                <w:ilvl w:val="0"/>
                <w:numId w:val="6"/>
              </w:numPr>
              <w:rPr>
                <w:rFonts w:ascii="Calibri" w:hAnsi="Calibri"/>
                <w:lang w:val="en-GB"/>
              </w:rPr>
            </w:pPr>
            <w:r>
              <w:rPr>
                <w:rFonts w:ascii="Calibri" w:hAnsi="Calibri"/>
                <w:lang w:val="en-GB"/>
              </w:rPr>
              <w:t>Paris Agreement</w:t>
            </w:r>
          </w:p>
          <w:p w14:paraId="3EF031A3" w14:textId="77777777" w:rsidR="00300BC6" w:rsidRDefault="00300BC6" w:rsidP="009A22BC">
            <w:pPr>
              <w:pStyle w:val="ListParagraph"/>
              <w:numPr>
                <w:ilvl w:val="0"/>
                <w:numId w:val="6"/>
              </w:numPr>
              <w:rPr>
                <w:rFonts w:ascii="Calibri" w:hAnsi="Calibri"/>
                <w:lang w:val="en-GB"/>
              </w:rPr>
            </w:pPr>
            <w:r>
              <w:rPr>
                <w:rFonts w:ascii="Calibri" w:hAnsi="Calibri"/>
                <w:lang w:val="en-GB"/>
              </w:rPr>
              <w:t>Treaty on European Union (Articles 3(3) and 21(2)(d)-(f))</w:t>
            </w:r>
          </w:p>
          <w:p w14:paraId="37342BE5" w14:textId="77777777" w:rsidR="00300BC6" w:rsidRDefault="00300BC6" w:rsidP="009A22BC">
            <w:pPr>
              <w:pStyle w:val="ListParagraph"/>
              <w:numPr>
                <w:ilvl w:val="0"/>
                <w:numId w:val="6"/>
              </w:numPr>
              <w:rPr>
                <w:rFonts w:ascii="Calibri" w:hAnsi="Calibri"/>
                <w:lang w:val="en-GB"/>
              </w:rPr>
            </w:pPr>
            <w:r>
              <w:rPr>
                <w:rFonts w:ascii="Calibri" w:hAnsi="Calibri"/>
                <w:lang w:val="en-GB"/>
              </w:rPr>
              <w:t>Treaty on Functioning of the European Union (Articles 11, 114(</w:t>
            </w:r>
            <w:proofErr w:type="gramStart"/>
            <w:r>
              <w:rPr>
                <w:rFonts w:ascii="Calibri" w:hAnsi="Calibri"/>
                <w:lang w:val="en-GB"/>
              </w:rPr>
              <w:t>3)-(</w:t>
            </w:r>
            <w:proofErr w:type="gramEnd"/>
            <w:r>
              <w:rPr>
                <w:rFonts w:ascii="Calibri" w:hAnsi="Calibri"/>
                <w:lang w:val="en-GB"/>
              </w:rPr>
              <w:t>5), 191-193, and 194(1))</w:t>
            </w:r>
          </w:p>
          <w:p w14:paraId="79067005" w14:textId="77777777" w:rsidR="00300BC6" w:rsidRDefault="00300BC6" w:rsidP="009A22BC">
            <w:pPr>
              <w:pStyle w:val="ListParagraph"/>
              <w:numPr>
                <w:ilvl w:val="0"/>
                <w:numId w:val="6"/>
              </w:numPr>
              <w:rPr>
                <w:rFonts w:ascii="Calibri" w:hAnsi="Calibri"/>
                <w:lang w:val="en-GB"/>
              </w:rPr>
            </w:pPr>
            <w:r>
              <w:rPr>
                <w:rFonts w:ascii="Calibri" w:hAnsi="Calibri"/>
                <w:lang w:val="en-GB"/>
              </w:rPr>
              <w:t>EU Charter of Fundamental Rights (Article 37)</w:t>
            </w:r>
          </w:p>
          <w:p w14:paraId="63962028" w14:textId="77777777" w:rsidR="001648F2" w:rsidRDefault="001648F2" w:rsidP="009A22BC">
            <w:pPr>
              <w:pStyle w:val="ListParagraph"/>
              <w:numPr>
                <w:ilvl w:val="0"/>
                <w:numId w:val="6"/>
              </w:numPr>
              <w:rPr>
                <w:rFonts w:ascii="Calibri" w:hAnsi="Calibri"/>
                <w:lang w:val="en-GB"/>
              </w:rPr>
            </w:pPr>
            <w:r>
              <w:rPr>
                <w:rFonts w:ascii="Calibri" w:hAnsi="Calibri"/>
                <w:lang w:val="en-GB"/>
              </w:rPr>
              <w:t>IC</w:t>
            </w:r>
            <w:r w:rsidR="008473AB">
              <w:rPr>
                <w:rFonts w:ascii="Calibri" w:hAnsi="Calibri"/>
                <w:lang w:val="en-GB"/>
              </w:rPr>
              <w:t>ESC</w:t>
            </w:r>
            <w:r>
              <w:rPr>
                <w:rFonts w:ascii="Calibri" w:hAnsi="Calibri"/>
                <w:lang w:val="en-GB"/>
              </w:rPr>
              <w:t>R (Article 12.2(b))</w:t>
            </w:r>
          </w:p>
          <w:p w14:paraId="5AC24A33" w14:textId="77777777" w:rsidR="008473AB" w:rsidRDefault="000A5455" w:rsidP="009A22BC">
            <w:pPr>
              <w:pStyle w:val="ListParagraph"/>
              <w:numPr>
                <w:ilvl w:val="0"/>
                <w:numId w:val="6"/>
              </w:numPr>
              <w:rPr>
                <w:rFonts w:ascii="Calibri" w:hAnsi="Calibri"/>
                <w:lang w:val="en-GB"/>
              </w:rPr>
            </w:pPr>
            <w:hyperlink r:id="rId8" w:history="1">
              <w:r w:rsidR="008473AB" w:rsidRPr="0099754E">
                <w:rPr>
                  <w:rStyle w:val="Hyperlink"/>
                  <w:rFonts w:ascii="Calibri" w:hAnsi="Calibri"/>
                  <w:lang w:val="en-GB"/>
                </w:rPr>
                <w:t>https://rm.coe.int/report-e-lambert-en/16809c827f</w:t>
              </w:r>
            </w:hyperlink>
            <w:r w:rsidR="008473AB">
              <w:rPr>
                <w:rFonts w:ascii="Calibri" w:hAnsi="Calibri"/>
                <w:lang w:val="en-GB"/>
              </w:rPr>
              <w:t xml:space="preserve"> </w:t>
            </w:r>
          </w:p>
          <w:p w14:paraId="7BEB3380" w14:textId="0E115781" w:rsidR="006434B7" w:rsidRPr="009A22BC" w:rsidRDefault="006434B7" w:rsidP="009A22BC">
            <w:pPr>
              <w:pStyle w:val="ListParagraph"/>
              <w:numPr>
                <w:ilvl w:val="0"/>
                <w:numId w:val="6"/>
              </w:numPr>
              <w:rPr>
                <w:rFonts w:ascii="Calibri" w:hAnsi="Calibri"/>
                <w:lang w:val="en-GB"/>
              </w:rPr>
            </w:pPr>
            <w:r>
              <w:rPr>
                <w:rFonts w:ascii="Calibri" w:hAnsi="Calibri"/>
                <w:lang w:val="en-GB"/>
              </w:rPr>
              <w:t xml:space="preserve">European Social Charter (Article 11 and </w:t>
            </w:r>
            <w:hyperlink r:id="rId9" w:history="1">
              <w:r w:rsidRPr="0099754E">
                <w:rPr>
                  <w:rStyle w:val="Hyperlink"/>
                  <w:rFonts w:ascii="Calibri" w:hAnsi="Calibri"/>
                  <w:lang w:val="en-GB"/>
                </w:rPr>
                <w:t>https://hudoc.esc.coe.int/eng?i=cc-30-2005-dmerits-en</w:t>
              </w:r>
            </w:hyperlink>
            <w:r>
              <w:rPr>
                <w:rFonts w:ascii="Calibri" w:hAnsi="Calibri"/>
                <w:lang w:val="en-GB"/>
              </w:rPr>
              <w:t>)</w:t>
            </w:r>
          </w:p>
        </w:tc>
      </w:tr>
      <w:tr w:rsidR="001F1180" w:rsidRPr="00F96974" w14:paraId="6E683816" w14:textId="77777777" w:rsidTr="00660DD9">
        <w:tc>
          <w:tcPr>
            <w:tcW w:w="2664" w:type="dxa"/>
          </w:tcPr>
          <w:p w14:paraId="3A54C842" w14:textId="77777777" w:rsidR="001F1180" w:rsidRPr="00F96974" w:rsidRDefault="001F1180" w:rsidP="001F1180">
            <w:pPr>
              <w:rPr>
                <w:rFonts w:ascii="Calibri" w:hAnsi="Calibri"/>
                <w:b/>
                <w:lang w:val="en-GB"/>
              </w:rPr>
            </w:pPr>
            <w:r w:rsidRPr="00F96974">
              <w:rPr>
                <w:rFonts w:ascii="Calibri" w:hAnsi="Calibri"/>
                <w:b/>
                <w:i/>
                <w:lang w:val="en-GB"/>
              </w:rPr>
              <w:t>Week 4:</w:t>
            </w:r>
            <w:r w:rsidRPr="00F96974">
              <w:rPr>
                <w:rFonts w:ascii="Arial" w:hAnsi="Arial" w:cs="Arial"/>
                <w:b/>
                <w:lang w:val="en-GB"/>
              </w:rPr>
              <w:t xml:space="preserve"> </w:t>
            </w:r>
          </w:p>
        </w:tc>
        <w:tc>
          <w:tcPr>
            <w:tcW w:w="5966" w:type="dxa"/>
          </w:tcPr>
          <w:p w14:paraId="0FF65C37" w14:textId="0A62B6FE" w:rsidR="001F1180" w:rsidRDefault="001F1180" w:rsidP="001F1180">
            <w:pPr>
              <w:rPr>
                <w:rFonts w:ascii="Calibri" w:hAnsi="Calibri"/>
                <w:lang w:val="en-GB"/>
              </w:rPr>
            </w:pPr>
            <w:r>
              <w:rPr>
                <w:rFonts w:ascii="Calibri" w:hAnsi="Calibri"/>
                <w:lang w:val="en-GB"/>
              </w:rPr>
              <w:t>Right to a healthy environment – existence, scope, limits</w:t>
            </w:r>
          </w:p>
          <w:p w14:paraId="619363CA" w14:textId="6CF7D068" w:rsidR="008473AB" w:rsidRPr="00266811" w:rsidRDefault="000A5455" w:rsidP="001F1180">
            <w:pPr>
              <w:rPr>
                <w:rFonts w:ascii="Calibri" w:hAnsi="Calibri"/>
                <w:lang w:val="en-GB"/>
              </w:rPr>
            </w:pPr>
            <w:hyperlink r:id="rId10" w:history="1">
              <w:r w:rsidR="008473AB" w:rsidRPr="0099754E">
                <w:rPr>
                  <w:rStyle w:val="Hyperlink"/>
                  <w:rFonts w:ascii="Calibri" w:hAnsi="Calibri"/>
                  <w:lang w:val="en-GB"/>
                </w:rPr>
                <w:t>https://www.unep.or</w:t>
              </w:r>
              <w:r w:rsidR="008473AB" w:rsidRPr="0099754E">
                <w:rPr>
                  <w:rStyle w:val="Hyperlink"/>
                  <w:rFonts w:ascii="Calibri" w:hAnsi="Calibri"/>
                  <w:lang w:val="en-GB"/>
                </w:rPr>
                <w:t>g</w:t>
              </w:r>
              <w:r w:rsidR="008473AB" w:rsidRPr="0099754E">
                <w:rPr>
                  <w:rStyle w:val="Hyperlink"/>
                  <w:rFonts w:ascii="Calibri" w:hAnsi="Calibri"/>
                  <w:lang w:val="en-GB"/>
                </w:rPr>
                <w:t>/explore-topics/environmental-rights-and-governance/what-we-do/advancing-environmental-rights/what-0</w:t>
              </w:r>
            </w:hyperlink>
          </w:p>
        </w:tc>
      </w:tr>
      <w:tr w:rsidR="001F1180" w:rsidRPr="00F96974" w14:paraId="1F508E1C" w14:textId="77777777" w:rsidTr="00660DD9">
        <w:tc>
          <w:tcPr>
            <w:tcW w:w="2664" w:type="dxa"/>
          </w:tcPr>
          <w:p w14:paraId="2F3C9FED" w14:textId="77777777" w:rsidR="001F1180" w:rsidRPr="00F96974" w:rsidRDefault="001F1180" w:rsidP="001F1180">
            <w:pPr>
              <w:rPr>
                <w:rFonts w:ascii="Arial" w:hAnsi="Arial" w:cs="Arial"/>
                <w:b/>
                <w:lang w:val="en-GB"/>
              </w:rPr>
            </w:pPr>
            <w:r w:rsidRPr="00F96974">
              <w:rPr>
                <w:rFonts w:ascii="Calibri" w:hAnsi="Calibri"/>
                <w:b/>
                <w:i/>
                <w:lang w:val="en-GB"/>
              </w:rPr>
              <w:t xml:space="preserve">Week 5: </w:t>
            </w:r>
          </w:p>
        </w:tc>
        <w:tc>
          <w:tcPr>
            <w:tcW w:w="5966" w:type="dxa"/>
          </w:tcPr>
          <w:p w14:paraId="43D00B5C" w14:textId="4F9E925D" w:rsidR="001F1180" w:rsidRPr="00266811" w:rsidRDefault="001F1180" w:rsidP="001F1180">
            <w:pPr>
              <w:rPr>
                <w:rFonts w:ascii="Calibri" w:hAnsi="Calibri"/>
                <w:lang w:val="en-GB"/>
              </w:rPr>
            </w:pPr>
            <w:r>
              <w:rPr>
                <w:rFonts w:ascii="Calibri" w:hAnsi="Calibri"/>
                <w:lang w:val="en-GB"/>
              </w:rPr>
              <w:t xml:space="preserve">Substantive and procedural aspects of the right to a </w:t>
            </w:r>
            <w:r w:rsidR="0001202F">
              <w:rPr>
                <w:rFonts w:ascii="Calibri" w:hAnsi="Calibri"/>
                <w:lang w:val="en-GB"/>
              </w:rPr>
              <w:t xml:space="preserve"> </w:t>
            </w:r>
            <w:r w:rsidR="0001202F">
              <w:rPr>
                <w:rFonts w:ascii="Calibri" w:hAnsi="Calibri"/>
                <w:lang w:val="en-GB"/>
              </w:rPr>
              <w:t xml:space="preserve">healthy environment </w:t>
            </w:r>
          </w:p>
        </w:tc>
      </w:tr>
      <w:tr w:rsidR="001F1180" w:rsidRPr="00F96974" w14:paraId="5B8D785D" w14:textId="77777777" w:rsidTr="00660DD9">
        <w:tc>
          <w:tcPr>
            <w:tcW w:w="2664" w:type="dxa"/>
          </w:tcPr>
          <w:p w14:paraId="706878CC" w14:textId="77777777" w:rsidR="001F1180" w:rsidRPr="00F96974" w:rsidRDefault="001F1180" w:rsidP="001F1180">
            <w:pPr>
              <w:rPr>
                <w:rFonts w:ascii="Calibri" w:hAnsi="Calibri"/>
                <w:b/>
                <w:lang w:val="en-GB"/>
              </w:rPr>
            </w:pPr>
            <w:r w:rsidRPr="00F96974">
              <w:rPr>
                <w:rFonts w:ascii="Calibri" w:hAnsi="Calibri"/>
                <w:b/>
                <w:i/>
                <w:lang w:val="en-GB"/>
              </w:rPr>
              <w:t>Week 6</w:t>
            </w:r>
            <w:r w:rsidRPr="00F96974">
              <w:rPr>
                <w:rFonts w:ascii="Calibri" w:hAnsi="Calibri"/>
                <w:b/>
                <w:lang w:val="en-GB"/>
              </w:rPr>
              <w:t xml:space="preserve">: </w:t>
            </w:r>
            <w:r w:rsidRPr="00F96974">
              <w:rPr>
                <w:rFonts w:ascii="Arial" w:hAnsi="Arial" w:cs="Arial"/>
                <w:b/>
                <w:lang w:val="en-GB"/>
              </w:rPr>
              <w:t xml:space="preserve"> </w:t>
            </w:r>
          </w:p>
        </w:tc>
        <w:tc>
          <w:tcPr>
            <w:tcW w:w="5966" w:type="dxa"/>
          </w:tcPr>
          <w:p w14:paraId="72EF25E3" w14:textId="5B014967" w:rsidR="001F1180" w:rsidRPr="00266811" w:rsidRDefault="0001202F" w:rsidP="0001202F">
            <w:pPr>
              <w:rPr>
                <w:rFonts w:ascii="Calibri" w:hAnsi="Calibri"/>
                <w:lang w:val="en-GB"/>
              </w:rPr>
            </w:pPr>
            <w:r>
              <w:rPr>
                <w:rFonts w:ascii="Calibri" w:hAnsi="Calibri"/>
                <w:lang w:val="en-GB"/>
              </w:rPr>
              <w:t xml:space="preserve">Case Study </w:t>
            </w:r>
            <w:r w:rsidRPr="0001202F">
              <w:rPr>
                <w:rFonts w:ascii="Calibri" w:hAnsi="Calibri"/>
                <w:b/>
                <w:i/>
                <w:u w:val="single"/>
                <w:lang w:val="en-GB"/>
              </w:rPr>
              <w:t>Guerra v Italy ECHR</w:t>
            </w:r>
            <w:r>
              <w:rPr>
                <w:rFonts w:ascii="Calibri" w:hAnsi="Calibri"/>
                <w:lang w:val="en-GB"/>
              </w:rPr>
              <w:t xml:space="preserve"> </w:t>
            </w:r>
          </w:p>
        </w:tc>
      </w:tr>
      <w:tr w:rsidR="001F1180" w:rsidRPr="00F96974" w14:paraId="08D0D122" w14:textId="77777777" w:rsidTr="00660DD9">
        <w:tc>
          <w:tcPr>
            <w:tcW w:w="2664" w:type="dxa"/>
          </w:tcPr>
          <w:p w14:paraId="5D4F6E36" w14:textId="77777777" w:rsidR="001F1180" w:rsidRPr="00F96974" w:rsidRDefault="001F1180" w:rsidP="001F1180">
            <w:pPr>
              <w:rPr>
                <w:rFonts w:ascii="Calibri" w:hAnsi="Calibri"/>
                <w:b/>
                <w:lang w:val="en-GB"/>
              </w:rPr>
            </w:pPr>
            <w:r w:rsidRPr="00F96974">
              <w:rPr>
                <w:rFonts w:ascii="Calibri" w:hAnsi="Calibri"/>
                <w:b/>
                <w:i/>
                <w:lang w:val="en-GB"/>
              </w:rPr>
              <w:t>Week 7:</w:t>
            </w:r>
            <w:r w:rsidRPr="00F96974">
              <w:rPr>
                <w:rFonts w:ascii="Calibri" w:hAnsi="Calibri"/>
                <w:b/>
                <w:lang w:val="en-GB"/>
              </w:rPr>
              <w:t xml:space="preserve">  </w:t>
            </w:r>
          </w:p>
        </w:tc>
        <w:tc>
          <w:tcPr>
            <w:tcW w:w="5966" w:type="dxa"/>
          </w:tcPr>
          <w:p w14:paraId="10E62609" w14:textId="54104560" w:rsidR="001F1180" w:rsidRPr="0001202F" w:rsidRDefault="001F1180" w:rsidP="001F1180">
            <w:pPr>
              <w:rPr>
                <w:rFonts w:ascii="Calibri" w:hAnsi="Calibri"/>
                <w:b/>
                <w:lang w:val="en-GB"/>
              </w:rPr>
            </w:pPr>
            <w:r>
              <w:rPr>
                <w:rFonts w:ascii="Calibri" w:hAnsi="Calibri"/>
                <w:lang w:val="en-GB"/>
              </w:rPr>
              <w:t xml:space="preserve">Effective protection of the right to a </w:t>
            </w:r>
            <w:r w:rsidR="0001202F">
              <w:rPr>
                <w:rFonts w:ascii="Calibri" w:hAnsi="Calibri"/>
                <w:lang w:val="en-GB"/>
              </w:rPr>
              <w:t>healthy</w:t>
            </w:r>
            <w:r>
              <w:rPr>
                <w:rFonts w:ascii="Calibri" w:hAnsi="Calibri"/>
                <w:lang w:val="en-GB"/>
              </w:rPr>
              <w:t xml:space="preserve"> environment – ordinary and strategic litigation – procedural issues (</w:t>
            </w:r>
            <w:r w:rsidRPr="0001202F">
              <w:rPr>
                <w:rFonts w:ascii="Calibri" w:hAnsi="Calibri"/>
                <w:b/>
                <w:lang w:val="en-GB"/>
              </w:rPr>
              <w:t>Aarhus Convention)</w:t>
            </w:r>
          </w:p>
          <w:p w14:paraId="4B43F312" w14:textId="5F05CB2A" w:rsidR="004469F9" w:rsidRPr="004469F9" w:rsidRDefault="000A5455" w:rsidP="004469F9">
            <w:pPr>
              <w:pStyle w:val="ListParagraph"/>
              <w:numPr>
                <w:ilvl w:val="0"/>
                <w:numId w:val="6"/>
              </w:numPr>
              <w:rPr>
                <w:rFonts w:ascii="Calibri" w:hAnsi="Calibri"/>
                <w:lang w:val="en-GB"/>
              </w:rPr>
            </w:pPr>
            <w:hyperlink r:id="rId11" w:history="1">
              <w:r w:rsidR="004469F9" w:rsidRPr="0099754E">
                <w:rPr>
                  <w:rStyle w:val="Hyperlink"/>
                  <w:rFonts w:ascii="Calibri" w:hAnsi="Calibri"/>
                  <w:lang w:val="en-GB"/>
                </w:rPr>
                <w:t>https://www.satv.tiesa.gov.lv/web/viewer.html?file=/wp-content/uploads/2007/05/2007-11-03_Spriedums_ENG.pdf</w:t>
              </w:r>
            </w:hyperlink>
            <w:r w:rsidR="004469F9">
              <w:rPr>
                <w:rFonts w:ascii="Calibri" w:hAnsi="Calibri"/>
                <w:lang w:val="en-GB"/>
              </w:rPr>
              <w:t xml:space="preserve"> (paras 10-13.1) </w:t>
            </w:r>
          </w:p>
        </w:tc>
      </w:tr>
      <w:tr w:rsidR="001F1180" w:rsidRPr="00F96974" w14:paraId="0966BE6A" w14:textId="77777777" w:rsidTr="00660DD9">
        <w:tc>
          <w:tcPr>
            <w:tcW w:w="2664" w:type="dxa"/>
          </w:tcPr>
          <w:p w14:paraId="4DF3C5CA" w14:textId="77777777" w:rsidR="001F1180" w:rsidRPr="00F96974" w:rsidRDefault="001F1180" w:rsidP="001F1180">
            <w:pPr>
              <w:rPr>
                <w:rFonts w:ascii="Calibri" w:hAnsi="Calibri"/>
                <w:b/>
                <w:lang w:val="en-GB"/>
              </w:rPr>
            </w:pPr>
            <w:r w:rsidRPr="00F96974">
              <w:rPr>
                <w:rFonts w:ascii="Calibri" w:hAnsi="Calibri"/>
                <w:b/>
                <w:i/>
                <w:lang w:val="en-GB"/>
              </w:rPr>
              <w:t>Week 8:</w:t>
            </w:r>
            <w:r w:rsidRPr="00F96974">
              <w:rPr>
                <w:rFonts w:ascii="Calibri" w:hAnsi="Calibri"/>
                <w:b/>
                <w:lang w:val="en-GB"/>
              </w:rPr>
              <w:t xml:space="preserve">  </w:t>
            </w:r>
            <w:r w:rsidRPr="00F96974">
              <w:rPr>
                <w:rFonts w:ascii="Arial" w:hAnsi="Arial" w:cs="Arial"/>
                <w:b/>
                <w:lang w:val="en-GB"/>
              </w:rPr>
              <w:t xml:space="preserve"> </w:t>
            </w:r>
          </w:p>
        </w:tc>
        <w:tc>
          <w:tcPr>
            <w:tcW w:w="5966" w:type="dxa"/>
          </w:tcPr>
          <w:p w14:paraId="7C9A2560" w14:textId="3479FF58" w:rsidR="001F1180" w:rsidRDefault="001F1180" w:rsidP="001F1180">
            <w:pPr>
              <w:rPr>
                <w:rFonts w:ascii="Calibri" w:hAnsi="Calibri"/>
                <w:lang w:val="en-GB"/>
              </w:rPr>
            </w:pPr>
            <w:r>
              <w:rPr>
                <w:rFonts w:ascii="Calibri" w:hAnsi="Calibri"/>
                <w:lang w:val="en-GB"/>
              </w:rPr>
              <w:t xml:space="preserve">Effective protection of the right to a </w:t>
            </w:r>
            <w:r w:rsidR="0001202F">
              <w:rPr>
                <w:rFonts w:ascii="Calibri" w:hAnsi="Calibri"/>
                <w:lang w:val="en-GB"/>
              </w:rPr>
              <w:t>healthy</w:t>
            </w:r>
            <w:r>
              <w:rPr>
                <w:rFonts w:ascii="Calibri" w:hAnsi="Calibri"/>
                <w:lang w:val="en-GB"/>
              </w:rPr>
              <w:t xml:space="preserve"> environment – ordinary and strategic litigation – methodological issues</w:t>
            </w:r>
          </w:p>
          <w:p w14:paraId="1BF7B851" w14:textId="74C21A07" w:rsidR="004469F9" w:rsidRPr="004469F9" w:rsidRDefault="004469F9" w:rsidP="004469F9">
            <w:pPr>
              <w:pStyle w:val="ListParagraph"/>
              <w:numPr>
                <w:ilvl w:val="0"/>
                <w:numId w:val="6"/>
              </w:numPr>
              <w:rPr>
                <w:rFonts w:ascii="Calibri" w:hAnsi="Calibri"/>
                <w:lang w:val="en-GB"/>
              </w:rPr>
            </w:pPr>
            <w:proofErr w:type="spellStart"/>
            <w:r w:rsidRPr="004469F9">
              <w:rPr>
                <w:rFonts w:ascii="Calibri" w:hAnsi="Calibri"/>
              </w:rPr>
              <w:t>Gorraiz</w:t>
            </w:r>
            <w:proofErr w:type="spellEnd"/>
            <w:r w:rsidRPr="004469F9">
              <w:rPr>
                <w:rFonts w:ascii="Calibri" w:hAnsi="Calibri"/>
              </w:rPr>
              <w:t xml:space="preserve"> </w:t>
            </w:r>
            <w:proofErr w:type="spellStart"/>
            <w:r w:rsidRPr="004469F9">
              <w:rPr>
                <w:rFonts w:ascii="Calibri" w:hAnsi="Calibri"/>
              </w:rPr>
              <w:t>Lizarraga</w:t>
            </w:r>
            <w:proofErr w:type="spellEnd"/>
            <w:r>
              <w:rPr>
                <w:rFonts w:ascii="Calibri" w:hAnsi="Calibri"/>
              </w:rPr>
              <w:t xml:space="preserve"> and Others v. Spain</w:t>
            </w:r>
          </w:p>
        </w:tc>
      </w:tr>
      <w:tr w:rsidR="001F1180" w:rsidRPr="00F96974" w14:paraId="64ECF815" w14:textId="77777777" w:rsidTr="00660DD9">
        <w:tc>
          <w:tcPr>
            <w:tcW w:w="2664" w:type="dxa"/>
          </w:tcPr>
          <w:p w14:paraId="45A3AAD2" w14:textId="77777777" w:rsidR="001F1180" w:rsidRPr="00F96974" w:rsidRDefault="001F1180" w:rsidP="001F1180">
            <w:pPr>
              <w:rPr>
                <w:rFonts w:ascii="Calibri" w:hAnsi="Calibri"/>
                <w:b/>
                <w:lang w:val="en-GB"/>
              </w:rPr>
            </w:pPr>
            <w:r w:rsidRPr="00F96974">
              <w:rPr>
                <w:rFonts w:ascii="Calibri" w:hAnsi="Calibri"/>
                <w:b/>
                <w:i/>
                <w:lang w:val="en-GB"/>
              </w:rPr>
              <w:lastRenderedPageBreak/>
              <w:t>Week 9:</w:t>
            </w:r>
            <w:r w:rsidRPr="00F96974">
              <w:rPr>
                <w:rFonts w:ascii="Calibri" w:hAnsi="Calibri"/>
                <w:b/>
                <w:lang w:val="en-GB"/>
              </w:rPr>
              <w:t xml:space="preserve">  </w:t>
            </w:r>
          </w:p>
        </w:tc>
        <w:tc>
          <w:tcPr>
            <w:tcW w:w="5966" w:type="dxa"/>
          </w:tcPr>
          <w:p w14:paraId="32DD0A9D" w14:textId="37CE1C4F" w:rsidR="001F1180" w:rsidRPr="00266811" w:rsidRDefault="001F1180" w:rsidP="001F1180">
            <w:pPr>
              <w:rPr>
                <w:rFonts w:ascii="Calibri" w:hAnsi="Calibri"/>
                <w:lang w:val="en-GB"/>
              </w:rPr>
            </w:pPr>
            <w:r>
              <w:rPr>
                <w:rFonts w:ascii="Calibri" w:hAnsi="Calibri"/>
                <w:lang w:val="en-GB"/>
              </w:rPr>
              <w:t>Seminar on case-law of domestic (</w:t>
            </w:r>
            <w:r w:rsidR="006F21BF">
              <w:rPr>
                <w:rFonts w:ascii="Calibri" w:hAnsi="Calibri"/>
                <w:lang w:val="en-GB"/>
              </w:rPr>
              <w:t>Colombia (</w:t>
            </w:r>
            <w:hyperlink r:id="rId12" w:history="1">
              <w:r w:rsidR="006F21BF" w:rsidRPr="0099754E">
                <w:rPr>
                  <w:rStyle w:val="Hyperlink"/>
                  <w:rFonts w:ascii="Calibri" w:hAnsi="Calibri"/>
                  <w:lang w:val="en-GB"/>
                </w:rPr>
                <w:t>https://www.informea.org/sites/default/files/court-decisions/Colombia%20-%20Future%20Generations%20v%20Ministry%20of%20Env%20and%20Others%20%28unofficial%20English%20trans%29.pdf</w:t>
              </w:r>
            </w:hyperlink>
            <w:r w:rsidR="006F21BF">
              <w:rPr>
                <w:rFonts w:ascii="Calibri" w:hAnsi="Calibri"/>
                <w:lang w:val="en-GB"/>
              </w:rPr>
              <w:t xml:space="preserve">), </w:t>
            </w:r>
            <w:r>
              <w:rPr>
                <w:rFonts w:ascii="Calibri" w:hAnsi="Calibri"/>
                <w:lang w:val="en-GB"/>
              </w:rPr>
              <w:t>France</w:t>
            </w:r>
            <w:r w:rsidR="001848B6">
              <w:rPr>
                <w:rFonts w:ascii="Calibri" w:hAnsi="Calibri"/>
                <w:lang w:val="en-GB"/>
              </w:rPr>
              <w:t xml:space="preserve"> (</w:t>
            </w:r>
            <w:hyperlink r:id="rId13" w:history="1">
              <w:r w:rsidR="001848B6" w:rsidRPr="0099754E">
                <w:rPr>
                  <w:rStyle w:val="Hyperlink"/>
                  <w:rFonts w:ascii="Calibri" w:hAnsi="Calibri"/>
                  <w:lang w:val="en-GB"/>
                </w:rPr>
                <w:t>http://climatecasechart.com/wp-content/uploads/sites/16/non-us-case-documents/2021/20210203_NA_decision-1.pdf</w:t>
              </w:r>
            </w:hyperlink>
            <w:r w:rsidR="001848B6">
              <w:rPr>
                <w:rFonts w:ascii="Calibri" w:hAnsi="Calibri"/>
                <w:lang w:val="en-GB"/>
              </w:rPr>
              <w:t>)</w:t>
            </w:r>
            <w:r>
              <w:rPr>
                <w:rFonts w:ascii="Calibri" w:hAnsi="Calibri"/>
                <w:lang w:val="en-GB"/>
              </w:rPr>
              <w:t>, Germany</w:t>
            </w:r>
            <w:r w:rsidR="006F21BF">
              <w:rPr>
                <w:rFonts w:ascii="Calibri" w:hAnsi="Calibri"/>
                <w:lang w:val="en-GB"/>
              </w:rPr>
              <w:t xml:space="preserve"> (</w:t>
            </w:r>
            <w:hyperlink r:id="rId14" w:history="1">
              <w:r w:rsidR="006F21BF" w:rsidRPr="0099754E">
                <w:rPr>
                  <w:rStyle w:val="Hyperlink"/>
                  <w:rFonts w:ascii="Calibri" w:hAnsi="Calibri"/>
                  <w:lang w:val="en-GB"/>
                </w:rPr>
                <w:t>https://www.bundesverfassungsgericht.de/SharedDocs/Entscheidungen/EN/2021/03/rs20210324_1bvr265618en.html</w:t>
              </w:r>
            </w:hyperlink>
            <w:r w:rsidR="006F21BF">
              <w:rPr>
                <w:rFonts w:ascii="Calibri" w:hAnsi="Calibri"/>
                <w:lang w:val="en-GB"/>
              </w:rPr>
              <w:t>)</w:t>
            </w:r>
            <w:r>
              <w:rPr>
                <w:rFonts w:ascii="Calibri" w:hAnsi="Calibri"/>
                <w:lang w:val="en-GB"/>
              </w:rPr>
              <w:t xml:space="preserve">, </w:t>
            </w:r>
            <w:r w:rsidR="009A22BC">
              <w:rPr>
                <w:rFonts w:ascii="Calibri" w:hAnsi="Calibri"/>
                <w:lang w:val="en-GB"/>
              </w:rPr>
              <w:t>Ireland</w:t>
            </w:r>
            <w:r w:rsidR="001848B6">
              <w:rPr>
                <w:rFonts w:ascii="Calibri" w:hAnsi="Calibri"/>
                <w:lang w:val="en-GB"/>
              </w:rPr>
              <w:t xml:space="preserve"> (</w:t>
            </w:r>
            <w:hyperlink r:id="rId15" w:history="1">
              <w:r w:rsidR="001848B6" w:rsidRPr="0099754E">
                <w:rPr>
                  <w:rStyle w:val="Hyperlink"/>
                  <w:rFonts w:ascii="Calibri" w:hAnsi="Calibri"/>
                  <w:lang w:val="en-GB"/>
                </w:rPr>
                <w:t>https://www.courts.ie/view/judgments/681b8633-3f57-41b5-9362-8cbc8e7d9215/981c098a-462b-4a9a-9941-5d601903c9af/2020_IESC_49.pdf/pdf</w:t>
              </w:r>
            </w:hyperlink>
            <w:r w:rsidR="001848B6">
              <w:rPr>
                <w:rFonts w:ascii="Calibri" w:hAnsi="Calibri"/>
                <w:lang w:val="en-GB"/>
              </w:rPr>
              <w:t>)</w:t>
            </w:r>
            <w:r w:rsidR="009A22BC">
              <w:rPr>
                <w:rFonts w:ascii="Calibri" w:hAnsi="Calibri"/>
                <w:lang w:val="en-GB"/>
              </w:rPr>
              <w:t xml:space="preserve">, </w:t>
            </w:r>
            <w:r>
              <w:rPr>
                <w:rFonts w:ascii="Calibri" w:hAnsi="Calibri"/>
                <w:lang w:val="en-GB"/>
              </w:rPr>
              <w:t>the Netherlands</w:t>
            </w:r>
            <w:r w:rsidR="009A22BC">
              <w:rPr>
                <w:rFonts w:ascii="Calibri" w:hAnsi="Calibri"/>
                <w:lang w:val="en-GB"/>
              </w:rPr>
              <w:t xml:space="preserve"> (</w:t>
            </w:r>
            <w:hyperlink r:id="rId16" w:history="1">
              <w:r w:rsidR="009A22BC" w:rsidRPr="0099754E">
                <w:rPr>
                  <w:rStyle w:val="Hyperlink"/>
                  <w:rFonts w:ascii="Calibri" w:hAnsi="Calibri"/>
                  <w:lang w:val="en-GB"/>
                </w:rPr>
                <w:t>http://climatecasechart.com/wp-content/uploads/sites/16/non-us-case-documents/2020/20200113_2015-HAZA-C0900456689_judgment.pdf</w:t>
              </w:r>
            </w:hyperlink>
            <w:r w:rsidR="009A22BC">
              <w:rPr>
                <w:rFonts w:ascii="Calibri" w:hAnsi="Calibri"/>
                <w:lang w:val="en-GB"/>
              </w:rPr>
              <w:t>)</w:t>
            </w:r>
            <w:r>
              <w:rPr>
                <w:rFonts w:ascii="Calibri" w:hAnsi="Calibri"/>
                <w:lang w:val="en-GB"/>
              </w:rPr>
              <w:t>) and supranational (CJEU</w:t>
            </w:r>
            <w:r w:rsidR="00897CF4">
              <w:rPr>
                <w:rFonts w:ascii="Calibri" w:hAnsi="Calibri"/>
                <w:lang w:val="en-GB"/>
              </w:rPr>
              <w:t xml:space="preserve"> (</w:t>
            </w:r>
            <w:hyperlink r:id="rId17" w:history="1">
              <w:r w:rsidR="002D2E47" w:rsidRPr="0099754E">
                <w:rPr>
                  <w:rStyle w:val="Hyperlink"/>
                  <w:rFonts w:ascii="Calibri" w:hAnsi="Calibri"/>
                  <w:lang w:val="en-GB"/>
                </w:rPr>
                <w:t>https://curia.europa.eu/common/recdoc/repertoire_jurisp/bull_4/data/index_4_23.htm</w:t>
              </w:r>
            </w:hyperlink>
            <w:r w:rsidR="00897CF4">
              <w:rPr>
                <w:rFonts w:ascii="Calibri" w:hAnsi="Calibri"/>
                <w:lang w:val="en-GB"/>
              </w:rPr>
              <w:t>)</w:t>
            </w:r>
            <w:r>
              <w:rPr>
                <w:rFonts w:ascii="Calibri" w:hAnsi="Calibri"/>
                <w:lang w:val="en-GB"/>
              </w:rPr>
              <w:t xml:space="preserve">, </w:t>
            </w:r>
            <w:r w:rsidR="006434B7">
              <w:rPr>
                <w:rFonts w:ascii="Calibri" w:hAnsi="Calibri"/>
                <w:lang w:val="en-GB"/>
              </w:rPr>
              <w:t>IACHR (</w:t>
            </w:r>
            <w:hyperlink r:id="rId18" w:history="1">
              <w:r w:rsidR="006434B7" w:rsidRPr="0099754E">
                <w:rPr>
                  <w:rStyle w:val="Hyperlink"/>
                  <w:rFonts w:ascii="Calibri" w:hAnsi="Calibri"/>
                  <w:lang w:val="en-GB"/>
                </w:rPr>
                <w:t>https://www.corteidh.or.cr/docs/opiniones/seriea_23_ing.pdf</w:t>
              </w:r>
            </w:hyperlink>
            <w:r w:rsidR="006434B7">
              <w:rPr>
                <w:rFonts w:ascii="Calibri" w:hAnsi="Calibri"/>
                <w:lang w:val="en-GB"/>
              </w:rPr>
              <w:t xml:space="preserve">), </w:t>
            </w:r>
            <w:r>
              <w:rPr>
                <w:rFonts w:ascii="Calibri" w:hAnsi="Calibri"/>
                <w:lang w:val="en-GB"/>
              </w:rPr>
              <w:t>ECHR) courts</w:t>
            </w:r>
          </w:p>
        </w:tc>
      </w:tr>
      <w:tr w:rsidR="001F1180" w:rsidRPr="00F96974" w14:paraId="7CC02CD9" w14:textId="77777777" w:rsidTr="00660DD9">
        <w:tc>
          <w:tcPr>
            <w:tcW w:w="2664" w:type="dxa"/>
          </w:tcPr>
          <w:p w14:paraId="71F62FAB" w14:textId="77777777" w:rsidR="001F1180" w:rsidRPr="00F96974" w:rsidRDefault="001F1180" w:rsidP="001F1180">
            <w:pPr>
              <w:rPr>
                <w:rFonts w:ascii="Calibri" w:hAnsi="Calibri"/>
                <w:b/>
                <w:i/>
                <w:lang w:val="en-GB"/>
              </w:rPr>
            </w:pPr>
            <w:r w:rsidRPr="00F96974">
              <w:rPr>
                <w:rFonts w:ascii="Calibri" w:hAnsi="Calibri"/>
                <w:b/>
                <w:i/>
                <w:lang w:val="en-GB"/>
              </w:rPr>
              <w:t xml:space="preserve">Week 10: </w:t>
            </w:r>
            <w:r w:rsidRPr="00F96974">
              <w:rPr>
                <w:rFonts w:ascii="Arial" w:hAnsi="Arial" w:cs="Arial"/>
                <w:b/>
                <w:lang w:val="en-GB"/>
              </w:rPr>
              <w:t xml:space="preserve"> </w:t>
            </w:r>
          </w:p>
        </w:tc>
        <w:tc>
          <w:tcPr>
            <w:tcW w:w="5966" w:type="dxa"/>
          </w:tcPr>
          <w:p w14:paraId="0C8F9E7F" w14:textId="2A3A363E" w:rsidR="001F1180" w:rsidRPr="00266811" w:rsidRDefault="001F1180" w:rsidP="001F1180">
            <w:pPr>
              <w:rPr>
                <w:rFonts w:ascii="Calibri" w:hAnsi="Calibri"/>
                <w:lang w:val="en-GB"/>
              </w:rPr>
            </w:pPr>
            <w:r>
              <w:rPr>
                <w:rFonts w:ascii="Calibri" w:hAnsi="Calibri"/>
                <w:lang w:val="en-GB"/>
              </w:rPr>
              <w:t>Seminar on case-law of domestic and supranational courts</w:t>
            </w:r>
            <w:r w:rsidR="006F21BF">
              <w:rPr>
                <w:rFonts w:ascii="Calibri" w:hAnsi="Calibri"/>
                <w:lang w:val="en-GB"/>
              </w:rPr>
              <w:t xml:space="preserve"> (</w:t>
            </w:r>
            <w:proofErr w:type="spellStart"/>
            <w:r w:rsidR="006F21BF">
              <w:rPr>
                <w:rFonts w:ascii="Calibri" w:hAnsi="Calibri"/>
                <w:lang w:val="en-GB"/>
              </w:rPr>
              <w:t>ctd</w:t>
            </w:r>
            <w:proofErr w:type="spellEnd"/>
            <w:r w:rsidR="006F21BF">
              <w:rPr>
                <w:rFonts w:ascii="Calibri" w:hAnsi="Calibri"/>
                <w:lang w:val="en-GB"/>
              </w:rPr>
              <w:t>.)</w:t>
            </w:r>
          </w:p>
        </w:tc>
      </w:tr>
      <w:tr w:rsidR="001F1180" w:rsidRPr="00F96974" w14:paraId="5F4E8A28" w14:textId="77777777" w:rsidTr="00660DD9">
        <w:tc>
          <w:tcPr>
            <w:tcW w:w="2664" w:type="dxa"/>
          </w:tcPr>
          <w:p w14:paraId="7385824E" w14:textId="77777777" w:rsidR="001F1180" w:rsidRPr="00F96974" w:rsidRDefault="001F1180" w:rsidP="001F1180">
            <w:pPr>
              <w:rPr>
                <w:rFonts w:ascii="Calibri" w:hAnsi="Calibri"/>
                <w:b/>
                <w:i/>
                <w:lang w:val="en-GB"/>
              </w:rPr>
            </w:pPr>
            <w:r w:rsidRPr="00F96974">
              <w:rPr>
                <w:rFonts w:ascii="Calibri" w:hAnsi="Calibri"/>
                <w:b/>
                <w:i/>
                <w:lang w:val="en-GB"/>
              </w:rPr>
              <w:t>Week 11</w:t>
            </w:r>
            <w:r w:rsidRPr="00F96974">
              <w:rPr>
                <w:rFonts w:ascii="Calibri" w:hAnsi="Calibri"/>
                <w:b/>
                <w:lang w:val="en-GB"/>
              </w:rPr>
              <w:t xml:space="preserve">: </w:t>
            </w:r>
          </w:p>
        </w:tc>
        <w:tc>
          <w:tcPr>
            <w:tcW w:w="5966" w:type="dxa"/>
          </w:tcPr>
          <w:p w14:paraId="3C9302C0" w14:textId="77777777" w:rsidR="001F1180" w:rsidRDefault="001F1180" w:rsidP="001F1180">
            <w:pPr>
              <w:rPr>
                <w:rFonts w:ascii="Calibri" w:hAnsi="Calibri"/>
                <w:lang w:val="en-GB"/>
              </w:rPr>
            </w:pPr>
            <w:r>
              <w:rPr>
                <w:rFonts w:ascii="Calibri" w:hAnsi="Calibri"/>
                <w:lang w:val="en-GB"/>
              </w:rPr>
              <w:t>The possibility to litigate environmental-law issues in the absence of an explicitly guaranteed right to a health environment – right to private life, right to health, right to life, property rights (Hatton,</w:t>
            </w:r>
            <w:r w:rsidRPr="001F1180">
              <w:rPr>
                <w:rFonts w:ascii="Arial" w:hAnsi="Arial" w:cs="Arial"/>
                <w:color w:val="000000"/>
                <w:shd w:val="clear" w:color="auto" w:fill="FFFFFF"/>
              </w:rPr>
              <w:t xml:space="preserve"> </w:t>
            </w:r>
            <w:proofErr w:type="spellStart"/>
            <w:r w:rsidRPr="001F1180">
              <w:rPr>
                <w:rFonts w:ascii="Calibri" w:hAnsi="Calibri"/>
              </w:rPr>
              <w:t>Öneryıldız</w:t>
            </w:r>
            <w:proofErr w:type="spellEnd"/>
            <w:r>
              <w:rPr>
                <w:rFonts w:ascii="Calibri" w:hAnsi="Calibri"/>
              </w:rPr>
              <w:t xml:space="preserve">, </w:t>
            </w:r>
            <w:proofErr w:type="spellStart"/>
            <w:r>
              <w:rPr>
                <w:rFonts w:ascii="Calibri" w:hAnsi="Calibri"/>
              </w:rPr>
              <w:t>Budayeva</w:t>
            </w:r>
            <w:proofErr w:type="spellEnd"/>
            <w:r>
              <w:rPr>
                <w:rFonts w:ascii="Calibri" w:hAnsi="Calibri"/>
              </w:rPr>
              <w:t xml:space="preserve"> and others, Tatar, Guerra and others</w:t>
            </w:r>
            <w:r>
              <w:rPr>
                <w:rFonts w:ascii="Calibri" w:hAnsi="Calibri"/>
                <w:lang w:val="en-GB"/>
              </w:rPr>
              <w:t>)</w:t>
            </w:r>
          </w:p>
          <w:p w14:paraId="63E4E5BE" w14:textId="35BA5BFF" w:rsidR="00C638E0" w:rsidRPr="00C638E0" w:rsidRDefault="00C638E0" w:rsidP="00C638E0">
            <w:pPr>
              <w:pStyle w:val="ListParagraph"/>
              <w:numPr>
                <w:ilvl w:val="0"/>
                <w:numId w:val="6"/>
              </w:numPr>
              <w:rPr>
                <w:rFonts w:ascii="Calibri" w:hAnsi="Calibri"/>
                <w:lang w:val="en-GB"/>
              </w:rPr>
            </w:pPr>
            <w:r>
              <w:rPr>
                <w:rFonts w:ascii="Calibri" w:hAnsi="Calibri"/>
                <w:lang w:val="en-GB"/>
              </w:rPr>
              <w:t>ECHR factsheet on Environment and European Convention on Human Rights:</w:t>
            </w:r>
            <w:bookmarkStart w:id="0" w:name="_GoBack"/>
            <w:bookmarkEnd w:id="0"/>
            <w:r>
              <w:rPr>
                <w:rFonts w:ascii="Calibri" w:hAnsi="Calibri"/>
                <w:lang w:val="en-GB"/>
              </w:rPr>
              <w:t xml:space="preserve"> </w:t>
            </w:r>
            <w:hyperlink r:id="rId19" w:history="1">
              <w:r w:rsidRPr="0099754E">
                <w:rPr>
                  <w:rStyle w:val="Hyperlink"/>
                  <w:rFonts w:ascii="Calibri" w:hAnsi="Calibri"/>
                  <w:lang w:val="en-GB"/>
                </w:rPr>
                <w:t>https://www.echr.coe.int/Documents/FS_Environment_ENG.pdf</w:t>
              </w:r>
            </w:hyperlink>
            <w:r>
              <w:rPr>
                <w:rFonts w:ascii="Calibri" w:hAnsi="Calibri"/>
                <w:lang w:val="en-GB"/>
              </w:rPr>
              <w:t xml:space="preserve"> </w:t>
            </w:r>
          </w:p>
        </w:tc>
      </w:tr>
      <w:tr w:rsidR="001F1180" w:rsidRPr="00F96974" w14:paraId="29EBC7F3" w14:textId="77777777" w:rsidTr="00660DD9">
        <w:tc>
          <w:tcPr>
            <w:tcW w:w="2664" w:type="dxa"/>
          </w:tcPr>
          <w:p w14:paraId="6316FC18" w14:textId="77777777" w:rsidR="001F1180" w:rsidRPr="003F2FE3" w:rsidRDefault="001F1180" w:rsidP="001F1180">
            <w:pPr>
              <w:rPr>
                <w:rFonts w:ascii="Calibri" w:hAnsi="Calibri"/>
                <w:b/>
                <w:lang w:val="en-GB"/>
              </w:rPr>
            </w:pPr>
            <w:r w:rsidRPr="00F96974">
              <w:rPr>
                <w:rFonts w:ascii="Calibri" w:hAnsi="Calibri"/>
                <w:b/>
                <w:i/>
                <w:lang w:val="en-GB"/>
              </w:rPr>
              <w:t>Week 12</w:t>
            </w:r>
            <w:r>
              <w:rPr>
                <w:rFonts w:ascii="Calibri" w:hAnsi="Calibri"/>
                <w:b/>
                <w:lang w:val="en-GB"/>
              </w:rPr>
              <w:t>:</w:t>
            </w:r>
          </w:p>
        </w:tc>
        <w:tc>
          <w:tcPr>
            <w:tcW w:w="5966" w:type="dxa"/>
          </w:tcPr>
          <w:p w14:paraId="03D1FD37" w14:textId="48944AF8" w:rsidR="001F1180" w:rsidRPr="00266811" w:rsidRDefault="001F1180" w:rsidP="001F1180">
            <w:pPr>
              <w:rPr>
                <w:rFonts w:ascii="Calibri" w:hAnsi="Calibri"/>
                <w:lang w:val="en-GB"/>
              </w:rPr>
            </w:pPr>
            <w:r>
              <w:rPr>
                <w:rFonts w:ascii="Calibri" w:hAnsi="Calibri"/>
                <w:lang w:val="en-GB"/>
              </w:rPr>
              <w:t>The possibility to litigate environmental-law issues in the absence of an explicitly guaranteed right to a health environment – right to private life, right to health, right to life, property rights (Hatton,</w:t>
            </w:r>
            <w:r w:rsidRPr="001F1180">
              <w:rPr>
                <w:rFonts w:ascii="Arial" w:hAnsi="Arial" w:cs="Arial"/>
                <w:color w:val="000000"/>
                <w:shd w:val="clear" w:color="auto" w:fill="FFFFFF"/>
              </w:rPr>
              <w:t xml:space="preserve"> </w:t>
            </w:r>
            <w:proofErr w:type="spellStart"/>
            <w:r w:rsidRPr="001F1180">
              <w:rPr>
                <w:rFonts w:ascii="Calibri" w:hAnsi="Calibri"/>
              </w:rPr>
              <w:t>Öneryıldız</w:t>
            </w:r>
            <w:proofErr w:type="spellEnd"/>
            <w:r>
              <w:rPr>
                <w:rFonts w:ascii="Calibri" w:hAnsi="Calibri"/>
              </w:rPr>
              <w:t xml:space="preserve">, </w:t>
            </w:r>
            <w:proofErr w:type="spellStart"/>
            <w:r>
              <w:rPr>
                <w:rFonts w:ascii="Calibri" w:hAnsi="Calibri"/>
              </w:rPr>
              <w:t>Budayeva</w:t>
            </w:r>
            <w:proofErr w:type="spellEnd"/>
            <w:r>
              <w:rPr>
                <w:rFonts w:ascii="Calibri" w:hAnsi="Calibri"/>
              </w:rPr>
              <w:t xml:space="preserve"> and others, Tatar, Guerra and others</w:t>
            </w:r>
            <w:r>
              <w:rPr>
                <w:rFonts w:ascii="Calibri" w:hAnsi="Calibri"/>
                <w:lang w:val="en-GB"/>
              </w:rPr>
              <w:t xml:space="preserve">) </w:t>
            </w:r>
            <w:proofErr w:type="spellStart"/>
            <w:r>
              <w:rPr>
                <w:rFonts w:ascii="Calibri" w:hAnsi="Calibri"/>
                <w:lang w:val="en-GB"/>
              </w:rPr>
              <w:t>ctd</w:t>
            </w:r>
            <w:proofErr w:type="spellEnd"/>
            <w:r>
              <w:rPr>
                <w:rFonts w:ascii="Calibri" w:hAnsi="Calibri"/>
                <w:lang w:val="en-GB"/>
              </w:rPr>
              <w:t>.</w:t>
            </w:r>
          </w:p>
        </w:tc>
      </w:tr>
      <w:tr w:rsidR="001F1180" w:rsidRPr="00F96974" w14:paraId="464185CD" w14:textId="77777777" w:rsidTr="00660DD9">
        <w:tc>
          <w:tcPr>
            <w:tcW w:w="2664" w:type="dxa"/>
          </w:tcPr>
          <w:p w14:paraId="55628C1E" w14:textId="77777777" w:rsidR="001F1180" w:rsidRPr="00F96974" w:rsidRDefault="001F1180" w:rsidP="001F1180">
            <w:pPr>
              <w:rPr>
                <w:rFonts w:ascii="Calibri" w:hAnsi="Calibri"/>
                <w:b/>
                <w:i/>
                <w:lang w:val="en-GB"/>
              </w:rPr>
            </w:pPr>
            <w:r w:rsidRPr="00F96974">
              <w:rPr>
                <w:rFonts w:ascii="Calibri" w:hAnsi="Calibri"/>
                <w:b/>
                <w:i/>
                <w:lang w:val="en-GB"/>
              </w:rPr>
              <w:t>Week 13</w:t>
            </w:r>
            <w:r w:rsidRPr="00F96974">
              <w:rPr>
                <w:rFonts w:ascii="Calibri" w:hAnsi="Calibri"/>
                <w:b/>
                <w:lang w:val="en-GB"/>
              </w:rPr>
              <w:t>:</w:t>
            </w:r>
            <w:r w:rsidRPr="00F96974">
              <w:rPr>
                <w:rFonts w:ascii="Arial" w:hAnsi="Arial" w:cs="Arial"/>
                <w:b/>
                <w:lang w:val="en-GB"/>
              </w:rPr>
              <w:t xml:space="preserve"> </w:t>
            </w:r>
          </w:p>
        </w:tc>
        <w:tc>
          <w:tcPr>
            <w:tcW w:w="5966" w:type="dxa"/>
          </w:tcPr>
          <w:p w14:paraId="1E2C4E07" w14:textId="77777777" w:rsidR="001F1180" w:rsidRDefault="007F1309" w:rsidP="001F1180">
            <w:pPr>
              <w:rPr>
                <w:rFonts w:ascii="Calibri" w:hAnsi="Calibri"/>
                <w:lang w:val="en-GB"/>
              </w:rPr>
            </w:pPr>
            <w:r>
              <w:rPr>
                <w:rFonts w:ascii="Calibri" w:hAnsi="Calibri"/>
                <w:lang w:val="en-GB"/>
              </w:rPr>
              <w:t>Marginalised / vulnerable groups and the environmental law (so-called “sacrifice zones”, indigenous peoples, etc.)</w:t>
            </w:r>
          </w:p>
          <w:p w14:paraId="7749A358" w14:textId="77777777" w:rsidR="008473AB" w:rsidRPr="006434B7" w:rsidRDefault="008473AB" w:rsidP="008473AB">
            <w:pPr>
              <w:pStyle w:val="ListParagraph"/>
              <w:numPr>
                <w:ilvl w:val="0"/>
                <w:numId w:val="6"/>
              </w:numPr>
              <w:rPr>
                <w:rFonts w:ascii="Calibri" w:hAnsi="Calibri"/>
                <w:lang w:val="en-GB"/>
              </w:rPr>
            </w:pPr>
            <w:r>
              <w:rPr>
                <w:rFonts w:ascii="Calibri" w:hAnsi="Calibri"/>
                <w:lang w:val="en-GB"/>
              </w:rPr>
              <w:t xml:space="preserve">Article 27 of ICCPR and </w:t>
            </w:r>
            <w:r w:rsidRPr="008473AB">
              <w:rPr>
                <w:rFonts w:ascii="Calibri" w:hAnsi="Calibri"/>
              </w:rPr>
              <w:t>General Comment No. 23</w:t>
            </w:r>
          </w:p>
          <w:p w14:paraId="40A648BE" w14:textId="152052FE" w:rsidR="006434B7" w:rsidRPr="006434B7" w:rsidRDefault="000A5455" w:rsidP="006434B7">
            <w:pPr>
              <w:pStyle w:val="ListParagraph"/>
              <w:numPr>
                <w:ilvl w:val="0"/>
                <w:numId w:val="6"/>
              </w:numPr>
              <w:rPr>
                <w:rFonts w:ascii="Calibri" w:hAnsi="Calibri"/>
                <w:lang w:val="en-GB"/>
              </w:rPr>
            </w:pPr>
            <w:hyperlink r:id="rId20" w:history="1">
              <w:r w:rsidR="006434B7" w:rsidRPr="0099754E">
                <w:rPr>
                  <w:rStyle w:val="Hyperlink"/>
                  <w:rFonts w:ascii="Calibri" w:hAnsi="Calibri"/>
                  <w:lang w:val="en-GB"/>
                </w:rPr>
                <w:t>https://corteidh.or.cr/docs/casos/articulos/seriec_245_ing.pdf</w:t>
              </w:r>
            </w:hyperlink>
          </w:p>
        </w:tc>
      </w:tr>
      <w:tr w:rsidR="001F1180" w:rsidRPr="00F96974" w14:paraId="5F1E0785" w14:textId="77777777" w:rsidTr="00660DD9">
        <w:tc>
          <w:tcPr>
            <w:tcW w:w="2664" w:type="dxa"/>
          </w:tcPr>
          <w:p w14:paraId="5AB6EF13" w14:textId="77777777" w:rsidR="001F1180" w:rsidRPr="00F96974" w:rsidRDefault="001F1180" w:rsidP="001F1180">
            <w:pPr>
              <w:rPr>
                <w:rFonts w:ascii="Calibri" w:hAnsi="Calibri"/>
                <w:b/>
                <w:i/>
                <w:lang w:val="en-GB"/>
              </w:rPr>
            </w:pPr>
            <w:r w:rsidRPr="00F96974">
              <w:rPr>
                <w:rFonts w:ascii="Calibri" w:hAnsi="Calibri"/>
                <w:b/>
                <w:i/>
                <w:lang w:val="en-GB"/>
              </w:rPr>
              <w:t>Week 14</w:t>
            </w:r>
            <w:r w:rsidRPr="00F96974">
              <w:rPr>
                <w:rFonts w:ascii="Calibri" w:hAnsi="Calibri"/>
                <w:b/>
                <w:lang w:val="en-GB"/>
              </w:rPr>
              <w:t xml:space="preserve">: </w:t>
            </w:r>
          </w:p>
        </w:tc>
        <w:tc>
          <w:tcPr>
            <w:tcW w:w="5966" w:type="dxa"/>
          </w:tcPr>
          <w:p w14:paraId="36FE916E" w14:textId="452E42DF" w:rsidR="001F1180" w:rsidRPr="00266811" w:rsidRDefault="001F1180" w:rsidP="001F1180">
            <w:pPr>
              <w:rPr>
                <w:rFonts w:ascii="Calibri" w:hAnsi="Calibri"/>
                <w:lang w:val="en-GB"/>
              </w:rPr>
            </w:pPr>
            <w:r>
              <w:rPr>
                <w:rFonts w:ascii="Calibri" w:hAnsi="Calibri"/>
                <w:lang w:val="en-GB"/>
              </w:rPr>
              <w:t>The impact of climate change / environmental disasters on human rights (including the need/possibility to derogate from human rights obligations)</w:t>
            </w:r>
            <w:r w:rsidR="00AF245F">
              <w:rPr>
                <w:rFonts w:ascii="Calibri" w:hAnsi="Calibri"/>
                <w:lang w:val="en-GB"/>
              </w:rPr>
              <w:t>. Future issues to be resolved with regard to environment and human rights (ECHR:</w:t>
            </w:r>
            <w:r w:rsidR="004156E2" w:rsidRPr="004156E2">
              <w:t xml:space="preserve"> </w:t>
            </w:r>
            <w:r w:rsidR="004156E2" w:rsidRPr="004156E2">
              <w:rPr>
                <w:rFonts w:ascii="Calibri" w:hAnsi="Calibri"/>
              </w:rPr>
              <w:t xml:space="preserve">Duarte </w:t>
            </w:r>
            <w:proofErr w:type="spellStart"/>
            <w:r w:rsidR="004156E2" w:rsidRPr="004156E2">
              <w:rPr>
                <w:rFonts w:ascii="Calibri" w:hAnsi="Calibri"/>
              </w:rPr>
              <w:t>Agostinho</w:t>
            </w:r>
            <w:proofErr w:type="spellEnd"/>
            <w:r w:rsidR="004156E2" w:rsidRPr="004156E2">
              <w:rPr>
                <w:rFonts w:ascii="Calibri" w:hAnsi="Calibri"/>
              </w:rPr>
              <w:t xml:space="preserve"> and Others v. Portugal and Others</w:t>
            </w:r>
            <w:r w:rsidR="004156E2">
              <w:rPr>
                <w:rFonts w:ascii="Calibri" w:hAnsi="Calibri"/>
              </w:rPr>
              <w:t>,</w:t>
            </w:r>
            <w:r w:rsidR="004156E2" w:rsidRPr="004156E2">
              <w:t xml:space="preserve"> </w:t>
            </w:r>
            <w:proofErr w:type="spellStart"/>
            <w:r w:rsidR="004156E2" w:rsidRPr="004156E2">
              <w:rPr>
                <w:rFonts w:ascii="Calibri" w:hAnsi="Calibri"/>
              </w:rPr>
              <w:t>Verein</w:t>
            </w:r>
            <w:proofErr w:type="spellEnd"/>
            <w:r w:rsidR="004156E2" w:rsidRPr="004156E2">
              <w:rPr>
                <w:rFonts w:ascii="Calibri" w:hAnsi="Calibri"/>
              </w:rPr>
              <w:t xml:space="preserve"> </w:t>
            </w:r>
            <w:proofErr w:type="spellStart"/>
            <w:r w:rsidR="004156E2" w:rsidRPr="004156E2">
              <w:rPr>
                <w:rFonts w:ascii="Calibri" w:hAnsi="Calibri"/>
              </w:rPr>
              <w:t>KlimaSeniorinnen</w:t>
            </w:r>
            <w:proofErr w:type="spellEnd"/>
            <w:r w:rsidR="004156E2" w:rsidRPr="004156E2">
              <w:rPr>
                <w:rFonts w:ascii="Calibri" w:hAnsi="Calibri"/>
              </w:rPr>
              <w:t xml:space="preserve"> </w:t>
            </w:r>
            <w:proofErr w:type="spellStart"/>
            <w:r w:rsidR="004156E2" w:rsidRPr="004156E2">
              <w:rPr>
                <w:rFonts w:ascii="Calibri" w:hAnsi="Calibri"/>
              </w:rPr>
              <w:t>Schweiz</w:t>
            </w:r>
            <w:proofErr w:type="spellEnd"/>
            <w:r w:rsidR="004156E2" w:rsidRPr="004156E2">
              <w:rPr>
                <w:rFonts w:ascii="Calibri" w:hAnsi="Calibri"/>
              </w:rPr>
              <w:t xml:space="preserve"> and others v. Switzerland</w:t>
            </w:r>
            <w:r w:rsidR="004156E2">
              <w:rPr>
                <w:rFonts w:ascii="Calibri" w:hAnsi="Calibri"/>
              </w:rPr>
              <w:t>, etc.</w:t>
            </w:r>
            <w:r w:rsidR="00AF245F">
              <w:rPr>
                <w:rFonts w:ascii="Calibri" w:hAnsi="Calibri"/>
                <w:lang w:val="en-GB"/>
              </w:rPr>
              <w:t>)</w:t>
            </w:r>
          </w:p>
        </w:tc>
      </w:tr>
      <w:tr w:rsidR="001F1180" w:rsidRPr="00F96974" w14:paraId="5EB22E60" w14:textId="77777777" w:rsidTr="00660DD9">
        <w:tc>
          <w:tcPr>
            <w:tcW w:w="2664" w:type="dxa"/>
          </w:tcPr>
          <w:p w14:paraId="1E135C00" w14:textId="77777777" w:rsidR="001F1180" w:rsidRPr="00F96974" w:rsidRDefault="001F1180" w:rsidP="001F1180">
            <w:pPr>
              <w:rPr>
                <w:rFonts w:ascii="Calibri" w:hAnsi="Calibri"/>
                <w:b/>
                <w:i/>
                <w:lang w:val="en-GB"/>
              </w:rPr>
            </w:pPr>
            <w:r w:rsidRPr="00F96974">
              <w:rPr>
                <w:rFonts w:ascii="Calibri" w:hAnsi="Calibri"/>
                <w:b/>
                <w:i/>
                <w:lang w:val="en-GB"/>
              </w:rPr>
              <w:t>Week 15</w:t>
            </w:r>
            <w:r w:rsidRPr="00F96974">
              <w:rPr>
                <w:rFonts w:ascii="Calibri" w:hAnsi="Calibri"/>
                <w:b/>
                <w:lang w:val="en-GB"/>
              </w:rPr>
              <w:t xml:space="preserve">:   </w:t>
            </w:r>
          </w:p>
        </w:tc>
        <w:tc>
          <w:tcPr>
            <w:tcW w:w="5966" w:type="dxa"/>
          </w:tcPr>
          <w:p w14:paraId="67BD27F1" w14:textId="2191A289" w:rsidR="001F1180" w:rsidRPr="00266811" w:rsidRDefault="001F1180" w:rsidP="001F1180">
            <w:pPr>
              <w:rPr>
                <w:rFonts w:ascii="Calibri" w:hAnsi="Calibri"/>
                <w:lang w:val="en-GB"/>
              </w:rPr>
            </w:pPr>
            <w:r>
              <w:rPr>
                <w:rFonts w:ascii="Calibri" w:hAnsi="Calibri"/>
                <w:lang w:val="en-GB"/>
              </w:rPr>
              <w:t>Review of the course / final exam</w:t>
            </w:r>
          </w:p>
        </w:tc>
      </w:tr>
    </w:tbl>
    <w:p w14:paraId="74AA134E" w14:textId="77777777" w:rsidR="00E64552" w:rsidRPr="00F96974" w:rsidRDefault="00E64552" w:rsidP="00E64552">
      <w:pPr>
        <w:jc w:val="center"/>
        <w:rPr>
          <w:rFonts w:ascii="Calibri" w:hAnsi="Calibr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64552" w:rsidRPr="00F96974" w14:paraId="72A42811" w14:textId="77777777" w:rsidTr="00015BE6">
        <w:tc>
          <w:tcPr>
            <w:tcW w:w="8856" w:type="dxa"/>
            <w:shd w:val="clear" w:color="auto" w:fill="D9D9D9"/>
          </w:tcPr>
          <w:p w14:paraId="3BB38FE5" w14:textId="77777777" w:rsidR="00E64552" w:rsidRPr="00F96974" w:rsidRDefault="00E64552" w:rsidP="00015BE6">
            <w:pPr>
              <w:tabs>
                <w:tab w:val="left" w:pos="2340"/>
                <w:tab w:val="center" w:pos="4320"/>
              </w:tabs>
              <w:rPr>
                <w:rFonts w:ascii="Calibri" w:hAnsi="Calibri"/>
                <w:b/>
                <w:lang w:val="en-GB"/>
              </w:rPr>
            </w:pPr>
            <w:r w:rsidRPr="00F96974">
              <w:rPr>
                <w:rFonts w:ascii="Calibri" w:hAnsi="Calibri"/>
                <w:b/>
                <w:lang w:val="en-GB"/>
              </w:rPr>
              <w:tab/>
            </w:r>
            <w:r w:rsidRPr="00F96974">
              <w:rPr>
                <w:rFonts w:ascii="Calibri" w:hAnsi="Calibri"/>
                <w:b/>
                <w:lang w:val="en-GB"/>
              </w:rPr>
              <w:tab/>
              <w:t>Academic policies and rules of conduct:</w:t>
            </w:r>
          </w:p>
        </w:tc>
      </w:tr>
      <w:tr w:rsidR="00E64552" w:rsidRPr="00F96974" w14:paraId="3D96C6AD" w14:textId="77777777" w:rsidTr="00015BE6">
        <w:trPr>
          <w:trHeight w:val="1088"/>
        </w:trPr>
        <w:tc>
          <w:tcPr>
            <w:tcW w:w="8856" w:type="dxa"/>
          </w:tcPr>
          <w:p w14:paraId="1EA21940" w14:textId="77777777" w:rsidR="00E64552" w:rsidRPr="00F96974" w:rsidRDefault="00E64552" w:rsidP="00015BE6">
            <w:pPr>
              <w:rPr>
                <w:rFonts w:ascii="Calibri" w:hAnsi="Calibri"/>
                <w:b/>
                <w:i/>
                <w:sz w:val="22"/>
                <w:szCs w:val="22"/>
                <w:lang w:val="en-GB"/>
              </w:rPr>
            </w:pPr>
          </w:p>
          <w:p w14:paraId="4BAF7681" w14:textId="77777777" w:rsidR="003F2FE3" w:rsidRPr="00F96974" w:rsidRDefault="003F2FE3" w:rsidP="003F2FE3">
            <w:pPr>
              <w:numPr>
                <w:ilvl w:val="0"/>
                <w:numId w:val="4"/>
              </w:numPr>
              <w:rPr>
                <w:rFonts w:ascii="Calibri" w:hAnsi="Calibri"/>
                <w:b/>
                <w:i/>
                <w:sz w:val="22"/>
                <w:szCs w:val="22"/>
                <w:lang w:val="en-GB"/>
              </w:rPr>
            </w:pPr>
          </w:p>
          <w:p w14:paraId="25620CEE" w14:textId="77777777" w:rsidR="00E64552" w:rsidRPr="00F96974" w:rsidRDefault="00E64552" w:rsidP="003F2FE3">
            <w:pPr>
              <w:ind w:left="720"/>
              <w:rPr>
                <w:rFonts w:ascii="Calibri" w:hAnsi="Calibri"/>
                <w:b/>
                <w:i/>
                <w:sz w:val="22"/>
                <w:szCs w:val="22"/>
                <w:lang w:val="en-GB"/>
              </w:rPr>
            </w:pPr>
          </w:p>
        </w:tc>
      </w:tr>
    </w:tbl>
    <w:p w14:paraId="5C50A7DF" w14:textId="77777777" w:rsidR="00E64552" w:rsidRPr="00F96974" w:rsidRDefault="00E64552" w:rsidP="00E64552">
      <w:pPr>
        <w:rPr>
          <w:rFonts w:ascii="Calibri" w:hAnsi="Calibri"/>
          <w:b/>
          <w:sz w:val="28"/>
          <w:szCs w:val="28"/>
          <w:lang w:val="en-GB"/>
        </w:rPr>
      </w:pPr>
    </w:p>
    <w:p w14:paraId="1D450BBA" w14:textId="77777777" w:rsidR="00E64552" w:rsidRPr="00F96974" w:rsidRDefault="00E64552" w:rsidP="00E64552">
      <w:pPr>
        <w:rPr>
          <w:rFonts w:ascii="Calibri" w:hAnsi="Calibri"/>
          <w:b/>
          <w:sz w:val="28"/>
          <w:szCs w:val="28"/>
          <w:lang w:val="en-GB"/>
        </w:rPr>
      </w:pPr>
    </w:p>
    <w:p w14:paraId="7CDF9FC1" w14:textId="77777777" w:rsidR="00035938" w:rsidRDefault="00035938"/>
    <w:sectPr w:rsidR="00035938">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105C" w14:textId="77777777" w:rsidR="000A5455" w:rsidRDefault="000A5455">
      <w:r>
        <w:separator/>
      </w:r>
    </w:p>
  </w:endnote>
  <w:endnote w:type="continuationSeparator" w:id="0">
    <w:p w14:paraId="4E0946E0" w14:textId="77777777" w:rsidR="000A5455" w:rsidRDefault="000A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9C88" w14:textId="77777777" w:rsidR="001752B9" w:rsidRDefault="003F2FE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BFB8D" w14:textId="77777777" w:rsidR="001752B9" w:rsidRDefault="000A5455"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B8B4" w14:textId="788782E7" w:rsidR="001752B9" w:rsidRDefault="003F2FE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D62">
      <w:rPr>
        <w:rStyle w:val="PageNumber"/>
        <w:noProof/>
      </w:rPr>
      <w:t>4</w:t>
    </w:r>
    <w:r>
      <w:rPr>
        <w:rStyle w:val="PageNumber"/>
      </w:rPr>
      <w:fldChar w:fldCharType="end"/>
    </w:r>
  </w:p>
  <w:p w14:paraId="3767DEC8" w14:textId="77777777" w:rsidR="001752B9" w:rsidRDefault="000A5455"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1214" w14:textId="77777777" w:rsidR="000A5455" w:rsidRDefault="000A5455">
      <w:r>
        <w:separator/>
      </w:r>
    </w:p>
  </w:footnote>
  <w:footnote w:type="continuationSeparator" w:id="0">
    <w:p w14:paraId="6AEE1F07" w14:textId="77777777" w:rsidR="000A5455" w:rsidRDefault="000A54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DD0"/>
    <w:multiLevelType w:val="hybridMultilevel"/>
    <w:tmpl w:val="9454D3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724D6F"/>
    <w:multiLevelType w:val="hybridMultilevel"/>
    <w:tmpl w:val="77961590"/>
    <w:lvl w:ilvl="0" w:tplc="3814D792">
      <w:start w:val="3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57A69FA"/>
    <w:multiLevelType w:val="hybridMultilevel"/>
    <w:tmpl w:val="2F567190"/>
    <w:lvl w:ilvl="0" w:tplc="9D80CA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BB6E84"/>
    <w:multiLevelType w:val="hybridMultilevel"/>
    <w:tmpl w:val="FBF2FC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F16E8"/>
    <w:multiLevelType w:val="hybridMultilevel"/>
    <w:tmpl w:val="D194CC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D24D82"/>
    <w:multiLevelType w:val="hybridMultilevel"/>
    <w:tmpl w:val="A33239D2"/>
    <w:lvl w:ilvl="0" w:tplc="FA44AC5A">
      <w:start w:val="3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3431965"/>
    <w:multiLevelType w:val="hybridMultilevel"/>
    <w:tmpl w:val="6C34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52"/>
    <w:rsid w:val="0001202F"/>
    <w:rsid w:val="00035938"/>
    <w:rsid w:val="000A5455"/>
    <w:rsid w:val="001648F2"/>
    <w:rsid w:val="001848B6"/>
    <w:rsid w:val="001A56B6"/>
    <w:rsid w:val="001F1180"/>
    <w:rsid w:val="00220A00"/>
    <w:rsid w:val="00276C24"/>
    <w:rsid w:val="00290829"/>
    <w:rsid w:val="002D2E47"/>
    <w:rsid w:val="00300BC6"/>
    <w:rsid w:val="003B4AEF"/>
    <w:rsid w:val="003D179C"/>
    <w:rsid w:val="003F2FE3"/>
    <w:rsid w:val="004156E2"/>
    <w:rsid w:val="004469F9"/>
    <w:rsid w:val="00500237"/>
    <w:rsid w:val="00527E8C"/>
    <w:rsid w:val="005373A4"/>
    <w:rsid w:val="005B73B4"/>
    <w:rsid w:val="005C4A54"/>
    <w:rsid w:val="005E24F2"/>
    <w:rsid w:val="006434B7"/>
    <w:rsid w:val="00655296"/>
    <w:rsid w:val="00660DD9"/>
    <w:rsid w:val="006D3766"/>
    <w:rsid w:val="006F21BF"/>
    <w:rsid w:val="00787CDB"/>
    <w:rsid w:val="007F1309"/>
    <w:rsid w:val="007F66F5"/>
    <w:rsid w:val="008473AB"/>
    <w:rsid w:val="00894ABD"/>
    <w:rsid w:val="00897CF4"/>
    <w:rsid w:val="00950CBE"/>
    <w:rsid w:val="0096162F"/>
    <w:rsid w:val="0098030A"/>
    <w:rsid w:val="009A22BC"/>
    <w:rsid w:val="00A27F9B"/>
    <w:rsid w:val="00AA532B"/>
    <w:rsid w:val="00AF245F"/>
    <w:rsid w:val="00B340CD"/>
    <w:rsid w:val="00C638E0"/>
    <w:rsid w:val="00C75498"/>
    <w:rsid w:val="00D82D62"/>
    <w:rsid w:val="00E64552"/>
    <w:rsid w:val="00EB2C55"/>
    <w:rsid w:val="00F27C36"/>
    <w:rsid w:val="00F7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F4EF"/>
  <w15:chartTrackingRefBased/>
  <w15:docId w15:val="{42BBF877-3393-4EC1-9A4A-CD59D9D0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4552"/>
    <w:pPr>
      <w:tabs>
        <w:tab w:val="center" w:pos="4320"/>
        <w:tab w:val="right" w:pos="8640"/>
      </w:tabs>
    </w:pPr>
  </w:style>
  <w:style w:type="character" w:customStyle="1" w:styleId="FooterChar">
    <w:name w:val="Footer Char"/>
    <w:basedOn w:val="DefaultParagraphFont"/>
    <w:link w:val="Footer"/>
    <w:rsid w:val="00E64552"/>
    <w:rPr>
      <w:rFonts w:ascii="Times New Roman" w:eastAsia="Times New Roman" w:hAnsi="Times New Roman" w:cs="Times New Roman"/>
      <w:sz w:val="24"/>
      <w:szCs w:val="24"/>
    </w:rPr>
  </w:style>
  <w:style w:type="character" w:styleId="PageNumber">
    <w:name w:val="page number"/>
    <w:basedOn w:val="DefaultParagraphFont"/>
    <w:rsid w:val="00E64552"/>
  </w:style>
  <w:style w:type="paragraph" w:styleId="NoSpacing">
    <w:name w:val="No Spacing"/>
    <w:uiPriority w:val="1"/>
    <w:qFormat/>
    <w:rsid w:val="00E64552"/>
    <w:pPr>
      <w:spacing w:after="0" w:line="240" w:lineRule="auto"/>
    </w:pPr>
    <w:rPr>
      <w:rFonts w:ascii="Times New Roman" w:eastAsia="Times New Roman" w:hAnsi="Times New Roman" w:cs="Times New Roman"/>
      <w:sz w:val="24"/>
      <w:szCs w:val="24"/>
    </w:rPr>
  </w:style>
  <w:style w:type="character" w:styleId="Hyperlink">
    <w:name w:val="Hyperlink"/>
    <w:rsid w:val="00E64552"/>
    <w:rPr>
      <w:color w:val="0000FF"/>
      <w:u w:val="single"/>
    </w:rPr>
  </w:style>
  <w:style w:type="character" w:customStyle="1" w:styleId="UnresolvedMention">
    <w:name w:val="Unresolved Mention"/>
    <w:basedOn w:val="DefaultParagraphFont"/>
    <w:uiPriority w:val="99"/>
    <w:semiHidden/>
    <w:unhideWhenUsed/>
    <w:rsid w:val="0098030A"/>
    <w:rPr>
      <w:color w:val="605E5C"/>
      <w:shd w:val="clear" w:color="auto" w:fill="E1DFDD"/>
    </w:rPr>
  </w:style>
  <w:style w:type="paragraph" w:styleId="ListParagraph">
    <w:name w:val="List Paragraph"/>
    <w:basedOn w:val="Normal"/>
    <w:uiPriority w:val="34"/>
    <w:qFormat/>
    <w:rsid w:val="00EB2C55"/>
    <w:pPr>
      <w:ind w:left="720"/>
      <w:contextualSpacing/>
    </w:pPr>
  </w:style>
  <w:style w:type="character" w:styleId="FollowedHyperlink">
    <w:name w:val="FollowedHyperlink"/>
    <w:basedOn w:val="DefaultParagraphFont"/>
    <w:uiPriority w:val="99"/>
    <w:semiHidden/>
    <w:unhideWhenUsed/>
    <w:rsid w:val="00012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05275">
      <w:bodyDiv w:val="1"/>
      <w:marLeft w:val="0"/>
      <w:marRight w:val="0"/>
      <w:marTop w:val="0"/>
      <w:marBottom w:val="0"/>
      <w:divBdr>
        <w:top w:val="none" w:sz="0" w:space="0" w:color="auto"/>
        <w:left w:val="none" w:sz="0" w:space="0" w:color="auto"/>
        <w:bottom w:val="none" w:sz="0" w:space="0" w:color="auto"/>
        <w:right w:val="none" w:sz="0" w:space="0" w:color="auto"/>
      </w:divBdr>
      <w:divsChild>
        <w:div w:id="1584071614">
          <w:marLeft w:val="0"/>
          <w:marRight w:val="180"/>
          <w:marTop w:val="0"/>
          <w:marBottom w:val="0"/>
          <w:divBdr>
            <w:top w:val="none" w:sz="0" w:space="0" w:color="auto"/>
            <w:left w:val="none" w:sz="0" w:space="0" w:color="auto"/>
            <w:bottom w:val="none" w:sz="0" w:space="0" w:color="auto"/>
            <w:right w:val="none" w:sz="0" w:space="0" w:color="auto"/>
          </w:divBdr>
        </w:div>
        <w:div w:id="2065329061">
          <w:marLeft w:val="0"/>
          <w:marRight w:val="0"/>
          <w:marTop w:val="0"/>
          <w:marBottom w:val="30"/>
          <w:divBdr>
            <w:top w:val="none" w:sz="0" w:space="0" w:color="auto"/>
            <w:left w:val="none" w:sz="0" w:space="0" w:color="auto"/>
            <w:bottom w:val="none" w:sz="0" w:space="0" w:color="auto"/>
            <w:right w:val="none" w:sz="0" w:space="0" w:color="auto"/>
          </w:divBdr>
          <w:divsChild>
            <w:div w:id="487787941">
              <w:marLeft w:val="0"/>
              <w:marRight w:val="0"/>
              <w:marTop w:val="48"/>
              <w:marBottom w:val="48"/>
              <w:divBdr>
                <w:top w:val="none" w:sz="0" w:space="0" w:color="auto"/>
                <w:left w:val="none" w:sz="0" w:space="0" w:color="auto"/>
                <w:bottom w:val="none" w:sz="0" w:space="0" w:color="auto"/>
                <w:right w:val="none" w:sz="0" w:space="0" w:color="auto"/>
              </w:divBdr>
            </w:div>
            <w:div w:id="195043291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666086803">
      <w:bodyDiv w:val="1"/>
      <w:marLeft w:val="0"/>
      <w:marRight w:val="0"/>
      <w:marTop w:val="0"/>
      <w:marBottom w:val="0"/>
      <w:divBdr>
        <w:top w:val="none" w:sz="0" w:space="0" w:color="auto"/>
        <w:left w:val="none" w:sz="0" w:space="0" w:color="auto"/>
        <w:bottom w:val="none" w:sz="0" w:space="0" w:color="auto"/>
        <w:right w:val="none" w:sz="0" w:space="0" w:color="auto"/>
      </w:divBdr>
      <w:divsChild>
        <w:div w:id="1043139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report-e-lambert-en/16809c827f" TargetMode="External"/><Relationship Id="rId13" Type="http://schemas.openxmlformats.org/officeDocument/2006/relationships/hyperlink" Target="http://climatecasechart.com/wp-content/uploads/sites/16/non-us-case-documents/2021/20210203_NA_decision-1.pdf" TargetMode="External"/><Relationship Id="rId18" Type="http://schemas.openxmlformats.org/officeDocument/2006/relationships/hyperlink" Target="https://www.corteidh.or.cr/docs/opiniones/seriea_23_ing.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visar.morina@uni-pr.edu" TargetMode="External"/><Relationship Id="rId12" Type="http://schemas.openxmlformats.org/officeDocument/2006/relationships/hyperlink" Target="https://www.informea.org/sites/default/files/court-decisions/Colombia%20-%20Future%20Generations%20v%20Ministry%20of%20Env%20and%20Others%20%28unofficial%20English%20trans%29.pdf" TargetMode="External"/><Relationship Id="rId17" Type="http://schemas.openxmlformats.org/officeDocument/2006/relationships/hyperlink" Target="https://curia.europa.eu/common/recdoc/repertoire_jurisp/bull_4/data/index_4_23.htm" TargetMode="External"/><Relationship Id="rId2" Type="http://schemas.openxmlformats.org/officeDocument/2006/relationships/styles" Target="styles.xml"/><Relationship Id="rId16" Type="http://schemas.openxmlformats.org/officeDocument/2006/relationships/hyperlink" Target="http://climatecasechart.com/wp-content/uploads/sites/16/non-us-case-documents/2020/20200113_2015-HAZA-C0900456689_judgment.pdf" TargetMode="External"/><Relationship Id="rId20" Type="http://schemas.openxmlformats.org/officeDocument/2006/relationships/hyperlink" Target="https://corteidh.or.cr/docs/casos/articulos/seriec_245_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tv.tiesa.gov.lv/web/viewer.html?file=/wp-content/uploads/2007/05/2007-11-03_Spriedums_ENG.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urts.ie/view/judgments/681b8633-3f57-41b5-9362-8cbc8e7d9215/981c098a-462b-4a9a-9941-5d601903c9af/2020_IESC_49.pdf/pdf" TargetMode="External"/><Relationship Id="rId23" Type="http://schemas.openxmlformats.org/officeDocument/2006/relationships/fontTable" Target="fontTable.xml"/><Relationship Id="rId10" Type="http://schemas.openxmlformats.org/officeDocument/2006/relationships/hyperlink" Target="https://www.unep.org/explore-topics/environmental-rights-and-governance/what-we-do/advancing-environmental-rights/what-0" TargetMode="External"/><Relationship Id="rId19" Type="http://schemas.openxmlformats.org/officeDocument/2006/relationships/hyperlink" Target="https://www.echr.coe.int/Documents/FS_Environment_ENG.pdf" TargetMode="External"/><Relationship Id="rId4" Type="http://schemas.openxmlformats.org/officeDocument/2006/relationships/webSettings" Target="webSettings.xml"/><Relationship Id="rId9" Type="http://schemas.openxmlformats.org/officeDocument/2006/relationships/hyperlink" Target="https://hudoc.esc.coe.int/eng?i=cc-30-2005-dmerits-en" TargetMode="External"/><Relationship Id="rId14" Type="http://schemas.openxmlformats.org/officeDocument/2006/relationships/hyperlink" Target="https://www.bundesverfassungsgericht.de/SharedDocs/Entscheidungen/EN/2021/03/rs20210324_1bvr265618en.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Visar</cp:lastModifiedBy>
  <cp:revision>3</cp:revision>
  <dcterms:created xsi:type="dcterms:W3CDTF">2024-01-08T10:37:00Z</dcterms:created>
  <dcterms:modified xsi:type="dcterms:W3CDTF">2024-03-01T11:48:00Z</dcterms:modified>
</cp:coreProperties>
</file>