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4FE9E" w14:textId="2C3EFA1A" w:rsidR="003300DB" w:rsidRDefault="003300DB"/>
    <w:p w14:paraId="7FA8DAF2" w14:textId="77777777" w:rsidR="00E64552" w:rsidRPr="00A654E4" w:rsidRDefault="00E64552" w:rsidP="00E64552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51"/>
        <w:gridCol w:w="1378"/>
        <w:gridCol w:w="1732"/>
        <w:gridCol w:w="1969"/>
      </w:tblGrid>
      <w:tr w:rsidR="00E64552" w:rsidRPr="00A654E4" w14:paraId="56BC6CD5" w14:textId="77777777" w:rsidTr="00015BE6">
        <w:tc>
          <w:tcPr>
            <w:tcW w:w="8856" w:type="dxa"/>
            <w:gridSpan w:val="4"/>
            <w:shd w:val="clear" w:color="auto" w:fill="D9D9D9"/>
          </w:tcPr>
          <w:p w14:paraId="0BE4772B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Informacioni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bazë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kursit</w:t>
            </w:r>
            <w:proofErr w:type="spellEnd"/>
          </w:p>
        </w:tc>
      </w:tr>
      <w:tr w:rsidR="00E64552" w:rsidRPr="00A654E4" w14:paraId="4436E68F" w14:textId="77777777" w:rsidTr="00015BE6">
        <w:tc>
          <w:tcPr>
            <w:tcW w:w="3617" w:type="dxa"/>
          </w:tcPr>
          <w:p w14:paraId="15A81AC5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Njësia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akademike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6D17C6EA" w14:textId="54ECC033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Fakulteti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7D49F8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Juridik</w:t>
            </w:r>
            <w:proofErr w:type="spellEnd"/>
          </w:p>
        </w:tc>
      </w:tr>
      <w:tr w:rsidR="00E64552" w:rsidRPr="00A654E4" w14:paraId="239E28BA" w14:textId="77777777" w:rsidTr="00015BE6">
        <w:tc>
          <w:tcPr>
            <w:tcW w:w="3617" w:type="dxa"/>
          </w:tcPr>
          <w:p w14:paraId="0937D6FE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Titulli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kursit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3E3F75FC" w14:textId="3DA07529" w:rsidR="00E64552" w:rsidRPr="00A654E4" w:rsidRDefault="007D49F8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E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drejta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</w:t>
            </w:r>
            <w:r w:rsidR="00C162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="00ED15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</w:t>
            </w:r>
            <w:r w:rsidR="00C1626B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EDNJ</w:t>
            </w: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së</w:t>
            </w:r>
            <w:proofErr w:type="spellEnd"/>
          </w:p>
        </w:tc>
      </w:tr>
      <w:tr w:rsidR="00E64552" w:rsidRPr="00A654E4" w14:paraId="06BD6785" w14:textId="77777777" w:rsidTr="00015BE6">
        <w:tc>
          <w:tcPr>
            <w:tcW w:w="3617" w:type="dxa"/>
          </w:tcPr>
          <w:p w14:paraId="058D3BCB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Niveli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163B9485" w14:textId="77777777" w:rsidR="00E64552" w:rsidRPr="00A654E4" w:rsidRDefault="00C1626B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Bachelor</w:t>
            </w:r>
          </w:p>
        </w:tc>
      </w:tr>
      <w:tr w:rsidR="00E64552" w:rsidRPr="00A654E4" w14:paraId="2593053B" w14:textId="77777777" w:rsidTr="00015BE6">
        <w:tc>
          <w:tcPr>
            <w:tcW w:w="3617" w:type="dxa"/>
          </w:tcPr>
          <w:p w14:paraId="2B390B72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Statusi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kursit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4678DBBF" w14:textId="05B879C8" w:rsidR="00E64552" w:rsidRPr="00A654E4" w:rsidRDefault="007D49F8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Zgjedhore</w:t>
            </w:r>
            <w:proofErr w:type="spellEnd"/>
          </w:p>
        </w:tc>
      </w:tr>
      <w:tr w:rsidR="00E64552" w:rsidRPr="00A654E4" w14:paraId="6C5B2C9F" w14:textId="77777777" w:rsidTr="00015BE6">
        <w:tc>
          <w:tcPr>
            <w:tcW w:w="3617" w:type="dxa"/>
          </w:tcPr>
          <w:p w14:paraId="143C6FEB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Viti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studimit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6D9E48C9" w14:textId="77777777" w:rsidR="00E64552" w:rsidRPr="00A654E4" w:rsidRDefault="00C1626B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E64552" w:rsidRPr="00A654E4" w14:paraId="10C4CF9B" w14:textId="77777777" w:rsidTr="00015BE6">
        <w:tc>
          <w:tcPr>
            <w:tcW w:w="3617" w:type="dxa"/>
          </w:tcPr>
          <w:p w14:paraId="00CBB54B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Numri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orëve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javë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21F6B685" w14:textId="77777777" w:rsidR="00E64552" w:rsidRPr="00A654E4" w:rsidRDefault="003A7837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</w:tr>
      <w:tr w:rsidR="00E64552" w:rsidRPr="00A654E4" w14:paraId="4F4B2B87" w14:textId="77777777" w:rsidTr="00015BE6">
        <w:tc>
          <w:tcPr>
            <w:tcW w:w="3617" w:type="dxa"/>
          </w:tcPr>
          <w:p w14:paraId="695D30A1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Kredite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14:paraId="371F8557" w14:textId="77777777" w:rsidR="00E64552" w:rsidRPr="00A654E4" w:rsidRDefault="003A7837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4</w:t>
            </w:r>
          </w:p>
        </w:tc>
      </w:tr>
      <w:tr w:rsidR="00E64552" w:rsidRPr="00A654E4" w14:paraId="2D1B09B3" w14:textId="77777777" w:rsidTr="00015BE6">
        <w:tc>
          <w:tcPr>
            <w:tcW w:w="3617" w:type="dxa"/>
          </w:tcPr>
          <w:p w14:paraId="11D1BA7B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Koha /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vendndodhja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35EBAB65" w14:textId="77777777" w:rsidR="00E64552" w:rsidRPr="00A654E4" w:rsidRDefault="009F5B85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Prishtinë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Fakulteti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Juridik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kampusi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UP</w:t>
            </w:r>
          </w:p>
        </w:tc>
      </w:tr>
      <w:tr w:rsidR="00E64552" w:rsidRPr="00A654E4" w14:paraId="655C74FF" w14:textId="77777777" w:rsidTr="00015BE6">
        <w:tc>
          <w:tcPr>
            <w:tcW w:w="3617" w:type="dxa"/>
          </w:tcPr>
          <w:p w14:paraId="014FE0DD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Ligjërues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707220AD" w14:textId="291E1306" w:rsidR="00E64552" w:rsidRPr="00A654E4" w:rsidRDefault="001B0C51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Vigan QORROLLI</w:t>
            </w:r>
          </w:p>
        </w:tc>
      </w:tr>
      <w:tr w:rsidR="00E64552" w:rsidRPr="00A654E4" w14:paraId="309046EE" w14:textId="77777777" w:rsidTr="00015BE6">
        <w:tc>
          <w:tcPr>
            <w:tcW w:w="3617" w:type="dxa"/>
          </w:tcPr>
          <w:p w14:paraId="27015273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Detajet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kontaktit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78C4CA42" w14:textId="63F6E729" w:rsidR="00E64552" w:rsidRPr="00A654E4" w:rsidRDefault="001B0C51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vigan.qorrolli</w:t>
            </w:r>
            <w:r w:rsidR="009F5B85"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@uni-pr.edu</w:t>
            </w:r>
          </w:p>
        </w:tc>
      </w:tr>
      <w:tr w:rsidR="00E64552" w:rsidRPr="00A654E4" w14:paraId="0C009FC6" w14:textId="77777777" w:rsidTr="00015BE6">
        <w:tc>
          <w:tcPr>
            <w:tcW w:w="8856" w:type="dxa"/>
            <w:gridSpan w:val="4"/>
            <w:shd w:val="clear" w:color="auto" w:fill="D9D9D9"/>
          </w:tcPr>
          <w:p w14:paraId="29FDE32B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4552" w:rsidRPr="00A654E4" w14:paraId="025A2A07" w14:textId="77777777" w:rsidTr="00015BE6">
        <w:tc>
          <w:tcPr>
            <w:tcW w:w="3617" w:type="dxa"/>
          </w:tcPr>
          <w:p w14:paraId="0EFE166C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239" w:type="dxa"/>
            <w:gridSpan w:val="3"/>
          </w:tcPr>
          <w:p w14:paraId="44AED625" w14:textId="77777777" w:rsidR="00E64552" w:rsidRPr="00A654E4" w:rsidRDefault="00E64552" w:rsidP="00015BE6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  <w:tr w:rsidR="00E64552" w:rsidRPr="00A654E4" w14:paraId="6AAC7542" w14:textId="77777777" w:rsidTr="00015BE6">
        <w:tc>
          <w:tcPr>
            <w:tcW w:w="3617" w:type="dxa"/>
          </w:tcPr>
          <w:p w14:paraId="580B0730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Objektivat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kursit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3A1FA291" w14:textId="77777777" w:rsidR="00E64552" w:rsidRPr="00A654E4" w:rsidRDefault="0052206A" w:rsidP="00015BE6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Moduli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synon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t'i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japë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konsideratë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thelbësore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zhvillimev</w:t>
            </w:r>
            <w:bookmarkStart w:id="0" w:name="_GoBack"/>
            <w:bookmarkEnd w:id="0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funksionimit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Konventës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njeriut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praktikën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Gjykatës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Drejtave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Njeriut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siç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zbatohet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nga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gjykatat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kombëtare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</w:t>
            </w:r>
          </w:p>
        </w:tc>
      </w:tr>
      <w:tr w:rsidR="00E64552" w:rsidRPr="00A654E4" w14:paraId="42F54E12" w14:textId="77777777" w:rsidTr="00015BE6">
        <w:tc>
          <w:tcPr>
            <w:tcW w:w="3617" w:type="dxa"/>
          </w:tcPr>
          <w:p w14:paraId="751B43FC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Rezultatet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mësimit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320C00AD" w14:textId="77777777" w:rsidR="0052206A" w:rsidRPr="00A654E4" w:rsidRDefault="0052206A" w:rsidP="0052206A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1182B681" w14:textId="77777777" w:rsidR="0052206A" w:rsidRPr="00A654E4" w:rsidRDefault="0052206A" w:rsidP="0052206A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  <w:p w14:paraId="5EA03B8B" w14:textId="77777777" w:rsidR="0052206A" w:rsidRPr="00A654E4" w:rsidRDefault="0052206A" w:rsidP="00FC3AC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kuptim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rolit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rëndësisë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teorisë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drejtave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njeriut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Evropë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</w:t>
            </w:r>
          </w:p>
          <w:p w14:paraId="441924AE" w14:textId="77777777" w:rsidR="0052206A" w:rsidRPr="00A654E4" w:rsidRDefault="0052206A" w:rsidP="00FC3AC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Njohuri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kuptim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Sistemit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Ligjit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Konventës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Drejtave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Njeriut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</w:t>
            </w:r>
          </w:p>
          <w:p w14:paraId="13A0F13E" w14:textId="77777777" w:rsidR="0052206A" w:rsidRPr="00A654E4" w:rsidRDefault="0052206A" w:rsidP="00FC3AC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aplikim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analizë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praktikës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gjyqësore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GJEDNJ.</w:t>
            </w:r>
          </w:p>
          <w:p w14:paraId="20539CAF" w14:textId="77777777" w:rsidR="0052206A" w:rsidRPr="00A654E4" w:rsidRDefault="0052206A" w:rsidP="00FC3AC6">
            <w:pPr>
              <w:pStyle w:val="NoSpacing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Aftësia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zbatuar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praktikën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gjyqësore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GJEDNJ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kontekstin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brendshëm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Kosovës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sipas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. 53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Kushtetutës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</w:t>
            </w:r>
          </w:p>
          <w:p w14:paraId="42AEB227" w14:textId="77777777" w:rsidR="00E64552" w:rsidRPr="00A654E4" w:rsidRDefault="00E64552" w:rsidP="00C1626B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  <w:tr w:rsidR="00E64552" w:rsidRPr="00A654E4" w14:paraId="1DBC54C9" w14:textId="77777777" w:rsidTr="00015BE6">
        <w:tc>
          <w:tcPr>
            <w:tcW w:w="8856" w:type="dxa"/>
            <w:gridSpan w:val="4"/>
            <w:shd w:val="clear" w:color="auto" w:fill="D9D9D9"/>
          </w:tcPr>
          <w:p w14:paraId="57C0E274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  <w:tr w:rsidR="00E64552" w:rsidRPr="00A654E4" w14:paraId="630CBFB2" w14:textId="77777777" w:rsidTr="00015BE6">
        <w:tc>
          <w:tcPr>
            <w:tcW w:w="8856" w:type="dxa"/>
            <w:gridSpan w:val="4"/>
            <w:shd w:val="clear" w:color="auto" w:fill="D9D9D9"/>
          </w:tcPr>
          <w:p w14:paraId="5D0D51EC" w14:textId="77777777" w:rsidR="00E64552" w:rsidRPr="00A654E4" w:rsidRDefault="00E64552" w:rsidP="00015BE6">
            <w:pPr>
              <w:pStyle w:val="NoSpacing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Kërkesat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vlerësimi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studentëve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duhet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korrespondojnë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rezultatin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nxënit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studentit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)</w:t>
            </w:r>
          </w:p>
        </w:tc>
      </w:tr>
      <w:tr w:rsidR="00E64552" w:rsidRPr="00A654E4" w14:paraId="56B74B1E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7B22FE41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Aktiviteti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88107B7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Ora</w:t>
            </w:r>
            <w:proofErr w:type="spellEnd"/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911B3F2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Ditë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/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17313B29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total</w:t>
            </w:r>
          </w:p>
        </w:tc>
      </w:tr>
      <w:tr w:rsidR="00E64552" w:rsidRPr="00A654E4" w14:paraId="02FDDD48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0C992B7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0E67FF" w14:textId="77777777" w:rsidR="00E64552" w:rsidRPr="00A654E4" w:rsidRDefault="0052206A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B88299" w14:textId="77777777" w:rsidR="00E64552" w:rsidRPr="00A654E4" w:rsidRDefault="009F5B85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876DCB4" w14:textId="77777777" w:rsidR="00E64552" w:rsidRPr="00A654E4" w:rsidRDefault="0052206A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30</w:t>
            </w:r>
          </w:p>
        </w:tc>
      </w:tr>
      <w:tr w:rsidR="00E64552" w:rsidRPr="00A654E4" w14:paraId="166F1C8B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1EB83E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Ushtrime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teorike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laborator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8F1F5C" w14:textId="77777777" w:rsidR="00E64552" w:rsidRPr="00A654E4" w:rsidRDefault="006B21C1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B2C811" w14:textId="77777777" w:rsidR="00E64552" w:rsidRPr="00A654E4" w:rsidRDefault="009F5B85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BB1FE22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4552" w:rsidRPr="00A654E4" w14:paraId="168165C4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FA6D132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Praktikoni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punën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436B0" w14:textId="77777777" w:rsidR="00E64552" w:rsidRPr="00A654E4" w:rsidRDefault="006B21C1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301BE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986769E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4552" w:rsidRPr="00A654E4" w14:paraId="00C14ED4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D29C5EC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Kontaktet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pedagogun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konsultimet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AF801" w14:textId="77777777" w:rsidR="00E64552" w:rsidRPr="00A654E4" w:rsidRDefault="0052206A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290F36" w14:textId="77777777" w:rsidR="00E64552" w:rsidRPr="00A654E4" w:rsidRDefault="009F5B85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C396415" w14:textId="77777777" w:rsidR="00E64552" w:rsidRPr="00A654E4" w:rsidRDefault="0052206A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15</w:t>
            </w:r>
          </w:p>
        </w:tc>
      </w:tr>
      <w:tr w:rsidR="00E64552" w:rsidRPr="00A654E4" w14:paraId="53A6A51E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2F9BC49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Praktika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terren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B908E0" w14:textId="77777777" w:rsidR="00E64552" w:rsidRPr="00A654E4" w:rsidRDefault="006B21C1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63BE1" w14:textId="77777777" w:rsidR="00E64552" w:rsidRPr="00A654E4" w:rsidRDefault="009F5B85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883CEF0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4552" w:rsidRPr="00A654E4" w14:paraId="3871EAF8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B19537B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Provimi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mesëm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45885" w14:textId="77777777" w:rsidR="00E64552" w:rsidRPr="00A654E4" w:rsidRDefault="006B21C1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E4C10F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ECF0EA8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4552" w:rsidRPr="00A654E4" w14:paraId="50BC63C3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54FFED2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Detyre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shtepie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F5FC8" w14:textId="77777777" w:rsidR="00E64552" w:rsidRPr="00A654E4" w:rsidRDefault="00423A20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A5CEA" w14:textId="77777777" w:rsidR="00E64552" w:rsidRPr="00A654E4" w:rsidRDefault="009F5B85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40B4E01" w14:textId="77777777" w:rsidR="00E64552" w:rsidRPr="00A654E4" w:rsidRDefault="00423A20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22.5</w:t>
            </w:r>
          </w:p>
        </w:tc>
      </w:tr>
      <w:tr w:rsidR="00E64552" w:rsidRPr="00A654E4" w14:paraId="66AB4136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64C2327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Student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kohës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vetëmësimit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bibliotekë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ose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shtëpi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ED7DEA" w14:textId="77777777" w:rsidR="00E64552" w:rsidRPr="00A654E4" w:rsidRDefault="00423A20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1.5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043F51" w14:textId="77777777" w:rsidR="00E64552" w:rsidRPr="00A654E4" w:rsidRDefault="009F5B85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40FDE0F0" w14:textId="77777777" w:rsidR="00E64552" w:rsidRPr="00A654E4" w:rsidRDefault="00423A20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22.5</w:t>
            </w:r>
          </w:p>
        </w:tc>
      </w:tr>
      <w:tr w:rsidR="00E64552" w:rsidRPr="00A654E4" w14:paraId="51E3F047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2F18F48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lastRenderedPageBreak/>
              <w:t>Përgatitja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përfundimtare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provimin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128EC2" w14:textId="77777777" w:rsidR="00E64552" w:rsidRPr="00A654E4" w:rsidRDefault="006B21C1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Më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pak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se 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B5489" w14:textId="77777777" w:rsidR="00E64552" w:rsidRPr="00A654E4" w:rsidRDefault="009F5B85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javë</w:t>
            </w:r>
            <w:proofErr w:type="spellEnd"/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6E6DE1E" w14:textId="77777777" w:rsidR="00E64552" w:rsidRPr="00A654E4" w:rsidRDefault="0052206A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10</w:t>
            </w:r>
          </w:p>
        </w:tc>
      </w:tr>
      <w:tr w:rsidR="00E64552" w:rsidRPr="00A654E4" w14:paraId="28DF2509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085A34B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Koha 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shpenzuar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vlerësim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(teste,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kuiz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provim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përfundimtar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64360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36628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5D2F3C9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4552" w:rsidRPr="00A654E4" w14:paraId="48572137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39C9AE5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Projekte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prezantime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etj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.</w:t>
            </w:r>
          </w:p>
          <w:p w14:paraId="79EF07BF" w14:textId="77777777" w:rsidR="00E64552" w:rsidRPr="00A654E4" w:rsidRDefault="00E64552" w:rsidP="00015BE6">
            <w:pPr>
              <w:tabs>
                <w:tab w:val="center" w:pos="1700"/>
              </w:tabs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ab/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9324E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DBC75C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B7BD2EA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4552" w:rsidRPr="00A654E4" w14:paraId="00C7D8F9" w14:textId="77777777" w:rsidTr="00015BE6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14:paraId="51A21C63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Total</w:t>
            </w:r>
          </w:p>
          <w:p w14:paraId="5327E0E6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EBB6B7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5CCD582E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14:paraId="4CBCC469" w14:textId="77777777" w:rsidR="00E64552" w:rsidRPr="00A654E4" w:rsidRDefault="00423A20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100</w:t>
            </w:r>
          </w:p>
        </w:tc>
      </w:tr>
      <w:tr w:rsidR="00E64552" w:rsidRPr="00A654E4" w14:paraId="38D7E9DE" w14:textId="77777777" w:rsidTr="00015BE6">
        <w:tc>
          <w:tcPr>
            <w:tcW w:w="8856" w:type="dxa"/>
            <w:gridSpan w:val="4"/>
            <w:shd w:val="clear" w:color="auto" w:fill="D9D9D9"/>
          </w:tcPr>
          <w:p w14:paraId="0DDB805B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E64552" w:rsidRPr="00A654E4" w14:paraId="77AF19EE" w14:textId="77777777" w:rsidTr="00015BE6">
        <w:tc>
          <w:tcPr>
            <w:tcW w:w="3617" w:type="dxa"/>
          </w:tcPr>
          <w:p w14:paraId="4E33C194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Metodologjia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mësimdhënies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32961758" w14:textId="77777777" w:rsidR="009F5B85" w:rsidRPr="00A654E4" w:rsidRDefault="009F5B85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Ligjërata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interaktive</w:t>
            </w:r>
            <w:proofErr w:type="spellEnd"/>
          </w:p>
          <w:p w14:paraId="430A56DF" w14:textId="77777777" w:rsidR="009F5B85" w:rsidRPr="00A654E4" w:rsidRDefault="009F5B85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Seminare</w:t>
            </w:r>
            <w:proofErr w:type="spellEnd"/>
          </w:p>
          <w:p w14:paraId="7EB382EC" w14:textId="77777777" w:rsidR="009F5B85" w:rsidRPr="00A654E4" w:rsidRDefault="009F5B85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Detyrë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shtëpie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/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detyrë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kursi</w:t>
            </w:r>
            <w:proofErr w:type="spellEnd"/>
          </w:p>
          <w:p w14:paraId="47B296BD" w14:textId="77777777" w:rsidR="009F5B85" w:rsidRPr="00A654E4" w:rsidRDefault="009F5B85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Analiza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praktikës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gjyqësore</w:t>
            </w:r>
            <w:proofErr w:type="spellEnd"/>
          </w:p>
          <w:p w14:paraId="294DA601" w14:textId="77777777" w:rsidR="00423A20" w:rsidRPr="00A654E4" w:rsidRDefault="00423A20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Prezantimet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grup</w:t>
            </w:r>
            <w:proofErr w:type="spellEnd"/>
          </w:p>
          <w:p w14:paraId="22E649EF" w14:textId="77777777" w:rsidR="00E64552" w:rsidRPr="00A654E4" w:rsidRDefault="00E64552" w:rsidP="00015BE6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  <w:tr w:rsidR="00E64552" w:rsidRPr="00A654E4" w14:paraId="0E811F1F" w14:textId="77777777" w:rsidTr="00015BE6">
        <w:tc>
          <w:tcPr>
            <w:tcW w:w="3617" w:type="dxa"/>
          </w:tcPr>
          <w:p w14:paraId="1382C3F0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239" w:type="dxa"/>
            <w:gridSpan w:val="3"/>
          </w:tcPr>
          <w:p w14:paraId="1AA38710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  <w:tr w:rsidR="00E64552" w:rsidRPr="00A654E4" w14:paraId="124CDCF9" w14:textId="77777777" w:rsidTr="00015BE6">
        <w:tc>
          <w:tcPr>
            <w:tcW w:w="3617" w:type="dxa"/>
          </w:tcPr>
          <w:p w14:paraId="0A93A57B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Metodat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vlerësimit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5D402285" w14:textId="77777777" w:rsidR="00E64552" w:rsidRPr="00A654E4" w:rsidRDefault="006903C7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50% -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provimi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përfundimtar</w:t>
            </w:r>
            <w:proofErr w:type="spellEnd"/>
          </w:p>
          <w:p w14:paraId="0079230F" w14:textId="77777777" w:rsidR="006762F7" w:rsidRPr="00A654E4" w:rsidRDefault="006762F7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50% -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kurse</w:t>
            </w:r>
            <w:proofErr w:type="spellEnd"/>
          </w:p>
          <w:p w14:paraId="4242A8A7" w14:textId="77777777" w:rsidR="00E64552" w:rsidRPr="00A654E4" w:rsidRDefault="00E64552" w:rsidP="003F2FE3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  <w:tr w:rsidR="00E64552" w:rsidRPr="00A654E4" w14:paraId="2A392DFF" w14:textId="77777777" w:rsidTr="00015BE6">
        <w:tc>
          <w:tcPr>
            <w:tcW w:w="8856" w:type="dxa"/>
            <w:gridSpan w:val="4"/>
            <w:shd w:val="clear" w:color="auto" w:fill="D9D9D9"/>
          </w:tcPr>
          <w:p w14:paraId="29C5F448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Letërsia</w:t>
            </w:r>
            <w:proofErr w:type="spellEnd"/>
          </w:p>
        </w:tc>
      </w:tr>
      <w:tr w:rsidR="00E64552" w:rsidRPr="00A654E4" w14:paraId="107181A9" w14:textId="77777777" w:rsidTr="00015BE6">
        <w:tc>
          <w:tcPr>
            <w:tcW w:w="3617" w:type="dxa"/>
          </w:tcPr>
          <w:p w14:paraId="6EA6602F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Literatura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bazë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6B3BD4DB" w14:textId="77777777" w:rsidR="007D49F8" w:rsidRPr="00A654E4" w:rsidRDefault="007D49F8" w:rsidP="007D49F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De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Londras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F.,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Dzehtsiarou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, K, Great Debates on the European Convention on Human Rights (Palgrave 2018)).</w:t>
            </w:r>
          </w:p>
          <w:p w14:paraId="3C47255F" w14:textId="7161CC51" w:rsidR="00E64552" w:rsidRPr="00A654E4" w:rsidRDefault="007D49F8" w:rsidP="007D49F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Harris D., O’Boyle, M.,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Warbrick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, C., Law of the European Convention on Human Rights (4th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edn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 OUP 2018).</w:t>
            </w:r>
          </w:p>
        </w:tc>
      </w:tr>
      <w:tr w:rsidR="00E64552" w:rsidRPr="00A654E4" w14:paraId="10FE8F01" w14:textId="77777777" w:rsidTr="00015BE6">
        <w:tc>
          <w:tcPr>
            <w:tcW w:w="3617" w:type="dxa"/>
          </w:tcPr>
          <w:p w14:paraId="6D87E332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Literaturë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shtesë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239" w:type="dxa"/>
            <w:gridSpan w:val="3"/>
          </w:tcPr>
          <w:p w14:paraId="692EDF1A" w14:textId="77777777" w:rsidR="007D49F8" w:rsidRPr="00A654E4" w:rsidRDefault="007D49F8" w:rsidP="007D49F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Bates, E., The Evolution of the European Convention on Human Rights (OUP 2010)</w:t>
            </w:r>
          </w:p>
          <w:p w14:paraId="4631CA27" w14:textId="77777777" w:rsidR="007D49F8" w:rsidRPr="00A654E4" w:rsidRDefault="007D49F8" w:rsidP="007D49F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Dzehtsiarou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, K., European Consensus and the Legitimacy of the European Court of Human Rights (CUP, 2015)</w:t>
            </w:r>
          </w:p>
          <w:p w14:paraId="7F250E9C" w14:textId="77777777" w:rsidR="007D49F8" w:rsidRPr="00A654E4" w:rsidRDefault="007D49F8" w:rsidP="007D49F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Skinner, S., Lethal Force, the Right to Life and the ECHR (Hart, 2019)</w:t>
            </w:r>
          </w:p>
          <w:p w14:paraId="4BAE6BB6" w14:textId="77777777" w:rsidR="007D49F8" w:rsidRPr="00A654E4" w:rsidRDefault="007D49F8" w:rsidP="007D49F8">
            <w:pPr>
              <w:pStyle w:val="NoSpacing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Lazarus, L.,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McCrudden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, C., and Bowles, N., Reasoning Rights (OUP 2014)</w:t>
            </w:r>
          </w:p>
          <w:p w14:paraId="07C7A481" w14:textId="77777777" w:rsidR="003A7837" w:rsidRPr="00A654E4" w:rsidRDefault="003A7837" w:rsidP="00015BE6">
            <w:pPr>
              <w:pStyle w:val="NoSpac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64552" w:rsidRPr="00A654E4" w14:paraId="39EF7D35" w14:textId="77777777" w:rsidTr="00015BE6">
        <w:tc>
          <w:tcPr>
            <w:tcW w:w="3617" w:type="dxa"/>
          </w:tcPr>
          <w:p w14:paraId="10C0DE4D" w14:textId="77777777" w:rsidR="00E64552" w:rsidRPr="00A654E4" w:rsidRDefault="00E64552" w:rsidP="00015BE6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  <w:tc>
          <w:tcPr>
            <w:tcW w:w="5239" w:type="dxa"/>
            <w:gridSpan w:val="3"/>
          </w:tcPr>
          <w:p w14:paraId="521CE7A5" w14:textId="77777777" w:rsidR="00E64552" w:rsidRPr="00A654E4" w:rsidRDefault="00E64552" w:rsidP="00015BE6">
            <w:pPr>
              <w:pStyle w:val="NoSpacing"/>
              <w:ind w:left="720"/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</w:p>
        </w:tc>
      </w:tr>
    </w:tbl>
    <w:p w14:paraId="33A3330C" w14:textId="77777777" w:rsidR="00E64552" w:rsidRPr="00A654E4" w:rsidRDefault="00E64552" w:rsidP="00E64552">
      <w:pPr>
        <w:rPr>
          <w:rFonts w:asciiTheme="minorHAnsi" w:hAnsiTheme="minorHAnsi" w:cstheme="minorHAnsi"/>
          <w:vanish/>
          <w:sz w:val="22"/>
          <w:szCs w:val="22"/>
          <w:lang w:val="en-GB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9"/>
        <w:gridCol w:w="5961"/>
      </w:tblGrid>
      <w:tr w:rsidR="00E64552" w:rsidRPr="00A654E4" w14:paraId="3AAB9D3B" w14:textId="77777777" w:rsidTr="003A7837">
        <w:tc>
          <w:tcPr>
            <w:tcW w:w="8630" w:type="dxa"/>
            <w:gridSpan w:val="2"/>
            <w:shd w:val="clear" w:color="auto" w:fill="D9D9D9"/>
          </w:tcPr>
          <w:p w14:paraId="16EA1034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Plani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mësimor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hartuar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14:paraId="2C7C6140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</w:p>
        </w:tc>
      </w:tr>
      <w:tr w:rsidR="00E64552" w:rsidRPr="00A654E4" w14:paraId="466C1C6D" w14:textId="77777777" w:rsidTr="003A7837">
        <w:trPr>
          <w:trHeight w:val="473"/>
        </w:trPr>
        <w:tc>
          <w:tcPr>
            <w:tcW w:w="2669" w:type="dxa"/>
            <w:shd w:val="clear" w:color="auto" w:fill="D9D9D9"/>
          </w:tcPr>
          <w:p w14:paraId="64BBB720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javë</w:t>
            </w:r>
            <w:proofErr w:type="spellEnd"/>
          </w:p>
        </w:tc>
        <w:tc>
          <w:tcPr>
            <w:tcW w:w="5961" w:type="dxa"/>
            <w:shd w:val="clear" w:color="auto" w:fill="D9D9D9"/>
          </w:tcPr>
          <w:p w14:paraId="106D2689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Ligjërata</w:t>
            </w:r>
            <w:proofErr w:type="spellEnd"/>
          </w:p>
        </w:tc>
      </w:tr>
      <w:tr w:rsidR="00E64552" w:rsidRPr="00A654E4" w14:paraId="7CBFD5BC" w14:textId="77777777" w:rsidTr="003A7837">
        <w:tc>
          <w:tcPr>
            <w:tcW w:w="2669" w:type="dxa"/>
          </w:tcPr>
          <w:p w14:paraId="3C8B6674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Prezantimi</w:t>
            </w:r>
            <w:proofErr w:type="spellEnd"/>
          </w:p>
        </w:tc>
        <w:tc>
          <w:tcPr>
            <w:tcW w:w="5961" w:type="dxa"/>
          </w:tcPr>
          <w:p w14:paraId="4AE63659" w14:textId="77777777" w:rsidR="00E64552" w:rsidRPr="00A654E4" w:rsidRDefault="00E64552" w:rsidP="00015BE6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4552" w:rsidRPr="00A654E4" w14:paraId="624E7615" w14:textId="77777777" w:rsidTr="003A7837">
        <w:tc>
          <w:tcPr>
            <w:tcW w:w="2669" w:type="dxa"/>
          </w:tcPr>
          <w:p w14:paraId="66779298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2: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961" w:type="dxa"/>
          </w:tcPr>
          <w:p w14:paraId="143FB075" w14:textId="77777777" w:rsidR="00E64552" w:rsidRPr="00A654E4" w:rsidRDefault="003A783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Vështrim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përgjithshëm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Konventës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Njeriut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</w:t>
            </w:r>
          </w:p>
          <w:p w14:paraId="6A6126CF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2C1AB6C8" w14:textId="0F49CF3A" w:rsidR="006C3413" w:rsidRPr="00A654E4" w:rsidRDefault="006C3413" w:rsidP="00A654E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</w:rPr>
              <w:t>Qëllimet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</w:t>
            </w:r>
            <w:proofErr w:type="spellStart"/>
            <w:r w:rsidR="007D49F8">
              <w:rPr>
                <w:rFonts w:asciiTheme="minorHAnsi" w:hAnsiTheme="minorHAnsi" w:cstheme="minorHAnsi"/>
                <w:b/>
                <w:sz w:val="22"/>
                <w:szCs w:val="22"/>
              </w:rPr>
              <w:t>ligjëratës</w:t>
            </w:r>
            <w:proofErr w:type="spellEnd"/>
          </w:p>
          <w:p w14:paraId="17E2D97F" w14:textId="5A7476AB" w:rsidR="006C3413" w:rsidRPr="00A654E4" w:rsidRDefault="006C3413" w:rsidP="00A654E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lastRenderedPageBreak/>
              <w:t>Për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t'i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prezantuar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="007D49F8">
              <w:rPr>
                <w:rFonts w:asciiTheme="minorHAnsi" w:hAnsiTheme="minorHAnsi" w:cstheme="minorHAnsi"/>
              </w:rPr>
              <w:t>lëndën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t'</w:t>
            </w:r>
            <w:r w:rsidR="007D49F8">
              <w:rPr>
                <w:rFonts w:asciiTheme="minorHAnsi" w:hAnsiTheme="minorHAnsi" w:cstheme="minorHAnsi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udhëhequr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përmes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përmbajtjes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7D49F8">
              <w:rPr>
                <w:rFonts w:asciiTheme="minorHAnsi" w:hAnsiTheme="minorHAnsi" w:cstheme="minorHAnsi"/>
              </w:rPr>
              <w:t>saj</w:t>
            </w:r>
            <w:proofErr w:type="spellEnd"/>
          </w:p>
          <w:p w14:paraId="74BE9182" w14:textId="77777777" w:rsidR="006C3413" w:rsidRPr="00A654E4" w:rsidRDefault="006C3413" w:rsidP="00A654E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shpjegojë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evolucionin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sistemit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Strasburgut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trajektoren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zhvillimit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tij</w:t>
            </w:r>
            <w:proofErr w:type="spellEnd"/>
          </w:p>
          <w:p w14:paraId="4DE12728" w14:textId="77777777" w:rsidR="006C3413" w:rsidRPr="00A654E4" w:rsidRDefault="006C3413" w:rsidP="00A654E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informojë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dallimin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ndërmjet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zbatimit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horizontal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vertikal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dispozitave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drejtave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njeriut</w:t>
            </w:r>
            <w:proofErr w:type="spellEnd"/>
          </w:p>
          <w:p w14:paraId="51A7F7FB" w14:textId="77777777" w:rsidR="006C3413" w:rsidRPr="00A654E4" w:rsidRDefault="006C3413" w:rsidP="00A654E4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ofruar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pasqyrë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Konventës</w:t>
            </w:r>
            <w:proofErr w:type="spellEnd"/>
          </w:p>
          <w:p w14:paraId="33E138D8" w14:textId="77777777" w:rsidR="00C86837" w:rsidRPr="006903C7" w:rsidRDefault="00C86837" w:rsidP="006903C7">
            <w:pPr>
              <w:ind w:left="360"/>
              <w:rPr>
                <w:rFonts w:asciiTheme="minorHAnsi" w:hAnsiTheme="minorHAnsi" w:cstheme="minorHAnsi"/>
              </w:rPr>
            </w:pPr>
          </w:p>
        </w:tc>
      </w:tr>
      <w:tr w:rsidR="00E64552" w:rsidRPr="00A654E4" w14:paraId="6E252598" w14:textId="77777777" w:rsidTr="003A7837">
        <w:tc>
          <w:tcPr>
            <w:tcW w:w="2669" w:type="dxa"/>
          </w:tcPr>
          <w:p w14:paraId="7714E5A2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lastRenderedPageBreak/>
              <w:t>Java 3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61" w:type="dxa"/>
          </w:tcPr>
          <w:p w14:paraId="77BA682A" w14:textId="77777777" w:rsidR="00E64552" w:rsidRPr="00A654E4" w:rsidRDefault="003A783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Pranueshmëria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ankesave</w:t>
            </w:r>
            <w:proofErr w:type="spellEnd"/>
          </w:p>
          <w:p w14:paraId="453B1E40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80454FF" w14:textId="073D1370" w:rsidR="006C3413" w:rsidRPr="00A654E4" w:rsidRDefault="006C3413" w:rsidP="00A654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K</w:t>
            </w:r>
            <w:r w:rsidR="007D49F8">
              <w:rPr>
                <w:rFonts w:asciiTheme="minorHAnsi" w:hAnsiTheme="minorHAnsi" w:cstheme="minorHAnsi"/>
                <w:bCs/>
                <w:sz w:val="22"/>
                <w:szCs w:val="22"/>
              </w:rPr>
              <w:t>y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leksion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përshkruaj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përbërjen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Gjykatës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Drejtat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Njeriut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veçanti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leksioni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synojë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fokusohet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293D62A6" w14:textId="77777777" w:rsidR="006C3413" w:rsidRPr="00A654E4" w:rsidRDefault="006C3413" w:rsidP="00A654E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Jeta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ankese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GJEDNJ.</w:t>
            </w:r>
          </w:p>
          <w:p w14:paraId="32FE53FF" w14:textId="77777777" w:rsidR="006C3413" w:rsidRPr="00A654E4" w:rsidRDefault="006C3413" w:rsidP="00A654E4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Çdo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student do </w:t>
            </w: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mësojë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kriteret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mëposhtme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>:</w:t>
            </w:r>
          </w:p>
          <w:p w14:paraId="61E9215F" w14:textId="77777777" w:rsidR="006C3413" w:rsidRPr="00A654E4" w:rsidRDefault="006C3413" w:rsidP="00A654E4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Pranueshmëria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D49F8">
              <w:rPr>
                <w:rFonts w:asciiTheme="minorHAnsi" w:hAnsiTheme="minorHAnsi" w:cstheme="minorHAnsi"/>
                <w:bCs/>
                <w:i/>
              </w:rPr>
              <w:t>ratione</w:t>
            </w:r>
            <w:proofErr w:type="spellEnd"/>
            <w:r w:rsidRPr="007D49F8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7D49F8">
              <w:rPr>
                <w:rFonts w:asciiTheme="minorHAnsi" w:hAnsiTheme="minorHAnsi" w:cstheme="minorHAnsi"/>
                <w:bCs/>
                <w:i/>
              </w:rPr>
              <w:t>Temporis</w:t>
            </w:r>
            <w:proofErr w:type="spellEnd"/>
          </w:p>
          <w:p w14:paraId="47B21B25" w14:textId="77777777" w:rsidR="006C3413" w:rsidRPr="00A654E4" w:rsidRDefault="006C3413" w:rsidP="00A654E4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Pranueshmëria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D49F8">
              <w:rPr>
                <w:rFonts w:asciiTheme="minorHAnsi" w:hAnsiTheme="minorHAnsi" w:cstheme="minorHAnsi"/>
                <w:bCs/>
                <w:i/>
              </w:rPr>
              <w:t>ratione</w:t>
            </w:r>
            <w:proofErr w:type="spellEnd"/>
            <w:r w:rsidRPr="007D49F8">
              <w:rPr>
                <w:rFonts w:asciiTheme="minorHAnsi" w:hAnsiTheme="minorHAnsi" w:cstheme="minorHAnsi"/>
                <w:bCs/>
                <w:i/>
              </w:rPr>
              <w:t xml:space="preserve"> Personae</w:t>
            </w:r>
          </w:p>
          <w:p w14:paraId="16C827EC" w14:textId="77777777" w:rsidR="006C3413" w:rsidRPr="00A654E4" w:rsidRDefault="006C3413" w:rsidP="00A654E4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Pranueshmëria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D49F8">
              <w:rPr>
                <w:rFonts w:asciiTheme="minorHAnsi" w:hAnsiTheme="minorHAnsi" w:cstheme="minorHAnsi"/>
                <w:bCs/>
                <w:i/>
              </w:rPr>
              <w:t>ratione</w:t>
            </w:r>
            <w:proofErr w:type="spellEnd"/>
            <w:r w:rsidRPr="007D49F8">
              <w:rPr>
                <w:rFonts w:asciiTheme="minorHAnsi" w:hAnsiTheme="minorHAnsi" w:cstheme="minorHAnsi"/>
                <w:bCs/>
                <w:i/>
              </w:rPr>
              <w:t xml:space="preserve"> Loci</w:t>
            </w:r>
          </w:p>
          <w:p w14:paraId="17B0352B" w14:textId="77777777" w:rsidR="006C3413" w:rsidRPr="00A654E4" w:rsidRDefault="006C3413" w:rsidP="00A654E4">
            <w:pPr>
              <w:pStyle w:val="ListParagraph"/>
              <w:numPr>
                <w:ilvl w:val="1"/>
                <w:numId w:val="23"/>
              </w:numPr>
              <w:rPr>
                <w:rFonts w:asciiTheme="minorHAnsi" w:hAnsiTheme="minorHAnsi" w:cstheme="minorHAnsi"/>
                <w:bCs/>
              </w:rPr>
            </w:pPr>
            <w:proofErr w:type="spellStart"/>
            <w:r w:rsidRPr="00A654E4">
              <w:rPr>
                <w:rFonts w:asciiTheme="minorHAnsi" w:hAnsiTheme="minorHAnsi" w:cstheme="minorHAnsi"/>
                <w:bCs/>
              </w:rPr>
              <w:t>Pranueshmëria</w:t>
            </w:r>
            <w:proofErr w:type="spellEnd"/>
            <w:r w:rsidRPr="00A654E4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7D49F8">
              <w:rPr>
                <w:rFonts w:asciiTheme="minorHAnsi" w:hAnsiTheme="minorHAnsi" w:cstheme="minorHAnsi"/>
                <w:bCs/>
                <w:i/>
              </w:rPr>
              <w:t>ratione</w:t>
            </w:r>
            <w:proofErr w:type="spellEnd"/>
            <w:r w:rsidRPr="007D49F8">
              <w:rPr>
                <w:rFonts w:asciiTheme="minorHAnsi" w:hAnsiTheme="minorHAnsi" w:cstheme="minorHAnsi"/>
                <w:bCs/>
                <w:i/>
              </w:rPr>
              <w:t xml:space="preserve"> </w:t>
            </w:r>
            <w:proofErr w:type="spellStart"/>
            <w:r w:rsidRPr="007D49F8">
              <w:rPr>
                <w:rFonts w:asciiTheme="minorHAnsi" w:hAnsiTheme="minorHAnsi" w:cstheme="minorHAnsi"/>
                <w:bCs/>
                <w:i/>
              </w:rPr>
              <w:t>Materiae</w:t>
            </w:r>
            <w:proofErr w:type="spellEnd"/>
          </w:p>
          <w:p w14:paraId="5DF48172" w14:textId="77777777" w:rsidR="006C3413" w:rsidRPr="00A654E4" w:rsidRDefault="006C3413" w:rsidP="00A654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16CF8E" w14:textId="77777777" w:rsidR="006C3413" w:rsidRPr="00A654E4" w:rsidRDefault="006C3413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E64552" w:rsidRPr="00A654E4" w14:paraId="3FED8D7D" w14:textId="77777777" w:rsidTr="003A7837">
        <w:tc>
          <w:tcPr>
            <w:tcW w:w="2669" w:type="dxa"/>
          </w:tcPr>
          <w:p w14:paraId="22201C1A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4: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961" w:type="dxa"/>
          </w:tcPr>
          <w:p w14:paraId="44E2C9DE" w14:textId="77777777" w:rsidR="00E64552" w:rsidRPr="00A654E4" w:rsidRDefault="003A783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Interpretimi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Konventës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Njeriut</w:t>
            </w:r>
            <w:proofErr w:type="spellEnd"/>
          </w:p>
          <w:p w14:paraId="4B671ADF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D7EB2F4" w14:textId="4D1F58E6" w:rsidR="006C3413" w:rsidRPr="00A654E4" w:rsidRDefault="006C3413" w:rsidP="00A65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Qëllimet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kësaj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ligjërate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janë</w:t>
            </w:r>
            <w:proofErr w:type="spellEnd"/>
            <w:r w:rsidR="007D49F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0A42198" w14:textId="77777777" w:rsidR="006C3413" w:rsidRPr="00A654E4" w:rsidRDefault="006C3413" w:rsidP="00A654E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eksploruar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veçoritë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interpretimit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Konventës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Drejtave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Njeriut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krahasim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legjislacionin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kombëtar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traktatet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tjera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ndërkombëtare</w:t>
            </w:r>
            <w:proofErr w:type="spellEnd"/>
          </w:p>
          <w:p w14:paraId="03A98DBA" w14:textId="77777777" w:rsidR="006C3413" w:rsidRPr="00A654E4" w:rsidRDefault="006C3413" w:rsidP="00A654E4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përcaktuar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diskutuar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doktrinën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kufirit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vlerësimit</w:t>
            </w:r>
            <w:proofErr w:type="spellEnd"/>
          </w:p>
          <w:p w14:paraId="1AAED351" w14:textId="77777777" w:rsidR="006C3413" w:rsidRPr="00A654E4" w:rsidRDefault="006C3413" w:rsidP="006903C7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 w:rsidR="00E64552" w:rsidRPr="00A654E4" w14:paraId="51824A5D" w14:textId="77777777" w:rsidTr="003A7837">
        <w:tc>
          <w:tcPr>
            <w:tcW w:w="2669" w:type="dxa"/>
          </w:tcPr>
          <w:p w14:paraId="1759BDB1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5:</w:t>
            </w:r>
          </w:p>
        </w:tc>
        <w:tc>
          <w:tcPr>
            <w:tcW w:w="5961" w:type="dxa"/>
          </w:tcPr>
          <w:p w14:paraId="68CEFB80" w14:textId="77777777" w:rsidR="00E64552" w:rsidRPr="00A654E4" w:rsidRDefault="003A783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1: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Juridiksioni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Gjykatës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Drejtave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Njeriut</w:t>
            </w:r>
            <w:proofErr w:type="spellEnd"/>
          </w:p>
          <w:p w14:paraId="67935349" w14:textId="77777777" w:rsidR="006C3413" w:rsidRPr="00A654E4" w:rsidRDefault="006C3413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9EF060B" w14:textId="77777777" w:rsidR="006C3413" w:rsidRPr="00A654E4" w:rsidRDefault="006C3413" w:rsidP="00A654E4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Ky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leksion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do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përcaktojë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termin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juridiksion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do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shqyrtohet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aplikimi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tij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.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Kjo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leksion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ka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qëllim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:</w:t>
            </w:r>
          </w:p>
          <w:p w14:paraId="01C78467" w14:textId="77777777" w:rsidR="006C3413" w:rsidRDefault="006C3413" w:rsidP="006903C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262626"/>
                <w:lang w:val="en-US"/>
              </w:rPr>
            </w:pP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përcaktuar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konceptin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juridiksionit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sipas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ligjit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Gjykatës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Drejtave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Njeriut</w:t>
            </w:r>
            <w:proofErr w:type="spellEnd"/>
          </w:p>
          <w:p w14:paraId="5E2F23EE" w14:textId="77777777" w:rsidR="006903C7" w:rsidRPr="006903C7" w:rsidRDefault="006903C7" w:rsidP="006903C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262626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Për</w:t>
            </w:r>
            <w:proofErr w:type="spellEnd"/>
            <w:r>
              <w:rPr>
                <w:rFonts w:asciiTheme="minorHAnsi" w:hAnsiTheme="minorHAnsi" w:cstheme="minorHAnsi"/>
                <w:color w:val="262626"/>
                <w:lang w:val="en-US"/>
              </w:rPr>
              <w:t xml:space="preserve"> ta </w:t>
            </w: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konsideruar</w:t>
            </w:r>
            <w:proofErr w:type="spellEnd"/>
            <w:r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atë</w:t>
            </w:r>
            <w:proofErr w:type="spellEnd"/>
            <w:r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nga</w:t>
            </w:r>
            <w:proofErr w:type="spellEnd"/>
            <w:r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këndvështrimi</w:t>
            </w:r>
            <w:proofErr w:type="spellEnd"/>
            <w:r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i</w:t>
            </w:r>
            <w:proofErr w:type="spellEnd"/>
            <w:r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ligjit</w:t>
            </w:r>
            <w:proofErr w:type="spellEnd"/>
            <w:r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kombëtar</w:t>
            </w:r>
            <w:proofErr w:type="spellEnd"/>
            <w:r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262626"/>
                <w:lang w:val="en-US"/>
              </w:rPr>
              <w:t>Kosovës</w:t>
            </w:r>
            <w:proofErr w:type="spellEnd"/>
          </w:p>
        </w:tc>
      </w:tr>
      <w:tr w:rsidR="00E64552" w:rsidRPr="00A654E4" w14:paraId="2F3B9D1C" w14:textId="77777777" w:rsidTr="003A7837">
        <w:tc>
          <w:tcPr>
            <w:tcW w:w="2669" w:type="dxa"/>
          </w:tcPr>
          <w:p w14:paraId="0E6BA7A8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6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61" w:type="dxa"/>
          </w:tcPr>
          <w:p w14:paraId="530B91A6" w14:textId="77777777" w:rsidR="003A7837" w:rsidRPr="00A654E4" w:rsidRDefault="003A783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2: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jetë</w:t>
            </w:r>
            <w:proofErr w:type="spellEnd"/>
          </w:p>
          <w:p w14:paraId="7DDF814A" w14:textId="77777777" w:rsidR="006C3413" w:rsidRPr="00A654E4" w:rsidRDefault="006C3413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26FFAFC" w14:textId="77777777" w:rsidR="006C3413" w:rsidRPr="00A654E4" w:rsidRDefault="006C3413" w:rsidP="00A654E4">
            <w:pPr>
              <w:rPr>
                <w:rFonts w:asciiTheme="minorHAnsi" w:hAnsiTheme="minorHAnsi" w:cstheme="minorHAnsi"/>
                <w:color w:val="262626"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Kjo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leksion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ka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qëllim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sz w:val="22"/>
                <w:szCs w:val="22"/>
              </w:rPr>
              <w:t>:</w:t>
            </w:r>
          </w:p>
          <w:p w14:paraId="1CFC35D8" w14:textId="77777777" w:rsidR="006C3413" w:rsidRPr="00A654E4" w:rsidRDefault="006C3413" w:rsidP="00A654E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262626"/>
                <w:lang w:val="en-US"/>
              </w:rPr>
            </w:pP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shqyrtohen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dispozitat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kryesore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nenit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2: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detyrimet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negative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pozitive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shteteve</w:t>
            </w:r>
            <w:proofErr w:type="spellEnd"/>
          </w:p>
          <w:p w14:paraId="12AA5DF7" w14:textId="77777777" w:rsidR="006C3413" w:rsidRPr="00A654E4" w:rsidRDefault="006C3413" w:rsidP="00A654E4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262626"/>
                <w:lang w:val="en-US"/>
              </w:rPr>
            </w:pP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diskutuar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praktikën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gjyqësore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lidhje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mbrojtjen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fetusit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color w:val="262626"/>
                <w:lang w:val="en-US"/>
              </w:rPr>
              <w:t>njeriut</w:t>
            </w:r>
            <w:proofErr w:type="spellEnd"/>
          </w:p>
          <w:p w14:paraId="2CE38394" w14:textId="77777777" w:rsidR="006C3413" w:rsidRPr="006903C7" w:rsidRDefault="006C3413" w:rsidP="006903C7">
            <w:pPr>
              <w:ind w:left="360"/>
              <w:rPr>
                <w:rFonts w:asciiTheme="minorHAnsi" w:hAnsiTheme="minorHAnsi" w:cstheme="minorHAnsi"/>
                <w:color w:val="262626"/>
              </w:rPr>
            </w:pPr>
          </w:p>
        </w:tc>
      </w:tr>
      <w:tr w:rsidR="00E64552" w:rsidRPr="00A654E4" w14:paraId="630C82A8" w14:textId="77777777" w:rsidTr="003A7837">
        <w:tc>
          <w:tcPr>
            <w:tcW w:w="2669" w:type="dxa"/>
          </w:tcPr>
          <w:p w14:paraId="1D06F492" w14:textId="77777777" w:rsidR="00E64552" w:rsidRPr="00A654E4" w:rsidRDefault="00E64552" w:rsidP="00015BE6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lastRenderedPageBreak/>
              <w:t>Java 7: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961" w:type="dxa"/>
          </w:tcPr>
          <w:p w14:paraId="2EE13DC3" w14:textId="77777777" w:rsidR="00E64552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3: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Ndalimi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Torturës</w:t>
            </w:r>
            <w:proofErr w:type="spellEnd"/>
          </w:p>
          <w:p w14:paraId="120B2893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512054DC" w14:textId="77777777" w:rsidR="006C3413" w:rsidRPr="00A654E4" w:rsidRDefault="006C3413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Synimet</w:t>
            </w:r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kësaj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ligjërate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6064645F" w14:textId="77777777" w:rsidR="006C3413" w:rsidRPr="00A654E4" w:rsidRDefault="006C3413" w:rsidP="00A654E4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njohë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kategori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ndryshme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keqtrajtimi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ndaluara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nga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3</w:t>
            </w:r>
          </w:p>
          <w:p w14:paraId="066B724C" w14:textId="77777777" w:rsidR="006C3413" w:rsidRPr="00A654E4" w:rsidRDefault="006C3413" w:rsidP="006903C7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</w:tc>
      </w:tr>
      <w:tr w:rsidR="006762F7" w:rsidRPr="00A654E4" w14:paraId="60E3E2D3" w14:textId="77777777" w:rsidTr="003A7837">
        <w:tc>
          <w:tcPr>
            <w:tcW w:w="2669" w:type="dxa"/>
          </w:tcPr>
          <w:p w14:paraId="71FD57F2" w14:textId="77777777" w:rsidR="006762F7" w:rsidRPr="00A654E4" w:rsidRDefault="006762F7" w:rsidP="006762F7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8: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961" w:type="dxa"/>
          </w:tcPr>
          <w:p w14:paraId="1F23D4DB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4: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Ndalimi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skllavërisë</w:t>
            </w:r>
            <w:proofErr w:type="spellEnd"/>
          </w:p>
          <w:p w14:paraId="3CA98570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E70F626" w14:textId="77777777" w:rsidR="006C3413" w:rsidRPr="00A654E4" w:rsidRDefault="006C3413" w:rsidP="00A65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Ky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leksion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analizojë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aspektet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mëposhtme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lirisë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nga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skllavëria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E9FEF30" w14:textId="77777777" w:rsidR="006C3413" w:rsidRPr="00A654E4" w:rsidRDefault="006C3413" w:rsidP="00A654E4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Struktura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nenit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4</w:t>
            </w:r>
          </w:p>
          <w:p w14:paraId="38A7E70B" w14:textId="77777777" w:rsidR="006C3413" w:rsidRDefault="006C3413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C576C56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762F7" w:rsidRPr="00A654E4" w14:paraId="6FFA32E1" w14:textId="77777777" w:rsidTr="003A7837">
        <w:tc>
          <w:tcPr>
            <w:tcW w:w="2669" w:type="dxa"/>
          </w:tcPr>
          <w:p w14:paraId="2181B2B6" w14:textId="77777777" w:rsidR="006762F7" w:rsidRPr="00A654E4" w:rsidRDefault="006762F7" w:rsidP="006762F7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9: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961" w:type="dxa"/>
          </w:tcPr>
          <w:p w14:paraId="07B1C5D7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5: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liri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siguri</w:t>
            </w:r>
            <w:proofErr w:type="spellEnd"/>
          </w:p>
          <w:p w14:paraId="49FF74CA" w14:textId="77777777" w:rsidR="006C3413" w:rsidRPr="00A654E4" w:rsidRDefault="006C3413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8303F40" w14:textId="77777777" w:rsidR="000D2AF8" w:rsidRDefault="000D2AF8" w:rsidP="00A65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Kjo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leksion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qëllim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DF75A3C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4D7D6C" w14:textId="77777777" w:rsidR="000D2AF8" w:rsidRPr="00A654E4" w:rsidRDefault="000D2AF8" w:rsidP="00A654E4">
            <w:pPr>
              <w:pStyle w:val="ListParagraph"/>
              <w:numPr>
                <w:ilvl w:val="1"/>
                <w:numId w:val="13"/>
              </w:numPr>
              <w:ind w:left="765" w:hanging="425"/>
              <w:jc w:val="left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eksploruar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strukturën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nenit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5</w:t>
            </w:r>
          </w:p>
          <w:p w14:paraId="78D178F7" w14:textId="77777777" w:rsidR="000D2AF8" w:rsidRPr="00A654E4" w:rsidRDefault="000D2AF8" w:rsidP="00A654E4">
            <w:pPr>
              <w:pStyle w:val="ListParagraph"/>
              <w:numPr>
                <w:ilvl w:val="1"/>
                <w:numId w:val="13"/>
              </w:numPr>
              <w:ind w:left="765" w:hanging="425"/>
              <w:jc w:val="left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shqyrtohet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koncepti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autonom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nocionit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arrestim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ndalim</w:t>
            </w:r>
            <w:proofErr w:type="spellEnd"/>
          </w:p>
          <w:p w14:paraId="171A88AE" w14:textId="77777777" w:rsidR="006C3413" w:rsidRPr="00A654E4" w:rsidRDefault="006C3413" w:rsidP="006903C7">
            <w:pPr>
              <w:pStyle w:val="ListParagraph"/>
              <w:ind w:left="765"/>
              <w:jc w:val="left"/>
              <w:rPr>
                <w:rFonts w:asciiTheme="minorHAnsi" w:hAnsiTheme="minorHAnsi" w:cstheme="minorHAnsi"/>
              </w:rPr>
            </w:pPr>
          </w:p>
        </w:tc>
      </w:tr>
      <w:tr w:rsidR="006762F7" w:rsidRPr="00A654E4" w14:paraId="6FA6F7C1" w14:textId="77777777" w:rsidTr="003A7837">
        <w:tc>
          <w:tcPr>
            <w:tcW w:w="2669" w:type="dxa"/>
          </w:tcPr>
          <w:p w14:paraId="6C7EE05D" w14:textId="77777777" w:rsidR="006762F7" w:rsidRPr="00A654E4" w:rsidRDefault="006762F7" w:rsidP="006762F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10: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961" w:type="dxa"/>
          </w:tcPr>
          <w:p w14:paraId="5A724F16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6: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Gjykimi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drejtë</w:t>
            </w:r>
            <w:proofErr w:type="spellEnd"/>
          </w:p>
          <w:p w14:paraId="6E50F035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13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mjet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efektiv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juridik</w:t>
            </w:r>
            <w:proofErr w:type="spellEnd"/>
          </w:p>
          <w:p w14:paraId="321C0CB4" w14:textId="77777777" w:rsidR="000D2AF8" w:rsidRPr="00A654E4" w:rsidRDefault="000D2AF8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9201B25" w14:textId="77777777" w:rsidR="000D2AF8" w:rsidRPr="00A654E4" w:rsidRDefault="000D2AF8" w:rsidP="00A654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Kjo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leksion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qëllim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5FBE5EC3" w14:textId="77777777" w:rsidR="000D2AF8" w:rsidRPr="00A654E4" w:rsidRDefault="000D2AF8" w:rsidP="00A654E4">
            <w:pPr>
              <w:pStyle w:val="ListParagraph"/>
              <w:numPr>
                <w:ilvl w:val="1"/>
                <w:numId w:val="14"/>
              </w:numPr>
              <w:ind w:left="765" w:hanging="425"/>
              <w:jc w:val="left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eksploruar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strukturën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nenit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6</w:t>
            </w:r>
          </w:p>
          <w:p w14:paraId="254656A7" w14:textId="77777777" w:rsidR="000D2AF8" w:rsidRPr="00A654E4" w:rsidRDefault="000D2AF8" w:rsidP="00A654E4">
            <w:pPr>
              <w:pStyle w:val="ListParagraph"/>
              <w:numPr>
                <w:ilvl w:val="1"/>
                <w:numId w:val="14"/>
              </w:numPr>
              <w:ind w:left="765" w:hanging="425"/>
              <w:jc w:val="left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shqyrtohet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koncepti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autonom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nocionit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akuzës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penale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drejtës</w:t>
            </w:r>
            <w:proofErr w:type="spellEnd"/>
            <w:r w:rsidRPr="00A654E4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lang w:val="en-US"/>
              </w:rPr>
              <w:t>civile</w:t>
            </w:r>
            <w:proofErr w:type="spellEnd"/>
          </w:p>
          <w:p w14:paraId="16770928" w14:textId="77777777" w:rsidR="000D2AF8" w:rsidRPr="00A654E4" w:rsidRDefault="000D2AF8" w:rsidP="006903C7">
            <w:pPr>
              <w:pStyle w:val="ListParagraph"/>
              <w:ind w:left="765"/>
              <w:jc w:val="left"/>
              <w:rPr>
                <w:rFonts w:asciiTheme="minorHAnsi" w:hAnsiTheme="minorHAnsi" w:cstheme="minorHAnsi"/>
              </w:rPr>
            </w:pPr>
          </w:p>
        </w:tc>
      </w:tr>
      <w:tr w:rsidR="006762F7" w:rsidRPr="00A654E4" w14:paraId="602F09A4" w14:textId="77777777" w:rsidTr="003A7837">
        <w:tc>
          <w:tcPr>
            <w:tcW w:w="2669" w:type="dxa"/>
          </w:tcPr>
          <w:p w14:paraId="737B981A" w14:textId="77777777" w:rsidR="006762F7" w:rsidRPr="00A654E4" w:rsidRDefault="006762F7" w:rsidP="006762F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11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61" w:type="dxa"/>
          </w:tcPr>
          <w:p w14:paraId="67871A59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8: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privatësi</w:t>
            </w:r>
            <w:proofErr w:type="spellEnd"/>
          </w:p>
          <w:p w14:paraId="450AC0BE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8910EE4" w14:textId="77777777" w:rsidR="007269E6" w:rsidRPr="00A654E4" w:rsidRDefault="007269E6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Synimet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7FF520CF" w14:textId="77777777" w:rsidR="007269E6" w:rsidRPr="00A654E4" w:rsidRDefault="007269E6" w:rsidP="00A654E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njohë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strukturën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drejtës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mundësinë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shmangies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prej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saj</w:t>
            </w:r>
            <w:proofErr w:type="spellEnd"/>
          </w:p>
          <w:p w14:paraId="79F8992F" w14:textId="77777777" w:rsidR="007269E6" w:rsidRPr="00A654E4" w:rsidRDefault="007269E6" w:rsidP="00A654E4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dhënë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pasqyrë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shumë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aspekteve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nenit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8</w:t>
            </w:r>
          </w:p>
          <w:p w14:paraId="5119A72B" w14:textId="77777777" w:rsidR="007269E6" w:rsidRPr="00A654E4" w:rsidRDefault="007269E6" w:rsidP="006903C7">
            <w:pPr>
              <w:pStyle w:val="ListParagraph"/>
              <w:ind w:left="1440"/>
              <w:rPr>
                <w:rFonts w:asciiTheme="minorHAnsi" w:hAnsiTheme="minorHAnsi" w:cstheme="minorHAnsi"/>
              </w:rPr>
            </w:pPr>
          </w:p>
        </w:tc>
      </w:tr>
      <w:tr w:rsidR="006762F7" w:rsidRPr="00A654E4" w14:paraId="617320E1" w14:textId="77777777" w:rsidTr="003A7837">
        <w:tc>
          <w:tcPr>
            <w:tcW w:w="2669" w:type="dxa"/>
          </w:tcPr>
          <w:p w14:paraId="0791BD6F" w14:textId="77777777" w:rsidR="006762F7" w:rsidRPr="00A654E4" w:rsidRDefault="006762F7" w:rsidP="006762F7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12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61" w:type="dxa"/>
          </w:tcPr>
          <w:p w14:paraId="7D1D1187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9: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Liria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Fesë</w:t>
            </w:r>
            <w:proofErr w:type="spellEnd"/>
          </w:p>
          <w:p w14:paraId="5F366FD0" w14:textId="77777777" w:rsidR="00B412DE" w:rsidRPr="00A654E4" w:rsidRDefault="00B412DE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466C5D7F" w14:textId="77777777" w:rsidR="00B412DE" w:rsidRPr="00A654E4" w:rsidRDefault="00B412DE" w:rsidP="00A654E4">
            <w:pPr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Qëllimet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  <w:p w14:paraId="464BB04C" w14:textId="77777777" w:rsidR="00B412DE" w:rsidRPr="00A654E4" w:rsidRDefault="00B412DE" w:rsidP="006903C7">
            <w:pPr>
              <w:pStyle w:val="ListParagraph"/>
              <w:numPr>
                <w:ilvl w:val="0"/>
                <w:numId w:val="16"/>
              </w:numPr>
              <w:ind w:left="709" w:hanging="283"/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shqyrtuar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mënyrë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kritike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praktikën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gjyqësore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GJEDNJ-</w:t>
            </w:r>
            <w:proofErr w:type="spellStart"/>
            <w:r w:rsidRPr="00A654E4">
              <w:rPr>
                <w:rFonts w:asciiTheme="minorHAnsi" w:hAnsiTheme="minorHAnsi" w:cstheme="minorHAnsi"/>
              </w:rPr>
              <w:t>së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këtë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drejtë</w:t>
            </w:r>
            <w:proofErr w:type="spellEnd"/>
          </w:p>
          <w:p w14:paraId="60B7214F" w14:textId="77777777" w:rsidR="00B412DE" w:rsidRDefault="00B412DE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6C85BB66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762F7" w:rsidRPr="00A654E4" w14:paraId="15C831AD" w14:textId="77777777" w:rsidTr="003A7837">
        <w:tc>
          <w:tcPr>
            <w:tcW w:w="2669" w:type="dxa"/>
          </w:tcPr>
          <w:p w14:paraId="18C13613" w14:textId="77777777" w:rsidR="006762F7" w:rsidRPr="00A654E4" w:rsidRDefault="006762F7" w:rsidP="006762F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13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61" w:type="dxa"/>
          </w:tcPr>
          <w:p w14:paraId="474444AE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10: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Liria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fjalës</w:t>
            </w:r>
            <w:proofErr w:type="spellEnd"/>
          </w:p>
          <w:p w14:paraId="210B8F85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11: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Liria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tubimit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asocimit</w:t>
            </w:r>
            <w:proofErr w:type="spellEnd"/>
          </w:p>
          <w:p w14:paraId="538D9FA8" w14:textId="77777777" w:rsidR="00B412DE" w:rsidRPr="00A654E4" w:rsidRDefault="00B412DE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7B32CEAA" w14:textId="77777777" w:rsidR="00B412DE" w:rsidRPr="00A654E4" w:rsidRDefault="00B412DE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lastRenderedPageBreak/>
              <w:t>Synimet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672F3968" w14:textId="77777777" w:rsidR="00B412DE" w:rsidRPr="00A654E4" w:rsidRDefault="00B412DE" w:rsidP="00A654E4">
            <w:pPr>
              <w:numPr>
                <w:ilvl w:val="0"/>
                <w:numId w:val="19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njohë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shumë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aspekte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nenit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10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t'i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njohë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ata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kategori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ndryshme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folurit</w:t>
            </w:r>
            <w:proofErr w:type="spellEnd"/>
          </w:p>
          <w:p w14:paraId="19BA291E" w14:textId="77777777" w:rsidR="00B412DE" w:rsidRPr="00A654E4" w:rsidRDefault="00B412DE" w:rsidP="006903C7">
            <w:pPr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762F7" w:rsidRPr="00A654E4" w14:paraId="1C59993A" w14:textId="77777777" w:rsidTr="003A7837">
        <w:tc>
          <w:tcPr>
            <w:tcW w:w="2669" w:type="dxa"/>
          </w:tcPr>
          <w:p w14:paraId="3C268227" w14:textId="77777777" w:rsidR="006762F7" w:rsidRPr="00A654E4" w:rsidRDefault="006762F7" w:rsidP="006762F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lastRenderedPageBreak/>
              <w:t>Java 14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61" w:type="dxa"/>
          </w:tcPr>
          <w:p w14:paraId="2C5BF6E0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Neni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14: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Ndalimi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diskriminimit</w:t>
            </w:r>
            <w:proofErr w:type="spellEnd"/>
          </w:p>
          <w:p w14:paraId="5F1AA7A5" w14:textId="77777777" w:rsidR="00B412DE" w:rsidRPr="00A654E4" w:rsidRDefault="00B412DE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1C9E4E98" w14:textId="77777777" w:rsidR="00B412DE" w:rsidRPr="00A654E4" w:rsidRDefault="00B412DE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Synimet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0039D50B" w14:textId="77777777" w:rsidR="00B412DE" w:rsidRPr="00A654E4" w:rsidRDefault="00B412DE" w:rsidP="00A654E4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familjarizuar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strukturën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nenit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14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KEDNJ-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së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veçanërisht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kërkesën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që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aplikanti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duhet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jetë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brenda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kuadrit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Konventës</w:t>
            </w:r>
            <w:proofErr w:type="spellEnd"/>
          </w:p>
          <w:p w14:paraId="45AEC6D6" w14:textId="77777777" w:rsidR="00B412DE" w:rsidRPr="00A654E4" w:rsidRDefault="00B412DE" w:rsidP="00A654E4">
            <w:pPr>
              <w:numPr>
                <w:ilvl w:val="0"/>
                <w:numId w:val="2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t'i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mundësuar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nxënësit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vlerësojnë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nëse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ekziston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diskriminimi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krahasimet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grup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5D0ED04A" w14:textId="77777777" w:rsidR="00B412DE" w:rsidRPr="00A654E4" w:rsidRDefault="00B412DE" w:rsidP="006903C7">
            <w:pPr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6762F7" w:rsidRPr="00A654E4" w14:paraId="2A86B570" w14:textId="77777777" w:rsidTr="003A7837">
        <w:tc>
          <w:tcPr>
            <w:tcW w:w="2669" w:type="dxa"/>
          </w:tcPr>
          <w:p w14:paraId="34580097" w14:textId="77777777" w:rsidR="006762F7" w:rsidRPr="00A654E4" w:rsidRDefault="006762F7" w:rsidP="006762F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  <w:t>Java 15</w:t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  <w:tc>
          <w:tcPr>
            <w:tcW w:w="5961" w:type="dxa"/>
          </w:tcPr>
          <w:p w14:paraId="2F1B7560" w14:textId="77777777" w:rsidR="006762F7" w:rsidRPr="00A654E4" w:rsidRDefault="006762F7" w:rsidP="00A654E4">
            <w:pPr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Ekzekutimi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vendimeve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Gjykatës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Evropiane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Drejtat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Njeriut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fokus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veçantë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Ballkanin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Perëndimor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  <w:lang w:val="en-GB"/>
              </w:rPr>
              <w:t>.</w:t>
            </w:r>
          </w:p>
          <w:p w14:paraId="4B72B985" w14:textId="77777777" w:rsidR="00A654E4" w:rsidRPr="00A654E4" w:rsidRDefault="00A654E4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  <w:p w14:paraId="0B43EE66" w14:textId="77777777" w:rsidR="00B412DE" w:rsidRPr="00A654E4" w:rsidRDefault="00B412DE" w:rsidP="00A654E4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Synimet</w:t>
            </w:r>
            <w:proofErr w:type="spellEnd"/>
            <w:r w:rsidRPr="00A654E4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:</w:t>
            </w:r>
          </w:p>
          <w:p w14:paraId="481D72AE" w14:textId="77777777" w:rsidR="00B412DE" w:rsidRPr="00A654E4" w:rsidRDefault="00B412DE" w:rsidP="00A654E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shpjegojë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procedurën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ekzekutimit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aktgjykimeve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GJEDNJ</w:t>
            </w:r>
          </w:p>
          <w:p w14:paraId="2CC55CD2" w14:textId="77777777" w:rsidR="00A654E4" w:rsidRPr="00A654E4" w:rsidRDefault="00A654E4" w:rsidP="00A654E4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</w:rPr>
            </w:pP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analizohen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veçoritë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</w:rPr>
              <w:t>përmbarimit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vendimeve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GJEDNJ </w:t>
            </w:r>
            <w:proofErr w:type="spellStart"/>
            <w:r w:rsidRPr="00A654E4">
              <w:rPr>
                <w:rFonts w:asciiTheme="minorHAnsi" w:hAnsiTheme="minorHAnsi" w:cstheme="minorHAnsi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</w:rPr>
              <w:t>Kosovë</w:t>
            </w:r>
            <w:proofErr w:type="spellEnd"/>
          </w:p>
        </w:tc>
      </w:tr>
    </w:tbl>
    <w:p w14:paraId="0CEB58AA" w14:textId="77777777" w:rsidR="00E64552" w:rsidRPr="00A654E4" w:rsidRDefault="00E64552" w:rsidP="00E64552">
      <w:pPr>
        <w:jc w:val="center"/>
        <w:rPr>
          <w:rFonts w:asciiTheme="minorHAnsi" w:hAnsiTheme="minorHAnsi" w:cstheme="minorHAnsi"/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E64552" w:rsidRPr="00A654E4" w14:paraId="31F762BA" w14:textId="77777777" w:rsidTr="00015BE6">
        <w:tc>
          <w:tcPr>
            <w:tcW w:w="8856" w:type="dxa"/>
            <w:shd w:val="clear" w:color="auto" w:fill="D9D9D9"/>
          </w:tcPr>
          <w:p w14:paraId="3BB53678" w14:textId="77777777" w:rsidR="00E64552" w:rsidRPr="00A654E4" w:rsidRDefault="00E64552" w:rsidP="00015BE6">
            <w:pPr>
              <w:tabs>
                <w:tab w:val="left" w:pos="2340"/>
                <w:tab w:val="center" w:pos="4320"/>
              </w:tabs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</w:pP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ab/>
            </w:r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ab/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Politikat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akademike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rregullat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sjelljes</w:t>
            </w:r>
            <w:proofErr w:type="spellEnd"/>
            <w:r w:rsidRPr="00A654E4">
              <w:rPr>
                <w:rFonts w:asciiTheme="minorHAnsi" w:hAnsiTheme="minorHAnsi" w:cstheme="minorHAnsi"/>
                <w:b/>
                <w:sz w:val="22"/>
                <w:szCs w:val="22"/>
                <w:lang w:val="en-GB"/>
              </w:rPr>
              <w:t>:</w:t>
            </w:r>
          </w:p>
        </w:tc>
      </w:tr>
      <w:tr w:rsidR="00E64552" w:rsidRPr="00A654E4" w14:paraId="0C1871DE" w14:textId="77777777" w:rsidTr="00015BE6">
        <w:trPr>
          <w:trHeight w:val="1088"/>
        </w:trPr>
        <w:tc>
          <w:tcPr>
            <w:tcW w:w="8856" w:type="dxa"/>
          </w:tcPr>
          <w:p w14:paraId="7A9337D5" w14:textId="77777777" w:rsidR="00F456D9" w:rsidRPr="00A654E4" w:rsidRDefault="00F456D9" w:rsidP="00F456D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Ligjërata</w:t>
            </w:r>
            <w:proofErr w:type="spellEnd"/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interaktive</w:t>
            </w:r>
            <w:proofErr w:type="spellEnd"/>
          </w:p>
          <w:p w14:paraId="7CD1E468" w14:textId="77777777" w:rsidR="006B6626" w:rsidRPr="00A654E4" w:rsidRDefault="006B6626" w:rsidP="00F456D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B3457B4" w14:textId="4C15EC4C" w:rsidR="00F456D9" w:rsidRPr="00A654E4" w:rsidRDefault="00F456D9" w:rsidP="00F456D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Ligjëratë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Interaktive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2-orëshe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ballë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ballë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javë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15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javë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synon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përgatisë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vlerësim</w:t>
            </w:r>
            <w:r w:rsidR="007D49F8">
              <w:rPr>
                <w:rFonts w:asciiTheme="minorHAnsi" w:hAnsiTheme="minorHAnsi" w:cstheme="minorHAnsi"/>
                <w:i/>
                <w:sz w:val="22"/>
                <w:szCs w:val="22"/>
              </w:rPr>
              <w:t>in</w:t>
            </w:r>
            <w:proofErr w:type="spellEnd"/>
            <w:r w:rsidR="007D49F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="007D49F8">
              <w:rPr>
                <w:rFonts w:asciiTheme="minorHAnsi" w:hAnsiTheme="minorHAnsi" w:cstheme="minorHAnsi"/>
                <w:i/>
                <w:sz w:val="22"/>
                <w:szCs w:val="22"/>
              </w:rPr>
              <w:t>përfundimtar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Qëllimi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tyre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është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ofrojnë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forum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që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diskutojnë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njëri-tjetrin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nën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drejtimin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pedagogut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tyre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bëjnë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pyetje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duhet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jenë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përgatitur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diskutuar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mënyrë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aktive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temat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temat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çdo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sesion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leksioni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421559D9" w14:textId="77777777" w:rsidR="00C86837" w:rsidRPr="00A654E4" w:rsidRDefault="00C86837" w:rsidP="00F456D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824C248" w14:textId="77777777" w:rsidR="00F456D9" w:rsidRPr="00A654E4" w:rsidRDefault="009460C9" w:rsidP="00F456D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Pjesëmarrja</w:t>
            </w:r>
            <w:proofErr w:type="spellEnd"/>
          </w:p>
          <w:p w14:paraId="453E25F0" w14:textId="77777777" w:rsidR="009460C9" w:rsidRPr="00A654E4" w:rsidRDefault="009460C9" w:rsidP="00F456D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7C424399" w14:textId="77777777" w:rsidR="009460C9" w:rsidRPr="00A654E4" w:rsidRDefault="006B6626" w:rsidP="00F456D9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Ndjekja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leksioneve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është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detyrueshme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dhe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monitorohet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nga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afër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t'u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lejuar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provim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studentët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duhet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ndjekin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paktën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13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javë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leksione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Nëse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student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nuk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arrin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përmbushë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këtë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kriter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atij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/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asaj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t'i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kërkohet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rifrekuentojë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leksionet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vitin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ardhshëm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akademik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.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Pjesëmarrja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orët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konsultimit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pedagogun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nuk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është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detyrueshme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,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por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ofron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studentëve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një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mundësi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të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diskutuar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përparimin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 </w:t>
            </w:r>
            <w:proofErr w:type="spellStart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tyre</w:t>
            </w:r>
            <w:proofErr w:type="spellEnd"/>
            <w:r w:rsidRPr="00A654E4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  <w:p w14:paraId="15283580" w14:textId="77777777" w:rsidR="009460C9" w:rsidRPr="00A654E4" w:rsidRDefault="009460C9" w:rsidP="00F456D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2993F26" w14:textId="77777777" w:rsidR="00E64552" w:rsidRPr="00A654E4" w:rsidRDefault="00E64552" w:rsidP="006903C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  <w:lang w:val="en-GB"/>
              </w:rPr>
            </w:pPr>
          </w:p>
        </w:tc>
      </w:tr>
    </w:tbl>
    <w:p w14:paraId="20D51C0E" w14:textId="77777777" w:rsidR="00E64552" w:rsidRPr="00A654E4" w:rsidRDefault="00E64552" w:rsidP="00E64552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AA206BA" w14:textId="77777777" w:rsidR="00E64552" w:rsidRPr="00A654E4" w:rsidRDefault="00E64552" w:rsidP="00E64552">
      <w:pPr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24E8C58B" w14:textId="77777777" w:rsidR="00035938" w:rsidRPr="00A654E4" w:rsidRDefault="00035938">
      <w:pPr>
        <w:rPr>
          <w:rFonts w:asciiTheme="minorHAnsi" w:hAnsiTheme="minorHAnsi" w:cstheme="minorHAnsi"/>
          <w:sz w:val="22"/>
          <w:szCs w:val="22"/>
        </w:rPr>
      </w:pPr>
    </w:p>
    <w:sectPr w:rsidR="00035938" w:rsidRPr="00A654E4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787A0" w14:textId="77777777" w:rsidR="004704F0" w:rsidRDefault="004704F0">
      <w:r>
        <w:separator/>
      </w:r>
    </w:p>
  </w:endnote>
  <w:endnote w:type="continuationSeparator" w:id="0">
    <w:p w14:paraId="69550872" w14:textId="77777777" w:rsidR="004704F0" w:rsidRDefault="00470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7ED1F" w14:textId="77777777" w:rsidR="001752B9" w:rsidRDefault="003F2FE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4098B4" w14:textId="77777777" w:rsidR="001752B9" w:rsidRDefault="004704F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07A69" w14:textId="74C9C8E4" w:rsidR="001752B9" w:rsidRDefault="003F2FE3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0C51">
      <w:rPr>
        <w:rStyle w:val="PageNumber"/>
        <w:noProof/>
      </w:rPr>
      <w:t>5</w:t>
    </w:r>
    <w:r>
      <w:rPr>
        <w:rStyle w:val="PageNumber"/>
      </w:rPr>
      <w:fldChar w:fldCharType="end"/>
    </w:r>
  </w:p>
  <w:p w14:paraId="3C1505BB" w14:textId="77777777" w:rsidR="001752B9" w:rsidRDefault="004704F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499538" w14:textId="77777777" w:rsidR="004704F0" w:rsidRDefault="004704F0">
      <w:r>
        <w:separator/>
      </w:r>
    </w:p>
  </w:footnote>
  <w:footnote w:type="continuationSeparator" w:id="0">
    <w:p w14:paraId="23AFE350" w14:textId="77777777" w:rsidR="004704F0" w:rsidRDefault="00470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7EB"/>
    <w:multiLevelType w:val="hybridMultilevel"/>
    <w:tmpl w:val="C952CB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81381"/>
    <w:multiLevelType w:val="hybridMultilevel"/>
    <w:tmpl w:val="F37ED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2DD0"/>
    <w:multiLevelType w:val="hybridMultilevel"/>
    <w:tmpl w:val="9454D3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03942"/>
    <w:multiLevelType w:val="hybridMultilevel"/>
    <w:tmpl w:val="8E6AE4A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82EDB"/>
    <w:multiLevelType w:val="hybridMultilevel"/>
    <w:tmpl w:val="8DC05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07AC"/>
    <w:multiLevelType w:val="hybridMultilevel"/>
    <w:tmpl w:val="E5A6925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D75669"/>
    <w:multiLevelType w:val="hybridMultilevel"/>
    <w:tmpl w:val="6BECDD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70B6B"/>
    <w:multiLevelType w:val="hybridMultilevel"/>
    <w:tmpl w:val="9608226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F7C83"/>
    <w:multiLevelType w:val="hybridMultilevel"/>
    <w:tmpl w:val="F32A58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67" w:hanging="72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BF01ECD"/>
    <w:multiLevelType w:val="hybridMultilevel"/>
    <w:tmpl w:val="9112D7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B6E84"/>
    <w:multiLevelType w:val="hybridMultilevel"/>
    <w:tmpl w:val="FBF2F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E116FC"/>
    <w:multiLevelType w:val="hybridMultilevel"/>
    <w:tmpl w:val="C3BA3E8A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4B4B794">
      <w:numFmt w:val="bullet"/>
      <w:lvlText w:val="•"/>
      <w:lvlJc w:val="left"/>
      <w:pPr>
        <w:ind w:left="2367" w:hanging="720"/>
      </w:pPr>
      <w:rPr>
        <w:rFonts w:ascii="Garamond" w:eastAsia="Calibri" w:hAnsi="Garamond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E0A1F4A"/>
    <w:multiLevelType w:val="hybridMultilevel"/>
    <w:tmpl w:val="2160BD6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67" w:hanging="72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B54B1F"/>
    <w:multiLevelType w:val="hybridMultilevel"/>
    <w:tmpl w:val="2CD68BE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8058E"/>
    <w:multiLevelType w:val="hybridMultilevel"/>
    <w:tmpl w:val="93547AD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F16E8"/>
    <w:multiLevelType w:val="hybridMultilevel"/>
    <w:tmpl w:val="D194CC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C4E19"/>
    <w:multiLevelType w:val="hybridMultilevel"/>
    <w:tmpl w:val="A25AE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042F8E"/>
    <w:multiLevelType w:val="hybridMultilevel"/>
    <w:tmpl w:val="229AF43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0792A"/>
    <w:multiLevelType w:val="hybridMultilevel"/>
    <w:tmpl w:val="3A1EF00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E5043"/>
    <w:multiLevelType w:val="hybridMultilevel"/>
    <w:tmpl w:val="852C6F88"/>
    <w:lvl w:ilvl="0" w:tplc="A29255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D4AC592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E3513"/>
    <w:multiLevelType w:val="hybridMultilevel"/>
    <w:tmpl w:val="8C0047F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B1601"/>
    <w:multiLevelType w:val="hybridMultilevel"/>
    <w:tmpl w:val="8CF87E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431965"/>
    <w:multiLevelType w:val="hybridMultilevel"/>
    <w:tmpl w:val="6C348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605E1"/>
    <w:multiLevelType w:val="hybridMultilevel"/>
    <w:tmpl w:val="509E22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0"/>
  </w:num>
  <w:num w:numId="4">
    <w:abstractNumId w:val="22"/>
  </w:num>
  <w:num w:numId="5">
    <w:abstractNumId w:val="9"/>
  </w:num>
  <w:num w:numId="6">
    <w:abstractNumId w:val="17"/>
  </w:num>
  <w:num w:numId="7">
    <w:abstractNumId w:val="0"/>
  </w:num>
  <w:num w:numId="8">
    <w:abstractNumId w:val="20"/>
  </w:num>
  <w:num w:numId="9">
    <w:abstractNumId w:val="6"/>
  </w:num>
  <w:num w:numId="10">
    <w:abstractNumId w:val="5"/>
  </w:num>
  <w:num w:numId="11">
    <w:abstractNumId w:val="18"/>
  </w:num>
  <w:num w:numId="12">
    <w:abstractNumId w:val="11"/>
  </w:num>
  <w:num w:numId="13">
    <w:abstractNumId w:val="8"/>
  </w:num>
  <w:num w:numId="14">
    <w:abstractNumId w:val="12"/>
  </w:num>
  <w:num w:numId="15">
    <w:abstractNumId w:val="23"/>
  </w:num>
  <w:num w:numId="16">
    <w:abstractNumId w:val="13"/>
  </w:num>
  <w:num w:numId="17">
    <w:abstractNumId w:val="16"/>
  </w:num>
  <w:num w:numId="18">
    <w:abstractNumId w:val="4"/>
  </w:num>
  <w:num w:numId="19">
    <w:abstractNumId w:val="21"/>
  </w:num>
  <w:num w:numId="20">
    <w:abstractNumId w:val="1"/>
  </w:num>
  <w:num w:numId="21">
    <w:abstractNumId w:val="3"/>
  </w:num>
  <w:num w:numId="22">
    <w:abstractNumId w:val="14"/>
  </w:num>
  <w:num w:numId="23">
    <w:abstractNumId w:val="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52"/>
    <w:rsid w:val="00035938"/>
    <w:rsid w:val="000A5837"/>
    <w:rsid w:val="000C00F6"/>
    <w:rsid w:val="000D2AF8"/>
    <w:rsid w:val="000E22FB"/>
    <w:rsid w:val="00136F18"/>
    <w:rsid w:val="001B0C51"/>
    <w:rsid w:val="00255428"/>
    <w:rsid w:val="00290829"/>
    <w:rsid w:val="003300DB"/>
    <w:rsid w:val="003A7837"/>
    <w:rsid w:val="003F2FE3"/>
    <w:rsid w:val="00423A20"/>
    <w:rsid w:val="004704F0"/>
    <w:rsid w:val="00500237"/>
    <w:rsid w:val="0052206A"/>
    <w:rsid w:val="0055616E"/>
    <w:rsid w:val="006762F7"/>
    <w:rsid w:val="006903C7"/>
    <w:rsid w:val="006B21C1"/>
    <w:rsid w:val="006B6626"/>
    <w:rsid w:val="006C3413"/>
    <w:rsid w:val="007269E6"/>
    <w:rsid w:val="007312E8"/>
    <w:rsid w:val="007D49F8"/>
    <w:rsid w:val="008245C8"/>
    <w:rsid w:val="008F140C"/>
    <w:rsid w:val="009460C9"/>
    <w:rsid w:val="009552AC"/>
    <w:rsid w:val="009F5B85"/>
    <w:rsid w:val="00A2588D"/>
    <w:rsid w:val="00A654E4"/>
    <w:rsid w:val="00B412DE"/>
    <w:rsid w:val="00B66615"/>
    <w:rsid w:val="00BF30DE"/>
    <w:rsid w:val="00C1626B"/>
    <w:rsid w:val="00C86837"/>
    <w:rsid w:val="00D8634D"/>
    <w:rsid w:val="00DA068F"/>
    <w:rsid w:val="00E3016B"/>
    <w:rsid w:val="00E64552"/>
    <w:rsid w:val="00ED158C"/>
    <w:rsid w:val="00F0572C"/>
    <w:rsid w:val="00F456D9"/>
    <w:rsid w:val="00FC3AC6"/>
    <w:rsid w:val="00FD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4BE03"/>
  <w15:chartTrackingRefBased/>
  <w15:docId w15:val="{42BBF877-3393-4EC1-9A4A-CD59D9D07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45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6455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64552"/>
  </w:style>
  <w:style w:type="paragraph" w:styleId="NoSpacing">
    <w:name w:val="No Spacing"/>
    <w:uiPriority w:val="1"/>
    <w:qFormat/>
    <w:rsid w:val="00E6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E6455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A7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8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83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83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78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7837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6C3413"/>
    <w:pPr>
      <w:ind w:left="720"/>
      <w:contextualSpacing/>
      <w:jc w:val="both"/>
    </w:pPr>
    <w:rPr>
      <w:rFonts w:ascii="Calibri" w:hAnsi="Calibri" w:cs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AA17-555A-4F41-B0DE-6E69954DB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MD</cp:lastModifiedBy>
  <cp:revision>3</cp:revision>
  <dcterms:created xsi:type="dcterms:W3CDTF">2026-02-25T08:01:00Z</dcterms:created>
  <dcterms:modified xsi:type="dcterms:W3CDTF">2026-02-25T08:01:00Z</dcterms:modified>
</cp:coreProperties>
</file>