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823E2" w14:textId="77777777" w:rsidR="008E79E0" w:rsidRPr="00744944" w:rsidRDefault="008E79E0" w:rsidP="008E79E0">
      <w:pPr>
        <w:pStyle w:val="Heading3"/>
        <w:ind w:left="2" w:firstLine="0"/>
        <w:rPr>
          <w:color w:val="auto"/>
          <w:sz w:val="22"/>
        </w:rPr>
      </w:pPr>
      <w:r w:rsidRPr="00473A21">
        <w:rPr>
          <w:sz w:val="22"/>
          <w:lang w:val="sq-AL"/>
        </w:rPr>
        <w:t xml:space="preserve">. </w:t>
      </w:r>
      <w:r w:rsidRPr="00744944">
        <w:rPr>
          <w:color w:val="auto"/>
          <w:sz w:val="22"/>
          <w:lang w:val="sq-AL"/>
        </w:rPr>
        <w:t>Titulli i lëndës</w:t>
      </w:r>
      <w:r w:rsidRPr="00744944">
        <w:rPr>
          <w:color w:val="auto"/>
          <w:sz w:val="22"/>
        </w:rPr>
        <w:t>:</w:t>
      </w:r>
      <w:r w:rsidRPr="00744944">
        <w:rPr>
          <w:rStyle w:val="FooterChar"/>
          <w:color w:val="auto"/>
          <w:sz w:val="22"/>
          <w:lang w:val="sq-AL"/>
        </w:rPr>
        <w:t xml:space="preserve"> </w:t>
      </w:r>
      <w:r w:rsidRPr="00744944">
        <w:rPr>
          <w:rStyle w:val="SubtleReference"/>
          <w:color w:val="auto"/>
          <w:sz w:val="22"/>
          <w:lang w:val="sq-AL"/>
        </w:rPr>
        <w:t>AUTOR I ZGJEDHUR 1</w:t>
      </w:r>
    </w:p>
    <w:tbl>
      <w:tblPr>
        <w:tblStyle w:val="TableGrid"/>
        <w:tblW w:w="9640" w:type="dxa"/>
        <w:tblInd w:w="-294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1844"/>
        <w:gridCol w:w="7796"/>
      </w:tblGrid>
      <w:tr w:rsidR="008E79E0" w:rsidRPr="00473A21" w14:paraId="12C68DB9" w14:textId="77777777" w:rsidTr="00BE1AD1">
        <w:trPr>
          <w:trHeight w:val="340"/>
        </w:trPr>
        <w:tc>
          <w:tcPr>
            <w:tcW w:w="184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B598D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Informatat themelore për lëndën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AB4BD14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E79E0" w:rsidRPr="00624344" w14:paraId="49286D8E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37A36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Njësia akademike: 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85C01F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Fakulteti i Filologjisë- Gjuhë dhe Letërsi frënge</w:t>
            </w:r>
          </w:p>
        </w:tc>
      </w:tr>
      <w:tr w:rsidR="008E79E0" w:rsidRPr="00473A21" w14:paraId="5AC96EB6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FFCA0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Titulli i lëndës: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F59E5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Autor i zgjedhur 1</w:t>
            </w:r>
          </w:p>
        </w:tc>
      </w:tr>
      <w:tr w:rsidR="008E79E0" w:rsidRPr="00473A21" w14:paraId="632FF487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A931E7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Niveli: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EC5971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MSc</w:t>
            </w:r>
          </w:p>
        </w:tc>
      </w:tr>
      <w:tr w:rsidR="008E79E0" w:rsidRPr="00473A21" w14:paraId="1749796D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C4CCE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Statusi i lëndës: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51C3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zgjedhor</w:t>
            </w:r>
          </w:p>
        </w:tc>
      </w:tr>
      <w:tr w:rsidR="008E79E0" w:rsidRPr="00473A21" w14:paraId="3967249C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C40A9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 studimeve: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D6FAF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I, Semestri i parë</w:t>
            </w:r>
          </w:p>
        </w:tc>
      </w:tr>
      <w:tr w:rsidR="008E79E0" w:rsidRPr="00473A21" w14:paraId="5B50162C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F43BB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Numri i orëve në javë: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A349B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FF0000"/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2+2</w:t>
            </w:r>
          </w:p>
        </w:tc>
      </w:tr>
      <w:tr w:rsidR="008E79E0" w:rsidRPr="00473A21" w14:paraId="40F73EC4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6F794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Kreditë ECTS: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8BF30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FF0000"/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5 ECTS</w:t>
            </w:r>
          </w:p>
        </w:tc>
      </w:tr>
      <w:tr w:rsidR="008E79E0" w:rsidRPr="00473A21" w14:paraId="33645D8F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2FBC4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Koha / Vendi: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567F7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Klasa 17 |Sipas orarit</w:t>
            </w:r>
          </w:p>
        </w:tc>
      </w:tr>
      <w:tr w:rsidR="008E79E0" w:rsidRPr="00473A21" w14:paraId="0F8E3AA7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65F75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Mësimdhënësi: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CD9306" w14:textId="0267BCF2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Prof. dr. </w:t>
            </w:r>
            <w:r w:rsidRPr="00473A21">
              <w:rPr>
                <w:sz w:val="22"/>
                <w:lang w:val="sq-AL"/>
              </w:rPr>
              <w:t>Valbona Gashi-Berisha</w:t>
            </w:r>
          </w:p>
        </w:tc>
      </w:tr>
      <w:tr w:rsidR="008E79E0" w:rsidRPr="00473A21" w14:paraId="77A8FBD2" w14:textId="77777777" w:rsidTr="00BE1AD1">
        <w:trPr>
          <w:trHeight w:val="340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6CDA9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Të dhënat kontaktuese: 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B4028" w14:textId="77777777" w:rsidR="008E79E0" w:rsidRPr="00473A21" w:rsidRDefault="00AF7D66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hyperlink r:id="rId5" w:history="1">
              <w:r w:rsidR="008E79E0" w:rsidRPr="00473A21">
                <w:rPr>
                  <w:rStyle w:val="Hyperlink"/>
                  <w:b/>
                  <w:sz w:val="22"/>
                  <w:lang w:val="sq-AL"/>
                </w:rPr>
                <w:t>Valbonagashi@uni-pr.edu</w:t>
              </w:r>
            </w:hyperlink>
          </w:p>
        </w:tc>
      </w:tr>
      <w:tr w:rsidR="008E79E0" w:rsidRPr="00624344" w14:paraId="69417012" w14:textId="77777777" w:rsidTr="00BE1AD1">
        <w:trPr>
          <w:trHeight w:val="2140"/>
        </w:trPr>
        <w:tc>
          <w:tcPr>
            <w:tcW w:w="18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D1977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bookmarkStart w:id="0" w:name="_Hlk160297175"/>
            <w:r w:rsidRPr="00473A21">
              <w:rPr>
                <w:sz w:val="22"/>
                <w:lang w:val="sq-AL"/>
              </w:rPr>
              <w:t>Përshkrimi i lëndës: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E9D818" w14:textId="3582D240" w:rsidR="00FF05CE" w:rsidRPr="00C96A62" w:rsidRDefault="00FF05CE" w:rsidP="00FF05CE">
            <w:pPr>
              <w:jc w:val="both"/>
              <w:rPr>
                <w:color w:val="FF0000"/>
                <w:sz w:val="22"/>
                <w:lang w:val="sq-AL"/>
              </w:rPr>
            </w:pPr>
            <w:bookmarkStart w:id="1" w:name="_Hlk160300768"/>
            <w:r w:rsidRPr="00C96A62">
              <w:rPr>
                <w:color w:val="FF0000"/>
                <w:sz w:val="22"/>
                <w:lang w:val="sq-AL"/>
              </w:rPr>
              <w:t>Kjo lëndë ofron një analizë të thellë të veprave të Vi</w:t>
            </w:r>
            <w:r w:rsidR="00624344">
              <w:rPr>
                <w:color w:val="FF0000"/>
                <w:sz w:val="22"/>
                <w:lang w:val="sq-AL"/>
              </w:rPr>
              <w:t>k</w:t>
            </w:r>
            <w:r w:rsidRPr="00C96A62">
              <w:rPr>
                <w:color w:val="FF0000"/>
                <w:sz w:val="22"/>
                <w:lang w:val="sq-AL"/>
              </w:rPr>
              <w:t>tor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Pr="00C96A62">
              <w:rPr>
                <w:color w:val="FF0000"/>
                <w:sz w:val="22"/>
                <w:lang w:val="sq-AL"/>
              </w:rPr>
              <w:t>go, një nga shkrimtarët më të njohur të letërsisë franceze. Duke e shqyrtuar gjithë spektrin e veprave të tij, studentët do të fitojnë njohuri të zgjeruara mbi krijimtarinë e tij, si dhe do të kuptojnë kontekstin historik dhe shoqëror në të cilin ka shkruar Hugo.</w:t>
            </w:r>
          </w:p>
          <w:p w14:paraId="3594D700" w14:textId="7C66C5E2" w:rsidR="00FF05CE" w:rsidRPr="00C96A62" w:rsidRDefault="00FF05CE" w:rsidP="00FF05CE">
            <w:pPr>
              <w:jc w:val="both"/>
              <w:rPr>
                <w:color w:val="FF0000"/>
                <w:sz w:val="22"/>
                <w:lang w:val="sq-AL"/>
              </w:rPr>
            </w:pPr>
            <w:r w:rsidRPr="00C96A62">
              <w:rPr>
                <w:color w:val="FF0000"/>
                <w:sz w:val="22"/>
                <w:lang w:val="sq-AL"/>
              </w:rPr>
              <w:t>Nëpërmjet analizës së veprave të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Pr="00C96A62">
              <w:rPr>
                <w:color w:val="FF0000"/>
                <w:sz w:val="22"/>
                <w:lang w:val="sq-AL"/>
              </w:rPr>
              <w:t>go</w:t>
            </w:r>
            <w:r w:rsidR="00624344">
              <w:rPr>
                <w:color w:val="FF0000"/>
                <w:sz w:val="22"/>
                <w:lang w:val="sq-AL"/>
              </w:rPr>
              <w:t>-</w:t>
            </w:r>
            <w:r w:rsidRPr="00C96A62">
              <w:rPr>
                <w:color w:val="FF0000"/>
                <w:sz w:val="22"/>
                <w:lang w:val="sq-AL"/>
              </w:rPr>
              <w:t>së, kursi ofron një udhëtim nëpër periudhën e Revolucionit Francez të vitit 1789 dhe pasojat e tij në shoqërinë dhe kulturën franceze. Kjo përfshin shqyrtimin e ngjarjeve historike, figurave të rëndësishme dhe transformimeve shoqërore që ndikuan në krijimtarinë e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Pr="00C96A62">
              <w:rPr>
                <w:color w:val="FF0000"/>
                <w:sz w:val="22"/>
                <w:lang w:val="sq-AL"/>
              </w:rPr>
              <w:t>go-së dhe kontekstin e tij krijues.</w:t>
            </w:r>
          </w:p>
          <w:p w14:paraId="34B12D43" w14:textId="25D721A3" w:rsidR="00FF05CE" w:rsidRPr="00C96A62" w:rsidRDefault="00FF05CE" w:rsidP="00FF05CE">
            <w:pPr>
              <w:jc w:val="both"/>
              <w:rPr>
                <w:color w:val="FF0000"/>
                <w:sz w:val="22"/>
                <w:lang w:val="sq-AL"/>
              </w:rPr>
            </w:pPr>
            <w:r w:rsidRPr="00C96A62">
              <w:rPr>
                <w:color w:val="FF0000"/>
                <w:sz w:val="22"/>
                <w:lang w:val="sq-AL"/>
              </w:rPr>
              <w:t>Përveç kësaj, kursi gjithashtu ka për qëllim të zbulojë dhe të shpjegojë tendencat kulturore dhe shoqërore që ende ndikojnë në Francë sot. Nëpërmjet analizës së veprave të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Pr="00C96A62">
              <w:rPr>
                <w:color w:val="FF0000"/>
                <w:sz w:val="22"/>
                <w:lang w:val="sq-AL"/>
              </w:rPr>
              <w:t>go-së dhe kontekstit historik dhe shoqëror të kohës së tij, studentët do të marrin një përmbledhje të thellë të kulturës dhe identitetit francez.</w:t>
            </w:r>
          </w:p>
          <w:p w14:paraId="4BDCA8DA" w14:textId="2C7F5741" w:rsidR="00FF05CE" w:rsidRPr="00C96A62" w:rsidRDefault="00FF05CE" w:rsidP="00FF05CE">
            <w:pPr>
              <w:jc w:val="both"/>
              <w:rPr>
                <w:color w:val="FF0000"/>
                <w:sz w:val="22"/>
                <w:lang w:val="sq-AL"/>
              </w:rPr>
            </w:pPr>
            <w:r w:rsidRPr="00C96A62">
              <w:rPr>
                <w:color w:val="FF0000"/>
                <w:sz w:val="22"/>
                <w:lang w:val="sq-AL"/>
              </w:rPr>
              <w:t>Në përgjithësi, kjo lëndë ofron një udhëtim të pasur dhe të detajuar në krijimtarinë e Vi</w:t>
            </w:r>
            <w:r w:rsidR="00624344">
              <w:rPr>
                <w:color w:val="FF0000"/>
                <w:sz w:val="22"/>
                <w:lang w:val="sq-AL"/>
              </w:rPr>
              <w:t>k</w:t>
            </w:r>
            <w:r w:rsidRPr="00C96A62">
              <w:rPr>
                <w:color w:val="FF0000"/>
                <w:sz w:val="22"/>
                <w:lang w:val="sq-AL"/>
              </w:rPr>
              <w:t>tor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Pr="00C96A62">
              <w:rPr>
                <w:color w:val="FF0000"/>
                <w:sz w:val="22"/>
                <w:lang w:val="sq-AL"/>
              </w:rPr>
              <w:t xml:space="preserve">go-së. Përmes analizës së veprave të tij, studentët do të zhvillojnë njohuri të thella mbi letërsinë franceze dhe historinë e Francës, duke iu dhënë një kuptim të thellë të ideve dhe influencave që formuan mënyrën e menduar dhe të shkruar të Hugo-së dhe shoqërisë franceze në përgjithësi. </w:t>
            </w:r>
          </w:p>
          <w:bookmarkEnd w:id="1"/>
          <w:p w14:paraId="0BAC3A33" w14:textId="6B469174" w:rsidR="008E79E0" w:rsidRPr="00473A21" w:rsidRDefault="008E79E0" w:rsidP="00FF05CE">
            <w:pPr>
              <w:jc w:val="both"/>
              <w:rPr>
                <w:sz w:val="22"/>
                <w:lang w:val="sq-AL" w:eastAsia="fr-CH"/>
              </w:rPr>
            </w:pPr>
          </w:p>
        </w:tc>
      </w:tr>
      <w:bookmarkEnd w:id="0"/>
      <w:tr w:rsidR="008E79E0" w:rsidRPr="00624344" w14:paraId="51E66567" w14:textId="77777777" w:rsidTr="00BE1AD1">
        <w:trPr>
          <w:trHeight w:val="2024"/>
        </w:trPr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E754F9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lastRenderedPageBreak/>
              <w:t>Qëllimet e lëndës: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ECAB56B" w14:textId="4383734E" w:rsidR="00C96A62" w:rsidRPr="00C96A62" w:rsidRDefault="00C96A62" w:rsidP="00C96A62">
            <w:pPr>
              <w:jc w:val="both"/>
              <w:rPr>
                <w:iCs/>
                <w:color w:val="FF0000"/>
                <w:sz w:val="22"/>
                <w:lang w:val="sq-AL"/>
              </w:rPr>
            </w:pPr>
            <w:bookmarkStart w:id="2" w:name="_Hlk160300832"/>
            <w:r w:rsidRPr="00C96A62">
              <w:rPr>
                <w:iCs/>
                <w:color w:val="FF0000"/>
                <w:sz w:val="22"/>
                <w:lang w:val="sq-AL"/>
              </w:rPr>
              <w:t>Qëllimi kryesor i kësaj lënde është të ofrojë studentëve një kuptim të thellë dhe të përshtatshëm të letërsisë së shekullit XIX, me fokus në veprat dhe krijimtarinë e Vi</w:t>
            </w:r>
            <w:r w:rsidR="00624344">
              <w:rPr>
                <w:iCs/>
                <w:color w:val="FF0000"/>
                <w:sz w:val="22"/>
                <w:lang w:val="sq-AL"/>
              </w:rPr>
              <w:t>k</w:t>
            </w:r>
            <w:r w:rsidRPr="00C96A62">
              <w:rPr>
                <w:iCs/>
                <w:color w:val="FF0000"/>
                <w:sz w:val="22"/>
                <w:lang w:val="sq-AL"/>
              </w:rPr>
              <w:t>tor H</w:t>
            </w:r>
            <w:r w:rsidR="00624344">
              <w:rPr>
                <w:iCs/>
                <w:color w:val="FF0000"/>
                <w:sz w:val="22"/>
                <w:lang w:val="sq-AL"/>
              </w:rPr>
              <w:t>y</w:t>
            </w:r>
            <w:r w:rsidRPr="00C96A62">
              <w:rPr>
                <w:iCs/>
                <w:color w:val="FF0000"/>
                <w:sz w:val="22"/>
                <w:lang w:val="sq-AL"/>
              </w:rPr>
              <w:t>go-s. Studentët do të zhvillojnë njohuri të thella mbi krijimtarinë e Vi</w:t>
            </w:r>
            <w:r w:rsidR="00624344">
              <w:rPr>
                <w:iCs/>
                <w:color w:val="FF0000"/>
                <w:sz w:val="22"/>
                <w:lang w:val="sq-AL"/>
              </w:rPr>
              <w:t>k</w:t>
            </w:r>
            <w:r w:rsidRPr="00C96A62">
              <w:rPr>
                <w:iCs/>
                <w:color w:val="FF0000"/>
                <w:sz w:val="22"/>
                <w:lang w:val="sq-AL"/>
              </w:rPr>
              <w:t>tor H</w:t>
            </w:r>
            <w:r w:rsidR="00624344">
              <w:rPr>
                <w:iCs/>
                <w:color w:val="FF0000"/>
                <w:sz w:val="22"/>
                <w:lang w:val="sq-AL"/>
              </w:rPr>
              <w:t>y</w:t>
            </w:r>
            <w:r w:rsidRPr="00C96A62">
              <w:rPr>
                <w:iCs/>
                <w:color w:val="FF0000"/>
                <w:sz w:val="22"/>
                <w:lang w:val="sq-AL"/>
              </w:rPr>
              <w:t>go-s, duke kuptuar thelbin e temave dhe stilin e tij. Kjo do t'i përgatisë ata për të analizuar dhe vlerësuar shkrimet e H</w:t>
            </w:r>
            <w:r w:rsidR="00624344">
              <w:rPr>
                <w:iCs/>
                <w:color w:val="FF0000"/>
                <w:sz w:val="22"/>
                <w:lang w:val="sq-AL"/>
              </w:rPr>
              <w:t>y</w:t>
            </w:r>
            <w:r w:rsidRPr="00C96A62">
              <w:rPr>
                <w:iCs/>
                <w:color w:val="FF0000"/>
                <w:sz w:val="22"/>
                <w:lang w:val="sq-AL"/>
              </w:rPr>
              <w:t>go-s në kontekstin më të gjerë të letërsisë së shekullit XIX dhe të përdorin aftësitë e tyre analitike për të kuptuar mendimet dhe emocionet që përcillen në veprat e tij.</w:t>
            </w:r>
          </w:p>
          <w:bookmarkEnd w:id="2"/>
          <w:p w14:paraId="619E9685" w14:textId="77777777" w:rsidR="00C96A62" w:rsidRPr="00C96A62" w:rsidRDefault="00C96A62" w:rsidP="00C96A62">
            <w:pPr>
              <w:pBdr>
                <w:bottom w:val="single" w:sz="6" w:space="1" w:color="auto"/>
              </w:pBd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vanish/>
                <w:color w:val="auto"/>
                <w:sz w:val="16"/>
                <w:szCs w:val="16"/>
                <w:lang w:val="sq-AL"/>
              </w:rPr>
            </w:pPr>
            <w:r w:rsidRPr="00C96A62">
              <w:rPr>
                <w:rFonts w:ascii="Arial" w:eastAsia="Times New Roman" w:hAnsi="Arial" w:cs="Arial"/>
                <w:vanish/>
                <w:color w:val="auto"/>
                <w:sz w:val="16"/>
                <w:szCs w:val="16"/>
                <w:lang w:val="sq-AL"/>
              </w:rPr>
              <w:t>Top of Form</w:t>
            </w:r>
          </w:p>
          <w:p w14:paraId="753D760A" w14:textId="6F625A61" w:rsidR="008E79E0" w:rsidRPr="00473A21" w:rsidRDefault="008E79E0" w:rsidP="00C96A62">
            <w:pPr>
              <w:ind w:left="0" w:firstLine="0"/>
              <w:jc w:val="both"/>
              <w:rPr>
                <w:sz w:val="22"/>
                <w:lang w:val="sq-AL"/>
              </w:rPr>
            </w:pPr>
          </w:p>
        </w:tc>
      </w:tr>
    </w:tbl>
    <w:p w14:paraId="0ECCFF5B" w14:textId="77777777" w:rsidR="008E79E0" w:rsidRPr="00473A21" w:rsidRDefault="008E79E0" w:rsidP="008E79E0">
      <w:pPr>
        <w:spacing w:after="0" w:line="259" w:lineRule="auto"/>
        <w:ind w:left="-718" w:right="11185" w:firstLine="0"/>
        <w:rPr>
          <w:sz w:val="22"/>
          <w:lang w:val="sq-AL"/>
        </w:rPr>
      </w:pPr>
    </w:p>
    <w:tbl>
      <w:tblPr>
        <w:tblStyle w:val="TableGrid"/>
        <w:tblW w:w="9640" w:type="dxa"/>
        <w:tblInd w:w="-294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827"/>
        <w:gridCol w:w="692"/>
        <w:gridCol w:w="1553"/>
        <w:gridCol w:w="1695"/>
        <w:gridCol w:w="1786"/>
        <w:gridCol w:w="2087"/>
      </w:tblGrid>
      <w:tr w:rsidR="008E79E0" w:rsidRPr="00624344" w14:paraId="005CFCAE" w14:textId="77777777" w:rsidTr="00BE1AD1">
        <w:trPr>
          <w:trHeight w:val="628"/>
        </w:trPr>
        <w:tc>
          <w:tcPr>
            <w:tcW w:w="182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6CFED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Rezultatet e pritshme të nxënies:</w:t>
            </w:r>
          </w:p>
        </w:tc>
        <w:tc>
          <w:tcPr>
            <w:tcW w:w="781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79E54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Pas përfundimit të këtij kursi studenti do të jetë në gjendje që të:</w:t>
            </w:r>
          </w:p>
        </w:tc>
      </w:tr>
      <w:tr w:rsidR="008E79E0" w:rsidRPr="00624344" w14:paraId="76FA3191" w14:textId="77777777" w:rsidTr="00BE1AD1">
        <w:trPr>
          <w:trHeight w:val="359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5661AD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DE1BF" w14:textId="0A2DB452" w:rsidR="008E79E0" w:rsidRPr="00D87991" w:rsidRDefault="008E79E0" w:rsidP="00BE1AD1">
            <w:pPr>
              <w:spacing w:after="0" w:line="240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bookmarkStart w:id="3" w:name="_Hlk160300858"/>
            <w:r w:rsidR="00C96A62" w:rsidRPr="00D87991">
              <w:rPr>
                <w:color w:val="FF0000"/>
                <w:sz w:val="22"/>
                <w:lang w:val="sq-AL"/>
              </w:rPr>
              <w:t>të identifikojë dhe të analizojë temat kryesore të veprave të Vi</w:t>
            </w:r>
            <w:r w:rsidR="00D87991" w:rsidRPr="00D87991">
              <w:rPr>
                <w:color w:val="FF0000"/>
                <w:sz w:val="22"/>
                <w:lang w:val="sq-AL"/>
              </w:rPr>
              <w:t>k</w:t>
            </w:r>
            <w:r w:rsidR="00C96A62" w:rsidRPr="00D87991">
              <w:rPr>
                <w:color w:val="FF0000"/>
                <w:sz w:val="22"/>
                <w:lang w:val="sq-AL"/>
              </w:rPr>
              <w:t>tor H</w:t>
            </w:r>
            <w:r w:rsidR="00D87991" w:rsidRPr="00D87991">
              <w:rPr>
                <w:color w:val="FF0000"/>
                <w:sz w:val="22"/>
                <w:lang w:val="sq-AL"/>
              </w:rPr>
              <w:t>y</w:t>
            </w:r>
            <w:r w:rsidR="00C96A62" w:rsidRPr="00D87991">
              <w:rPr>
                <w:color w:val="FF0000"/>
                <w:sz w:val="22"/>
                <w:lang w:val="sq-AL"/>
              </w:rPr>
              <w:t>gos</w:t>
            </w:r>
            <w:bookmarkEnd w:id="3"/>
            <w:r w:rsidR="00C96A62" w:rsidRPr="00D87991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E79E0" w:rsidRPr="00624344" w14:paraId="7E23C140" w14:textId="77777777" w:rsidTr="00BE1AD1">
        <w:trPr>
          <w:trHeight w:val="340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4C8CC8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  <w:bookmarkStart w:id="4" w:name="_Hlk160300891"/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C1DC0D" w14:textId="0870AA44" w:rsidR="008E79E0" w:rsidRPr="00D87991" w:rsidRDefault="008E79E0" w:rsidP="00BE1AD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r w:rsidR="00C96A62" w:rsidRPr="00D87991">
              <w:rPr>
                <w:color w:val="FF0000"/>
                <w:sz w:val="22"/>
                <w:lang w:val="sq-AL"/>
              </w:rPr>
              <w:t>të krahasojë stilin e shkrimit të H</w:t>
            </w:r>
            <w:r w:rsidR="00624344">
              <w:rPr>
                <w:color w:val="FF0000"/>
                <w:sz w:val="22"/>
                <w:lang w:val="sq-AL"/>
              </w:rPr>
              <w:t>y</w:t>
            </w:r>
            <w:r w:rsidR="00C96A62" w:rsidRPr="00D87991">
              <w:rPr>
                <w:color w:val="FF0000"/>
                <w:sz w:val="22"/>
                <w:lang w:val="sq-AL"/>
              </w:rPr>
              <w:t xml:space="preserve">go-s në prozë dhe në poezi. </w:t>
            </w:r>
          </w:p>
        </w:tc>
      </w:tr>
      <w:tr w:rsidR="008E79E0" w:rsidRPr="00624344" w14:paraId="125A6DAE" w14:textId="77777777" w:rsidTr="00BE1AD1">
        <w:trPr>
          <w:trHeight w:val="359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B9AEFC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  <w:bookmarkStart w:id="5" w:name="_Hlk160300912"/>
            <w:bookmarkEnd w:id="4"/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7AC167" w14:textId="543F7A2E" w:rsidR="008E79E0" w:rsidRPr="00D87991" w:rsidRDefault="008E79E0" w:rsidP="00BE1AD1">
            <w:pPr>
              <w:spacing w:after="0" w:line="240" w:lineRule="auto"/>
              <w:jc w:val="both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r w:rsidR="00C96A62" w:rsidRPr="00D87991">
              <w:rPr>
                <w:color w:val="FF0000"/>
                <w:sz w:val="22"/>
                <w:lang w:val="sq-AL"/>
              </w:rPr>
              <w:t>të vlerësojë ndikimin e kontekstit historik dhe shoqëror në krijimtarinë e Vi</w:t>
            </w:r>
            <w:r w:rsidR="00D87991" w:rsidRPr="00D87991">
              <w:rPr>
                <w:color w:val="FF0000"/>
                <w:sz w:val="22"/>
                <w:lang w:val="sq-AL"/>
              </w:rPr>
              <w:t>k</w:t>
            </w:r>
            <w:r w:rsidR="00C96A62" w:rsidRPr="00D87991">
              <w:rPr>
                <w:color w:val="FF0000"/>
                <w:sz w:val="22"/>
                <w:lang w:val="sq-AL"/>
              </w:rPr>
              <w:t>tor H</w:t>
            </w:r>
            <w:r w:rsidR="00D87991" w:rsidRPr="00D87991">
              <w:rPr>
                <w:color w:val="FF0000"/>
                <w:sz w:val="22"/>
                <w:lang w:val="sq-AL"/>
              </w:rPr>
              <w:t>y</w:t>
            </w:r>
            <w:r w:rsidR="00C96A62" w:rsidRPr="00D87991">
              <w:rPr>
                <w:color w:val="FF0000"/>
                <w:sz w:val="22"/>
                <w:lang w:val="sq-AL"/>
              </w:rPr>
              <w:t>gos</w:t>
            </w:r>
            <w:r w:rsidR="00D87991" w:rsidRPr="00D87991">
              <w:rPr>
                <w:color w:val="FF0000"/>
                <w:sz w:val="22"/>
                <w:lang w:val="sq-AL"/>
              </w:rPr>
              <w:t>.</w:t>
            </w:r>
          </w:p>
        </w:tc>
      </w:tr>
      <w:bookmarkEnd w:id="5"/>
      <w:tr w:rsidR="008E79E0" w:rsidRPr="00624344" w14:paraId="78BDCEF6" w14:textId="77777777" w:rsidTr="00D87991">
        <w:trPr>
          <w:trHeight w:val="341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22E56D9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C683DF" w14:textId="2591B6BF" w:rsidR="008E79E0" w:rsidRPr="00D87991" w:rsidRDefault="008E79E0" w:rsidP="00BE1AD1">
            <w:pPr>
              <w:spacing w:after="0" w:line="259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bookmarkStart w:id="6" w:name="_Hlk160300933"/>
            <w:r w:rsidR="00D87991" w:rsidRPr="00D87991">
              <w:rPr>
                <w:color w:val="FF0000"/>
                <w:sz w:val="22"/>
                <w:lang w:val="sq-AL"/>
              </w:rPr>
              <w:t>të përdorë argumente të forta për të mbështetur analizat e tyre mbi veprat e Hygos</w:t>
            </w:r>
            <w:bookmarkEnd w:id="6"/>
            <w:r w:rsidR="00D87991" w:rsidRPr="00D87991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E79E0" w:rsidRPr="00624344" w14:paraId="3B12B3B9" w14:textId="77777777" w:rsidTr="00BE1AD1">
        <w:trPr>
          <w:trHeight w:val="431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4B9A21D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8CF7FF" w14:textId="7F04DD7F" w:rsidR="008E79E0" w:rsidRPr="00D87991" w:rsidRDefault="00D87991" w:rsidP="00D87991">
            <w:pPr>
              <w:spacing w:after="0" w:line="259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>-</w:t>
            </w:r>
            <w:bookmarkStart w:id="7" w:name="_Hlk160300953"/>
            <w:r w:rsidRPr="00D87991">
              <w:rPr>
                <w:color w:val="FF0000"/>
                <w:sz w:val="22"/>
                <w:lang w:val="sq-AL"/>
              </w:rPr>
              <w:t>të shpjegojë rëndësinë dhe ndikimin e veprave të Hygos në letërsinë e shekullit XIX dhe më tej</w:t>
            </w:r>
            <w:bookmarkEnd w:id="7"/>
            <w:r w:rsidRPr="00D87991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E79E0" w:rsidRPr="00624344" w14:paraId="064900EC" w14:textId="77777777" w:rsidTr="00BE1AD1">
        <w:trPr>
          <w:trHeight w:val="395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785A1FD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  <w:bookmarkStart w:id="8" w:name="_Hlk160300970"/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A44DCA" w14:textId="77A40BB3" w:rsidR="008E79E0" w:rsidRPr="00D87991" w:rsidRDefault="008E79E0" w:rsidP="00D87991">
            <w:pPr>
              <w:spacing w:after="0" w:line="259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r w:rsidR="00D87991" w:rsidRPr="00D87991">
              <w:rPr>
                <w:color w:val="FF0000"/>
                <w:sz w:val="22"/>
                <w:lang w:val="sq-AL"/>
              </w:rPr>
              <w:t>të përdorë terminologjinë letrare të përshtatshme për të përshkruar dhe për të analizuar elementët kryesore të veprave të Hygos.</w:t>
            </w:r>
          </w:p>
        </w:tc>
      </w:tr>
      <w:bookmarkEnd w:id="8"/>
      <w:tr w:rsidR="008E79E0" w:rsidRPr="00624344" w14:paraId="31CCCDA7" w14:textId="77777777" w:rsidTr="00BE1AD1">
        <w:trPr>
          <w:trHeight w:val="628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9B51C9A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1702A1" w14:textId="5ED87A52" w:rsidR="008E79E0" w:rsidRPr="00D87991" w:rsidRDefault="008E79E0" w:rsidP="00D87991">
            <w:pPr>
              <w:spacing w:after="0" w:line="259" w:lineRule="auto"/>
              <w:rPr>
                <w:color w:val="FF0000"/>
                <w:sz w:val="22"/>
                <w:lang w:val="sq-AL"/>
              </w:rPr>
            </w:pPr>
            <w:r w:rsidRPr="00D87991">
              <w:rPr>
                <w:color w:val="FF0000"/>
                <w:sz w:val="22"/>
                <w:lang w:val="sq-AL"/>
              </w:rPr>
              <w:t xml:space="preserve">- </w:t>
            </w:r>
            <w:bookmarkStart w:id="9" w:name="_Hlk160300992"/>
            <w:r w:rsidR="00D87991" w:rsidRPr="00D87991">
              <w:rPr>
                <w:color w:val="FF0000"/>
                <w:sz w:val="22"/>
                <w:lang w:val="sq-AL"/>
              </w:rPr>
              <w:t>të formulojë pyetje kritike dhe analitike që sfidojnë njohuritë dhe kuptimin e tyre të letërsisë së shekullit XIX</w:t>
            </w:r>
            <w:bookmarkEnd w:id="9"/>
            <w:r w:rsidR="00D87991" w:rsidRPr="00624344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E79E0" w:rsidRPr="00624344" w14:paraId="1652AFAB" w14:textId="77777777" w:rsidTr="00BE1AD1">
        <w:trPr>
          <w:trHeight w:val="628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8FA608E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78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56D5BE" w14:textId="2CB8B5BF" w:rsidR="008E79E0" w:rsidRPr="00624344" w:rsidRDefault="00624344" w:rsidP="00624344">
            <w:pPr>
              <w:spacing w:after="0" w:line="259" w:lineRule="auto"/>
              <w:rPr>
                <w:color w:val="FF0000"/>
                <w:sz w:val="22"/>
                <w:lang w:val="sq-AL"/>
              </w:rPr>
            </w:pPr>
            <w:r>
              <w:rPr>
                <w:color w:val="FF0000"/>
                <w:sz w:val="22"/>
                <w:lang w:val="sq-AL"/>
              </w:rPr>
              <w:t>-</w:t>
            </w:r>
            <w:bookmarkStart w:id="10" w:name="_Hlk160301022"/>
            <w:r w:rsidR="00D87991" w:rsidRPr="00624344">
              <w:rPr>
                <w:color w:val="FF0000"/>
                <w:sz w:val="22"/>
                <w:lang w:val="sq-AL"/>
              </w:rPr>
              <w:t>të kuptojë dhe të shpjegojë ndryshimet stilistike dhe tematike midis veprave të ndryshme të Viktor Hygos</w:t>
            </w:r>
            <w:bookmarkEnd w:id="10"/>
            <w:r w:rsidR="00D87991" w:rsidRPr="00624344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E79E0" w:rsidRPr="00624344" w14:paraId="4F09C484" w14:textId="77777777" w:rsidTr="00BE1AD1">
        <w:trPr>
          <w:trHeight w:val="457"/>
        </w:trPr>
        <w:tc>
          <w:tcPr>
            <w:tcW w:w="964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D29FE32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Ngarkesaestudentit (duhet të jetë nëpërputhjeme rezultatete nxënies së studentit)</w:t>
            </w:r>
          </w:p>
        </w:tc>
      </w:tr>
      <w:tr w:rsidR="008E79E0" w:rsidRPr="00473A21" w14:paraId="22ED2536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C4DBA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Aktiviteti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4F2AD454" w14:textId="77777777" w:rsidR="008E79E0" w:rsidRPr="00473A21" w:rsidRDefault="008E79E0" w:rsidP="00BE1AD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ab/>
            </w:r>
            <w:r w:rsidRPr="00473A21">
              <w:rPr>
                <w:color w:val="auto"/>
                <w:sz w:val="22"/>
                <w:lang w:val="sq-AL"/>
              </w:rPr>
              <w:t>Orë</w:t>
            </w:r>
            <w:r w:rsidRPr="00473A21">
              <w:rPr>
                <w:color w:val="auto"/>
                <w:sz w:val="22"/>
              </w:rPr>
              <w:t xml:space="preserve"> </w:t>
            </w:r>
            <w:r w:rsidRPr="00473A21">
              <w:rPr>
                <w:color w:val="auto"/>
                <w:sz w:val="22"/>
                <w:lang w:val="sq-AL"/>
              </w:rPr>
              <w:t>mësimore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208BBC" w14:textId="77777777" w:rsidR="008E79E0" w:rsidRPr="00473A21" w:rsidRDefault="008E79E0" w:rsidP="00BE1AD1">
            <w:pPr>
              <w:tabs>
                <w:tab w:val="center" w:pos="696"/>
                <w:tab w:val="center" w:pos="2303"/>
              </w:tabs>
              <w:spacing w:after="0" w:line="259" w:lineRule="auto"/>
              <w:ind w:left="22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  <w:lang w:val="sq-AL"/>
              </w:rPr>
              <w:t>Ditë</w:t>
            </w:r>
            <w:r w:rsidRPr="00473A21">
              <w:rPr>
                <w:color w:val="auto"/>
                <w:sz w:val="22"/>
              </w:rPr>
              <w:t>/</w:t>
            </w:r>
            <w:r w:rsidRPr="00473A21">
              <w:rPr>
                <w:color w:val="auto"/>
                <w:sz w:val="22"/>
                <w:lang w:val="sq-AL"/>
              </w:rPr>
              <w:t>Javë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09D7062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  <w:lang w:val="sq-AL"/>
              </w:rPr>
              <w:t>Gjithsej</w:t>
            </w:r>
          </w:p>
        </w:tc>
      </w:tr>
      <w:tr w:rsidR="008E79E0" w:rsidRPr="00473A21" w14:paraId="3762F7C5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B958A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Ligjëratat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78A651F" w14:textId="77777777" w:rsidR="008E79E0" w:rsidRPr="00473A21" w:rsidRDefault="008E79E0" w:rsidP="00BE1AD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ab/>
            </w:r>
            <w:r w:rsidRPr="00473A21">
              <w:rPr>
                <w:sz w:val="22"/>
              </w:rPr>
              <w:t>2 (90min)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560C24" w14:textId="77777777" w:rsidR="008E79E0" w:rsidRPr="00473A21" w:rsidRDefault="008E79E0" w:rsidP="00BE1AD1">
            <w:pPr>
              <w:tabs>
                <w:tab w:val="center" w:pos="61"/>
                <w:tab w:val="center" w:pos="1974"/>
              </w:tabs>
              <w:spacing w:after="0" w:line="259" w:lineRule="auto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1C6532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22.5</w:t>
            </w:r>
          </w:p>
        </w:tc>
      </w:tr>
      <w:tr w:rsidR="008E79E0" w:rsidRPr="00473A21" w14:paraId="20BC5458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C81AC7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Teori/Punë në laborator/Ushtrime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19B838CF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sz w:val="22"/>
              </w:rPr>
              <w:t>2 (90min)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B68220F" w14:textId="77777777" w:rsidR="008E79E0" w:rsidRPr="00473A21" w:rsidRDefault="008E79E0" w:rsidP="00BE1AD1">
            <w:pPr>
              <w:spacing w:after="160" w:line="259" w:lineRule="auto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EF7083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22.5</w:t>
            </w:r>
          </w:p>
        </w:tc>
      </w:tr>
      <w:tr w:rsidR="008E79E0" w:rsidRPr="00473A21" w14:paraId="3EF47C20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FC6618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Përgatitje për test intermediar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34E5946A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67B7D59" w14:textId="77777777" w:rsidR="008E79E0" w:rsidRPr="00473A21" w:rsidRDefault="008E79E0" w:rsidP="00BE1AD1">
            <w:pPr>
              <w:spacing w:after="160" w:line="259" w:lineRule="auto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8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84AD2E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8</w:t>
            </w:r>
          </w:p>
        </w:tc>
      </w:tr>
      <w:tr w:rsidR="008E79E0" w:rsidRPr="00473A21" w14:paraId="11BA3DCA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4ABD3A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Konsultime me mësimdhënësin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024A3F9A" w14:textId="77777777" w:rsidR="008E79E0" w:rsidRPr="00473A21" w:rsidRDefault="008E79E0" w:rsidP="00BE1AD1">
            <w:pPr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 xml:space="preserve">10 </w:t>
            </w:r>
            <w:proofErr w:type="spellStart"/>
            <w:r w:rsidRPr="00473A21">
              <w:rPr>
                <w:color w:val="auto"/>
                <w:sz w:val="22"/>
              </w:rPr>
              <w:t>mn</w:t>
            </w:r>
            <w:proofErr w:type="spellEnd"/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76AF23" w14:textId="77777777" w:rsidR="008E79E0" w:rsidRPr="00473A21" w:rsidRDefault="008E79E0" w:rsidP="00BE1AD1">
            <w:pPr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29DAC2" w14:textId="77777777" w:rsidR="008E79E0" w:rsidRPr="00473A21" w:rsidRDefault="008E79E0" w:rsidP="00BE1AD1">
            <w:pPr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2.5</w:t>
            </w:r>
          </w:p>
        </w:tc>
      </w:tr>
      <w:tr w:rsidR="008E79E0" w:rsidRPr="00473A21" w14:paraId="68C146B2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E124C8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Testi, punimi i seminarit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484CE18D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8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75B058" w14:textId="77777777" w:rsidR="008E79E0" w:rsidRPr="00473A21" w:rsidRDefault="008E79E0" w:rsidP="00BE1AD1">
            <w:pPr>
              <w:spacing w:after="160" w:line="259" w:lineRule="auto"/>
              <w:ind w:left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FAFCCE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8</w:t>
            </w:r>
          </w:p>
        </w:tc>
      </w:tr>
      <w:tr w:rsidR="008E79E0" w:rsidRPr="00473A21" w14:paraId="0416A3CB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C20F07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Detyrë shtëpie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04C75CC2" w14:textId="77777777" w:rsidR="008E79E0" w:rsidRPr="00473A21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ab/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3E3074" w14:textId="77777777" w:rsidR="008E79E0" w:rsidRPr="00473A21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D5B1E6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</w:tr>
      <w:tr w:rsidR="008E79E0" w:rsidRPr="00473A21" w14:paraId="5B4DFFA9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96510D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Mësimi individual (në bibliotekë apo në shtëpi)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8B0434D" w14:textId="77777777" w:rsidR="008E79E0" w:rsidRPr="00473A21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  <w:lang w:val="fr-FR"/>
              </w:rPr>
              <w:tab/>
            </w:r>
            <w:r w:rsidRPr="00473A21">
              <w:rPr>
                <w:color w:val="auto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12CA3F" w14:textId="77777777" w:rsidR="008E79E0" w:rsidRPr="00473A21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E5B497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30</w:t>
            </w:r>
          </w:p>
        </w:tc>
      </w:tr>
      <w:tr w:rsidR="008E79E0" w:rsidRPr="00473A21" w14:paraId="12BCD6A1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55EB6E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lastRenderedPageBreak/>
              <w:t xml:space="preserve">Përgatitja për provimin final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D35D086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8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8D7E4C" w14:textId="77777777" w:rsidR="008E79E0" w:rsidRPr="00473A21" w:rsidRDefault="008E79E0" w:rsidP="00BE1AD1">
            <w:pPr>
              <w:spacing w:after="160" w:line="259" w:lineRule="auto"/>
              <w:ind w:left="40" w:firstLine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32E660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16</w:t>
            </w:r>
          </w:p>
        </w:tc>
      </w:tr>
      <w:tr w:rsidR="008E79E0" w:rsidRPr="00473A21" w14:paraId="11E7928D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82AB96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Koha e vlerësimit (testi, kuizi, provimi final)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3CFD962C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76F96A" w14:textId="77777777" w:rsidR="008E79E0" w:rsidRPr="00473A21" w:rsidRDefault="008E79E0" w:rsidP="00BE1AD1">
            <w:pPr>
              <w:spacing w:after="160" w:line="259" w:lineRule="auto"/>
              <w:ind w:left="88" w:firstLine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4B32C5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2</w:t>
            </w:r>
          </w:p>
        </w:tc>
      </w:tr>
      <w:tr w:rsidR="008E79E0" w:rsidRPr="00473A21" w14:paraId="3553B6A2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EDDCAC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Projektet, prezantimet, etj.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F37AE30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226372" w14:textId="77777777" w:rsidR="008E79E0" w:rsidRPr="00473A21" w:rsidRDefault="008E79E0" w:rsidP="00BE1AD1">
            <w:pPr>
              <w:spacing w:after="160" w:line="259" w:lineRule="auto"/>
              <w:ind w:left="88" w:firstLine="0"/>
              <w:jc w:val="both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4DD792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  <w:r w:rsidRPr="00473A21">
              <w:rPr>
                <w:color w:val="auto"/>
                <w:sz w:val="22"/>
              </w:rPr>
              <w:t>1</w:t>
            </w:r>
          </w:p>
        </w:tc>
      </w:tr>
      <w:tr w:rsidR="008E79E0" w:rsidRPr="00473A21" w14:paraId="5E681630" w14:textId="77777777" w:rsidTr="00BE1AD1">
        <w:trPr>
          <w:trHeight w:val="340"/>
        </w:trPr>
        <w:tc>
          <w:tcPr>
            <w:tcW w:w="4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924056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sz w:val="22"/>
              </w:rPr>
            </w:pPr>
            <w:r w:rsidRPr="00473A21">
              <w:rPr>
                <w:sz w:val="22"/>
              </w:rPr>
              <w:t>Total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70BB1B20" w14:textId="77777777" w:rsidR="008E79E0" w:rsidRPr="00473A21" w:rsidRDefault="008E79E0" w:rsidP="00BE1AD1">
            <w:pPr>
              <w:rPr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0C8C71" w14:textId="77777777" w:rsidR="008E79E0" w:rsidRPr="00473A21" w:rsidRDefault="008E79E0" w:rsidP="00BE1AD1">
            <w:pPr>
              <w:rPr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D74A197" w14:textId="77777777" w:rsidR="008E79E0" w:rsidRPr="00473A21" w:rsidRDefault="008E79E0" w:rsidP="00BE1AD1">
            <w:pPr>
              <w:spacing w:after="0" w:line="259" w:lineRule="auto"/>
              <w:ind w:left="1" w:firstLine="0"/>
              <w:rPr>
                <w:color w:val="auto"/>
                <w:sz w:val="22"/>
              </w:rPr>
            </w:pPr>
            <w:r w:rsidRPr="00473A21">
              <w:rPr>
                <w:rFonts w:eastAsia="Times New Roman"/>
                <w:sz w:val="22"/>
              </w:rPr>
              <w:t>127.5/25=5ECTS</w:t>
            </w:r>
          </w:p>
        </w:tc>
      </w:tr>
      <w:tr w:rsidR="008E79E0" w:rsidRPr="00624344" w14:paraId="25C1A49B" w14:textId="77777777" w:rsidTr="00624344">
        <w:trPr>
          <w:trHeight w:val="622"/>
        </w:trPr>
        <w:tc>
          <w:tcPr>
            <w:tcW w:w="2519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2824B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Metodat e mësimdhënies:  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14CB21" w14:textId="053F5A05" w:rsidR="008E79E0" w:rsidRPr="00624344" w:rsidRDefault="00624344" w:rsidP="00624344">
            <w:pPr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273953">
              <w:rPr>
                <w:rFonts w:asciiTheme="minorHAnsi" w:hAnsiTheme="minorHAnsi" w:cstheme="minorHAnsi"/>
                <w:sz w:val="22"/>
                <w:lang w:val="sq-AL"/>
              </w:rPr>
              <w:t xml:space="preserve">Ligjerata, ushtrime, prezentime, debate, seminare, teste, </w:t>
            </w:r>
            <w:r w:rsidRPr="00273953">
              <w:rPr>
                <w:rFonts w:asciiTheme="minorHAnsi" w:hAnsiTheme="minorHAnsi" w:cstheme="minorHAnsi"/>
                <w:color w:val="auto"/>
                <w:sz w:val="22"/>
                <w:lang w:val="sq-AL"/>
              </w:rPr>
              <w:t>integrim multimediale për analiza</w:t>
            </w:r>
            <w:r w:rsidRPr="00273953">
              <w:rPr>
                <w:rFonts w:asciiTheme="minorHAnsi" w:hAnsiTheme="minorHAnsi" w:cstheme="minorHAnsi"/>
                <w:sz w:val="22"/>
                <w:lang w:val="sq-AL"/>
              </w:rPr>
              <w:t>.</w:t>
            </w:r>
          </w:p>
        </w:tc>
      </w:tr>
      <w:tr w:rsidR="008E79E0" w:rsidRPr="00473A21" w14:paraId="26719E14" w14:textId="77777777" w:rsidTr="00BE1AD1">
        <w:trPr>
          <w:trHeight w:val="1486"/>
        </w:trPr>
        <w:tc>
          <w:tcPr>
            <w:tcW w:w="2519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D48C3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Metodat e vlerësimit: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135BB7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Kufiri i kalueshmërisë së lëndës është 100%. </w:t>
            </w:r>
          </w:p>
          <w:p w14:paraId="12B2577F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Vijueshmëria e studentit 10%; </w:t>
            </w:r>
          </w:p>
          <w:p w14:paraId="5ED358B5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Detyrat individuale të kryera në klasë 10%;</w:t>
            </w:r>
          </w:p>
          <w:p w14:paraId="6CFF1315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Detyrat individuale të kryera në shtëpi 10%; </w:t>
            </w:r>
          </w:p>
          <w:p w14:paraId="108C0C16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Vlerësimi nga testet 20%; </w:t>
            </w:r>
          </w:p>
          <w:p w14:paraId="67B85A6B" w14:textId="77777777" w:rsidR="008E79E0" w:rsidRPr="00473A21" w:rsidRDefault="008E79E0" w:rsidP="00BE1AD1">
            <w:pPr>
              <w:pStyle w:val="NoSpacing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Provimi final 50%.</w:t>
            </w:r>
          </w:p>
        </w:tc>
      </w:tr>
      <w:tr w:rsidR="008E79E0" w:rsidRPr="00624344" w14:paraId="08D87CA7" w14:textId="77777777" w:rsidTr="00BE1AD1">
        <w:trPr>
          <w:trHeight w:val="739"/>
        </w:trPr>
        <w:tc>
          <w:tcPr>
            <w:tcW w:w="2519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CA2B9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Literatura primare: 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F8621B" w14:textId="3672ADB0" w:rsidR="008E79E0" w:rsidRPr="00624344" w:rsidRDefault="00624344" w:rsidP="00624344">
            <w:pPr>
              <w:pStyle w:val="NoSpacing"/>
              <w:ind w:left="283" w:firstLine="0"/>
              <w:rPr>
                <w:color w:val="222222"/>
                <w:sz w:val="22"/>
                <w:lang w:val="fr-FR"/>
              </w:rPr>
            </w:pPr>
            <w:bookmarkStart w:id="11" w:name="_Hlk160301546"/>
            <w:r w:rsidRPr="00624344">
              <w:rPr>
                <w:color w:val="C00000"/>
                <w:sz w:val="22"/>
                <w:lang w:val="fr-FR"/>
              </w:rPr>
              <w:t>Victor Hugo</w:t>
            </w:r>
            <w:r w:rsidRPr="00624344">
              <w:rPr>
                <w:i/>
                <w:iCs/>
                <w:color w:val="C00000"/>
                <w:sz w:val="22"/>
                <w:lang w:val="fr-FR"/>
              </w:rPr>
              <w:t xml:space="preserve"> : </w:t>
            </w:r>
            <w:r w:rsidRPr="00624344">
              <w:rPr>
                <w:i/>
                <w:iCs/>
                <w:color w:val="C00000"/>
                <w:sz w:val="22"/>
                <w:lang w:val="fr-FR"/>
              </w:rPr>
              <w:t>Œuvres</w:t>
            </w:r>
            <w:r w:rsidRPr="00624344">
              <w:rPr>
                <w:i/>
                <w:iCs/>
                <w:color w:val="C00000"/>
                <w:sz w:val="22"/>
                <w:lang w:val="fr-FR"/>
              </w:rPr>
              <w:t xml:space="preserve"> complètes et annexes (annotées, illustrées)</w:t>
            </w:r>
            <w:r w:rsidRPr="00624344">
              <w:rPr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624344">
              <w:rPr>
                <w:color w:val="C00000"/>
                <w:sz w:val="22"/>
                <w:lang w:val="fr-FR"/>
              </w:rPr>
              <w:t>Arvensa</w:t>
            </w:r>
            <w:proofErr w:type="spellEnd"/>
            <w:r w:rsidRPr="00624344">
              <w:rPr>
                <w:color w:val="C00000"/>
                <w:sz w:val="22"/>
                <w:lang w:val="fr-FR"/>
              </w:rPr>
              <w:t xml:space="preserve"> Edition, </w:t>
            </w:r>
            <w:r>
              <w:rPr>
                <w:color w:val="C00000"/>
                <w:sz w:val="22"/>
                <w:lang w:val="fr-FR"/>
              </w:rPr>
              <w:t xml:space="preserve">Livre numérique, </w:t>
            </w:r>
            <w:r w:rsidRPr="00624344">
              <w:rPr>
                <w:color w:val="C00000"/>
                <w:sz w:val="22"/>
                <w:lang w:val="fr-FR"/>
              </w:rPr>
              <w:t>2019</w:t>
            </w:r>
            <w:bookmarkEnd w:id="11"/>
            <w:r w:rsidRPr="00624344">
              <w:rPr>
                <w:color w:val="C00000"/>
                <w:sz w:val="22"/>
                <w:lang w:val="fr-FR"/>
              </w:rPr>
              <w:t>.</w:t>
            </w:r>
          </w:p>
        </w:tc>
      </w:tr>
      <w:tr w:rsidR="008E79E0" w:rsidRPr="00624344" w14:paraId="43118855" w14:textId="77777777" w:rsidTr="00BE1AD1">
        <w:trPr>
          <w:trHeight w:val="1492"/>
        </w:trPr>
        <w:tc>
          <w:tcPr>
            <w:tcW w:w="25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32DA26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Literatura shtesë:  </w:t>
            </w:r>
          </w:p>
        </w:tc>
        <w:tc>
          <w:tcPr>
            <w:tcW w:w="712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E7C895" w14:textId="5023B450" w:rsidR="008E79E0" w:rsidRPr="00736164" w:rsidRDefault="00736164" w:rsidP="00736164">
            <w:pPr>
              <w:spacing w:after="0" w:line="259" w:lineRule="auto"/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bookmarkStart w:id="12" w:name="_Hlk160301566"/>
            <w:r w:rsidR="008E79E0" w:rsidRPr="00736164">
              <w:rPr>
                <w:sz w:val="22"/>
                <w:lang w:val="fr-FR"/>
              </w:rPr>
              <w:t xml:space="preserve">Henri </w:t>
            </w:r>
            <w:r w:rsidR="008E79E0" w:rsidRPr="00736164">
              <w:rPr>
                <w:sz w:val="22"/>
                <w:lang w:val="sq-AL"/>
              </w:rPr>
              <w:t>Meschonnic</w:t>
            </w:r>
            <w:r w:rsidR="008E79E0" w:rsidRPr="00736164">
              <w:rPr>
                <w:sz w:val="22"/>
                <w:lang w:val="fr-FR"/>
              </w:rPr>
              <w:t xml:space="preserve">, </w:t>
            </w:r>
            <w:r w:rsidR="008E79E0" w:rsidRPr="00736164">
              <w:rPr>
                <w:i/>
                <w:sz w:val="22"/>
                <w:lang w:val="fr-FR"/>
              </w:rPr>
              <w:t>Hugo, la poésie contre le maintien de l'ordre</w:t>
            </w:r>
            <w:r w:rsidR="008E79E0" w:rsidRPr="00736164">
              <w:rPr>
                <w:sz w:val="22"/>
                <w:lang w:val="fr-FR"/>
              </w:rPr>
              <w:t>, Paris : Maisonneuve &amp; Larose, 2002.</w:t>
            </w:r>
          </w:p>
          <w:p w14:paraId="1C7A9FA3" w14:textId="04C9362F" w:rsidR="008E79E0" w:rsidRDefault="00736164" w:rsidP="00736164">
            <w:pPr>
              <w:spacing w:after="0" w:line="259" w:lineRule="auto"/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="008E79E0" w:rsidRPr="00473A21">
              <w:rPr>
                <w:sz w:val="22"/>
                <w:lang w:val="fr-FR"/>
              </w:rPr>
              <w:t xml:space="preserve">Dominique </w:t>
            </w:r>
            <w:r w:rsidR="008E79E0" w:rsidRPr="00473A21">
              <w:rPr>
                <w:sz w:val="22"/>
                <w:lang w:val="sq-AL"/>
              </w:rPr>
              <w:t>Peyrache</w:t>
            </w:r>
            <w:r w:rsidR="008E79E0" w:rsidRPr="00473A21">
              <w:rPr>
                <w:sz w:val="22"/>
                <w:lang w:val="fr-FR"/>
              </w:rPr>
              <w:t>-</w:t>
            </w:r>
            <w:r w:rsidR="008E79E0" w:rsidRPr="00473A21">
              <w:rPr>
                <w:sz w:val="22"/>
                <w:lang w:val="sq-AL"/>
              </w:rPr>
              <w:t>Leborgne</w:t>
            </w:r>
            <w:r w:rsidR="008E79E0" w:rsidRPr="00473A21">
              <w:rPr>
                <w:sz w:val="22"/>
                <w:lang w:val="fr-FR"/>
              </w:rPr>
              <w:t xml:space="preserve"> et Yann Jumelais (éd.), </w:t>
            </w:r>
            <w:r w:rsidR="008E79E0" w:rsidRPr="008E79E0">
              <w:rPr>
                <w:i/>
                <w:iCs/>
                <w:sz w:val="22"/>
                <w:lang w:val="fr-FR"/>
              </w:rPr>
              <w:t>Victor Hugo ou les frontières effacées</w:t>
            </w:r>
            <w:r w:rsidR="008E79E0" w:rsidRPr="00473A21">
              <w:rPr>
                <w:sz w:val="22"/>
                <w:lang w:val="fr-FR"/>
              </w:rPr>
              <w:t>, Nantes, Éditions Pleins Feux, 2002.</w:t>
            </w:r>
          </w:p>
          <w:p w14:paraId="00284C40" w14:textId="363069BD" w:rsidR="008E79E0" w:rsidRPr="00736164" w:rsidRDefault="00736164" w:rsidP="008E79E0">
            <w:pPr>
              <w:ind w:left="0" w:firstLine="0"/>
              <w:rPr>
                <w:i/>
                <w:iCs/>
                <w:color w:val="C00000"/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="008E79E0" w:rsidRPr="00736164">
              <w:rPr>
                <w:color w:val="C00000"/>
                <w:sz w:val="22"/>
                <w:lang w:val="fr-FR"/>
              </w:rPr>
              <w:t xml:space="preserve">Elodie </w:t>
            </w:r>
            <w:proofErr w:type="spellStart"/>
            <w:r w:rsidR="008E79E0" w:rsidRPr="00736164">
              <w:rPr>
                <w:color w:val="C00000"/>
                <w:sz w:val="22"/>
                <w:lang w:val="fr-FR"/>
              </w:rPr>
              <w:t>Schalenbourg</w:t>
            </w:r>
            <w:proofErr w:type="spellEnd"/>
            <w:r w:rsidR="008E79E0" w:rsidRPr="00736164">
              <w:rPr>
                <w:color w:val="C00000"/>
                <w:sz w:val="22"/>
                <w:lang w:val="fr-FR"/>
              </w:rPr>
              <w:t xml:space="preserve"> et Gauthier De Wulf, </w:t>
            </w:r>
            <w:r w:rsidR="008E79E0" w:rsidRPr="00736164">
              <w:rPr>
                <w:i/>
                <w:iCs/>
                <w:color w:val="C00000"/>
                <w:sz w:val="22"/>
                <w:lang w:val="fr-FR"/>
              </w:rPr>
              <w:t>Victor Hugo, le monstre sacré des lettres françaises, De la bataille romantique à la défense des « misérables »,</w:t>
            </w:r>
            <w:r w:rsidRPr="00736164">
              <w:rPr>
                <w:color w:val="C00000"/>
                <w:lang w:val="fr-FR"/>
              </w:rPr>
              <w:t xml:space="preserve"> </w:t>
            </w:r>
            <w:proofErr w:type="spellStart"/>
            <w:r w:rsidRPr="00736164">
              <w:rPr>
                <w:color w:val="C00000"/>
                <w:sz w:val="22"/>
                <w:lang w:val="fr-FR"/>
              </w:rPr>
              <w:t>Primento</w:t>
            </w:r>
            <w:proofErr w:type="spellEnd"/>
            <w:r w:rsidRPr="00736164">
              <w:rPr>
                <w:color w:val="C00000"/>
                <w:sz w:val="22"/>
                <w:lang w:val="fr-FR"/>
              </w:rPr>
              <w:t xml:space="preserve"> Digital</w:t>
            </w:r>
            <w:r w:rsidRPr="00736164">
              <w:rPr>
                <w:i/>
                <w:iCs/>
                <w:color w:val="C00000"/>
                <w:sz w:val="22"/>
                <w:lang w:val="fr-FR"/>
              </w:rPr>
              <w:t>,</w:t>
            </w:r>
            <w:r w:rsidR="008E79E0" w:rsidRPr="00736164">
              <w:rPr>
                <w:i/>
                <w:iCs/>
                <w:color w:val="C00000"/>
                <w:sz w:val="22"/>
                <w:lang w:val="fr-FR"/>
              </w:rPr>
              <w:t xml:space="preserve"> </w:t>
            </w:r>
            <w:r w:rsidR="008E79E0" w:rsidRPr="00736164">
              <w:rPr>
                <w:color w:val="C00000"/>
                <w:sz w:val="22"/>
                <w:lang w:val="fr-FR"/>
              </w:rPr>
              <w:t>2015</w:t>
            </w:r>
            <w:bookmarkEnd w:id="12"/>
            <w:r w:rsidR="008E79E0" w:rsidRPr="00736164">
              <w:rPr>
                <w:color w:val="C00000"/>
                <w:sz w:val="22"/>
                <w:lang w:val="fr-FR"/>
              </w:rPr>
              <w:t>.</w:t>
            </w:r>
          </w:p>
          <w:p w14:paraId="2006E1CF" w14:textId="2501D27F" w:rsidR="008E79E0" w:rsidRPr="00473A21" w:rsidRDefault="008E79E0" w:rsidP="00BE1AD1">
            <w:pPr>
              <w:spacing w:after="0" w:line="259" w:lineRule="auto"/>
              <w:ind w:left="283" w:firstLine="0"/>
              <w:jc w:val="both"/>
              <w:rPr>
                <w:sz w:val="22"/>
                <w:lang w:val="fr-FR"/>
              </w:rPr>
            </w:pPr>
          </w:p>
        </w:tc>
      </w:tr>
    </w:tbl>
    <w:p w14:paraId="12A7FF52" w14:textId="77777777" w:rsidR="008E79E0" w:rsidRPr="00473A21" w:rsidRDefault="008E79E0" w:rsidP="008E79E0">
      <w:pPr>
        <w:pStyle w:val="NoSpacing"/>
        <w:rPr>
          <w:sz w:val="22"/>
          <w:lang w:val="fr-FR"/>
        </w:rPr>
      </w:pPr>
    </w:p>
    <w:tbl>
      <w:tblPr>
        <w:tblStyle w:val="TableGrid"/>
        <w:tblW w:w="9498" w:type="dxa"/>
        <w:tblInd w:w="-294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44"/>
        <w:gridCol w:w="7054"/>
      </w:tblGrid>
      <w:tr w:rsidR="008E79E0" w:rsidRPr="00473A21" w14:paraId="1E7F76D2" w14:textId="77777777" w:rsidTr="00BE1AD1">
        <w:trPr>
          <w:trHeight w:val="340"/>
        </w:trPr>
        <w:tc>
          <w:tcPr>
            <w:tcW w:w="244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1FAA97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Hartimi i planit mësimor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844B278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E79E0" w:rsidRPr="00473A21" w14:paraId="4B6E697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FE05D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Java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E33FC9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E79E0" w:rsidRPr="00473A21" w14:paraId="1C295853" w14:textId="77777777" w:rsidTr="00BE1AD1">
        <w:trPr>
          <w:trHeight w:val="503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D041E2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Java </w:t>
            </w:r>
            <w:proofErr w:type="gramStart"/>
            <w:r w:rsidRPr="00473A21">
              <w:rPr>
                <w:sz w:val="22"/>
                <w:lang w:val="fr-FR"/>
              </w:rPr>
              <w:t>1:</w:t>
            </w:r>
            <w:proofErr w:type="gramEnd"/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7C648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Victor Hugo: </w:t>
            </w:r>
            <w:r w:rsidRPr="00473A21">
              <w:rPr>
                <w:sz w:val="22"/>
                <w:lang w:val="fr-FR"/>
              </w:rPr>
              <w:t>sa biographie</w:t>
            </w:r>
          </w:p>
        </w:tc>
      </w:tr>
      <w:tr w:rsidR="008E79E0" w:rsidRPr="00624344" w14:paraId="700AD76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2E345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Java </w:t>
            </w:r>
            <w:proofErr w:type="gramStart"/>
            <w:r w:rsidRPr="00473A21">
              <w:rPr>
                <w:sz w:val="22"/>
                <w:lang w:val="fr-FR"/>
              </w:rPr>
              <w:t>2:</w:t>
            </w:r>
            <w:proofErr w:type="gramEnd"/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9B61F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fr-FR"/>
              </w:rPr>
              <w:t>Poèmes de jeunesse (Les Orientales)</w:t>
            </w:r>
          </w:p>
        </w:tc>
      </w:tr>
      <w:tr w:rsidR="008E79E0" w:rsidRPr="00473A21" w14:paraId="0EF6994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F5DEE2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3: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46FEC" w14:textId="77777777" w:rsidR="008E79E0" w:rsidRPr="00473A21" w:rsidRDefault="008E79E0" w:rsidP="00BE1AD1">
            <w:pPr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Le drame romantique hugolien</w:t>
            </w:r>
          </w:p>
        </w:tc>
      </w:tr>
      <w:tr w:rsidR="008E79E0" w:rsidRPr="00473A21" w14:paraId="4D1D9A1B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6261CE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4: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4ED3BB" w14:textId="77777777" w:rsidR="008E79E0" w:rsidRPr="00473A21" w:rsidRDefault="008E79E0" w:rsidP="00BE1AD1">
            <w:pPr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>Notre-Dame de Paris</w:t>
            </w:r>
          </w:p>
        </w:tc>
      </w:tr>
      <w:tr w:rsidR="008E79E0" w:rsidRPr="00624344" w14:paraId="192661C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ADCA3D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5: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34442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fr-FR"/>
              </w:rPr>
              <w:t xml:space="preserve">La lyrique des années </w:t>
            </w:r>
            <w:proofErr w:type="gramStart"/>
            <w:r w:rsidRPr="00473A21">
              <w:rPr>
                <w:sz w:val="22"/>
                <w:lang w:val="fr-FR"/>
              </w:rPr>
              <w:t>30:</w:t>
            </w:r>
            <w:proofErr w:type="gramEnd"/>
            <w:r w:rsidRPr="00473A21">
              <w:rPr>
                <w:sz w:val="22"/>
                <w:lang w:val="fr-FR"/>
              </w:rPr>
              <w:t xml:space="preserve"> Des "Chants du crépuscule" au "Voix intérieures"</w:t>
            </w:r>
          </w:p>
        </w:tc>
      </w:tr>
      <w:tr w:rsidR="008E79E0" w:rsidRPr="00473A21" w14:paraId="08FDB96F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0820D8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6: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4E902C" w14:textId="77777777" w:rsidR="008E79E0" w:rsidRPr="00473A21" w:rsidRDefault="008E79E0" w:rsidP="00BE1AD1">
            <w:pPr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Les </w:t>
            </w:r>
            <w:r w:rsidRPr="00473A21">
              <w:rPr>
                <w:sz w:val="22"/>
                <w:lang w:val="sq-AL"/>
              </w:rPr>
              <w:t>Châtiments</w:t>
            </w:r>
          </w:p>
        </w:tc>
      </w:tr>
      <w:tr w:rsidR="008E79E0" w:rsidRPr="00473A21" w14:paraId="7614C602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BF9BD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7: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C92ECA" w14:textId="77777777" w:rsidR="008E79E0" w:rsidRPr="00473A21" w:rsidRDefault="008E79E0" w:rsidP="00BE1AD1">
            <w:pPr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>Les Contemplations</w:t>
            </w:r>
          </w:p>
        </w:tc>
      </w:tr>
      <w:tr w:rsidR="008E79E0" w:rsidRPr="00473A21" w14:paraId="37A4346C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5FD37A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8: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4C13E6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</w:rPr>
              <w:t xml:space="preserve">Les </w:t>
            </w:r>
            <w:r w:rsidRPr="00473A21">
              <w:rPr>
                <w:sz w:val="22"/>
                <w:lang w:val="sq-AL"/>
              </w:rPr>
              <w:t>Misérables</w:t>
            </w:r>
            <w:r w:rsidRPr="00473A21">
              <w:rPr>
                <w:sz w:val="22"/>
              </w:rPr>
              <w:t xml:space="preserve"> I</w:t>
            </w:r>
          </w:p>
        </w:tc>
      </w:tr>
      <w:tr w:rsidR="008E79E0" w:rsidRPr="00473A21" w14:paraId="40E3A2D4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7BF33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>Java 9: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2E78F7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</w:rPr>
              <w:t xml:space="preserve">Les </w:t>
            </w:r>
            <w:r w:rsidRPr="00473A21">
              <w:rPr>
                <w:sz w:val="22"/>
                <w:lang w:val="sq-AL"/>
              </w:rPr>
              <w:t>Misérables</w:t>
            </w:r>
            <w:r w:rsidRPr="00473A21">
              <w:rPr>
                <w:sz w:val="22"/>
              </w:rPr>
              <w:t xml:space="preserve"> II</w:t>
            </w:r>
          </w:p>
        </w:tc>
      </w:tr>
      <w:tr w:rsidR="008E79E0" w:rsidRPr="00473A21" w14:paraId="44223BF7" w14:textId="77777777" w:rsidTr="00BE1AD1">
        <w:trPr>
          <w:trHeight w:val="386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A65A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10: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4B5C56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</w:rPr>
              <w:t xml:space="preserve">Les </w:t>
            </w:r>
            <w:r w:rsidRPr="00473A21">
              <w:rPr>
                <w:sz w:val="22"/>
                <w:lang w:val="sq-AL"/>
              </w:rPr>
              <w:t>Misérables</w:t>
            </w:r>
            <w:r w:rsidRPr="00473A21">
              <w:rPr>
                <w:sz w:val="22"/>
              </w:rPr>
              <w:t xml:space="preserve"> III</w:t>
            </w:r>
          </w:p>
        </w:tc>
      </w:tr>
      <w:tr w:rsidR="008E79E0" w:rsidRPr="00473A21" w14:paraId="60A4CE25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633BC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11: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9F96BAE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Les </w:t>
            </w:r>
            <w:r w:rsidRPr="00473A21">
              <w:rPr>
                <w:sz w:val="22"/>
                <w:lang w:val="sq-AL"/>
              </w:rPr>
              <w:t>Misérables</w:t>
            </w:r>
            <w:r w:rsidRPr="00473A21">
              <w:rPr>
                <w:sz w:val="22"/>
              </w:rPr>
              <w:t xml:space="preserve"> IV</w:t>
            </w:r>
          </w:p>
        </w:tc>
      </w:tr>
      <w:tr w:rsidR="008E79E0" w:rsidRPr="00473A21" w14:paraId="1FDF258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855CC6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12: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44F10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L'Homme qui rit</w:t>
            </w:r>
          </w:p>
        </w:tc>
      </w:tr>
      <w:tr w:rsidR="008E79E0" w:rsidRPr="00473A21" w14:paraId="56BB89D7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AFAEA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13:  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4CBBA6C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Quatrevingt-treize </w:t>
            </w:r>
          </w:p>
        </w:tc>
      </w:tr>
      <w:tr w:rsidR="008E79E0" w:rsidRPr="00473A21" w14:paraId="57170C6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A3D751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14: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8832F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La Légende</w:t>
            </w:r>
            <w:r w:rsidRPr="00473A21">
              <w:rPr>
                <w:sz w:val="22"/>
              </w:rPr>
              <w:t xml:space="preserve"> des siècles</w:t>
            </w:r>
          </w:p>
        </w:tc>
      </w:tr>
      <w:tr w:rsidR="008E79E0" w:rsidRPr="00624344" w14:paraId="23F1B3AC" w14:textId="77777777" w:rsidTr="00BE1AD1">
        <w:trPr>
          <w:trHeight w:val="628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43EF4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Java 15: 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3FA6E1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Vlerësimi dhe diskutimi lidhur me detyrat në klasë dhe në shtëpi gjatë semestrit dhe përgatitja për provimin final. </w:t>
            </w:r>
          </w:p>
        </w:tc>
      </w:tr>
      <w:tr w:rsidR="008E79E0" w:rsidRPr="00473A21" w14:paraId="670AF825" w14:textId="77777777" w:rsidTr="00BE1AD1">
        <w:trPr>
          <w:trHeight w:val="340"/>
        </w:trPr>
        <w:tc>
          <w:tcPr>
            <w:tcW w:w="949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868E3A" w14:textId="77777777" w:rsidR="008E79E0" w:rsidRPr="00473A21" w:rsidRDefault="008E79E0" w:rsidP="00BE1AD1">
            <w:pPr>
              <w:spacing w:after="0" w:line="259" w:lineRule="auto"/>
              <w:ind w:left="0" w:firstLine="0"/>
              <w:jc w:val="both"/>
              <w:rPr>
                <w:sz w:val="22"/>
                <w:lang w:val="sq-AL"/>
              </w:rPr>
            </w:pPr>
            <w:r w:rsidRPr="00473A21">
              <w:rPr>
                <w:b/>
                <w:sz w:val="22"/>
                <w:lang w:val="sq-AL"/>
              </w:rPr>
              <w:t>Politikat akademike dhe kodi i sjelljes</w:t>
            </w:r>
          </w:p>
        </w:tc>
      </w:tr>
      <w:tr w:rsidR="008E79E0" w:rsidRPr="00624344" w14:paraId="14FB79D9" w14:textId="77777777" w:rsidTr="00AF7D66">
        <w:trPr>
          <w:trHeight w:val="836"/>
        </w:trPr>
        <w:tc>
          <w:tcPr>
            <w:tcW w:w="94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13644C" w14:textId="77FCB035" w:rsidR="008E79E0" w:rsidRPr="00473A21" w:rsidRDefault="00AF7D66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8D3FC9">
              <w:rPr>
                <w:rFonts w:eastAsia="Times New Roman"/>
                <w:color w:val="C00000"/>
                <w:sz w:val="22"/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14:paraId="55122295" w14:textId="77777777" w:rsidR="00AF5FF9" w:rsidRPr="008E79E0" w:rsidRDefault="00AF5FF9">
      <w:pPr>
        <w:rPr>
          <w:lang w:val="sq-AL"/>
        </w:rPr>
      </w:pPr>
    </w:p>
    <w:sectPr w:rsidR="00AF5FF9" w:rsidRPr="008E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37A0"/>
    <w:multiLevelType w:val="hybridMultilevel"/>
    <w:tmpl w:val="A6EAD0CA"/>
    <w:lvl w:ilvl="0" w:tplc="0A94377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3AE2"/>
    <w:multiLevelType w:val="hybridMultilevel"/>
    <w:tmpl w:val="92868B34"/>
    <w:lvl w:ilvl="0" w:tplc="66CE61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DE7"/>
    <w:multiLevelType w:val="hybridMultilevel"/>
    <w:tmpl w:val="AF283EF6"/>
    <w:lvl w:ilvl="0" w:tplc="93F6D8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E0"/>
    <w:rsid w:val="00624344"/>
    <w:rsid w:val="00736164"/>
    <w:rsid w:val="008E79E0"/>
    <w:rsid w:val="00AF5FF9"/>
    <w:rsid w:val="00AF7D66"/>
    <w:rsid w:val="00BC6774"/>
    <w:rsid w:val="00C96A62"/>
    <w:rsid w:val="00D87991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1649"/>
  <w15:chartTrackingRefBased/>
  <w15:docId w15:val="{2118C8B5-C5F8-48DC-9E01-3822FE71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E0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8E79E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79E0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8E79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8E79E0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E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E0"/>
    <w:rPr>
      <w:rFonts w:ascii="Calibri" w:eastAsia="Calibri" w:hAnsi="Calibri" w:cs="Calibri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8E79E0"/>
    <w:rPr>
      <w:smallCap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E79E0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E7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61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A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A62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A6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C96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483764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37756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3700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4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392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87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18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305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17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407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bona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Gashi Berisha</dc:creator>
  <cp:keywords/>
  <dc:description/>
  <cp:lastModifiedBy>Valbona Gashi Berisha</cp:lastModifiedBy>
  <cp:revision>2</cp:revision>
  <dcterms:created xsi:type="dcterms:W3CDTF">2024-03-02T18:56:00Z</dcterms:created>
  <dcterms:modified xsi:type="dcterms:W3CDTF">2024-03-02T18:56:00Z</dcterms:modified>
</cp:coreProperties>
</file>