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29D6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1842D621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2"/>
        <w:gridCol w:w="1422"/>
        <w:gridCol w:w="1770"/>
        <w:gridCol w:w="1986"/>
      </w:tblGrid>
      <w:tr w:rsidR="00CF116F" w:rsidRPr="00777D28" w14:paraId="1ECDEEC6" w14:textId="77777777" w:rsidTr="00EF57F9">
        <w:tc>
          <w:tcPr>
            <w:tcW w:w="8856" w:type="dxa"/>
            <w:gridSpan w:val="4"/>
            <w:shd w:val="clear" w:color="auto" w:fill="B8CCE4"/>
          </w:tcPr>
          <w:p w14:paraId="571D6C3B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Të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6C39D205" w14:textId="77777777" w:rsidTr="00183923">
        <w:tc>
          <w:tcPr>
            <w:tcW w:w="3617" w:type="dxa"/>
          </w:tcPr>
          <w:p w14:paraId="5D4DE58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06ACCA7" w14:textId="77777777" w:rsidR="00CF116F" w:rsidRPr="00777D28" w:rsidRDefault="00FD038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I </w:t>
            </w:r>
            <w:proofErr w:type="spellStart"/>
            <w:r>
              <w:rPr>
                <w:b/>
                <w:szCs w:val="28"/>
              </w:rPr>
              <w:t>Shkencave</w:t>
            </w:r>
            <w:proofErr w:type="spellEnd"/>
            <w:r>
              <w:rPr>
                <w:b/>
                <w:szCs w:val="28"/>
              </w:rPr>
              <w:t xml:space="preserve"> sportive</w:t>
            </w:r>
          </w:p>
        </w:tc>
      </w:tr>
      <w:tr w:rsidR="00CF116F" w:rsidRPr="00777D28" w14:paraId="29B7F70B" w14:textId="77777777" w:rsidTr="00183923">
        <w:tc>
          <w:tcPr>
            <w:tcW w:w="3617" w:type="dxa"/>
          </w:tcPr>
          <w:p w14:paraId="013B023B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FD14103" w14:textId="389C6626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Psikologji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sportit</w:t>
            </w:r>
            <w:proofErr w:type="spellEnd"/>
          </w:p>
        </w:tc>
      </w:tr>
      <w:tr w:rsidR="00CF116F" w:rsidRPr="00777D28" w14:paraId="75F0DA00" w14:textId="77777777" w:rsidTr="00183923">
        <w:tc>
          <w:tcPr>
            <w:tcW w:w="3617" w:type="dxa"/>
          </w:tcPr>
          <w:p w14:paraId="118D35F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15C1DD1" w14:textId="77777777" w:rsidR="00CF116F" w:rsidRPr="00777D28" w:rsidRDefault="002A39A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Bachellor</w:t>
            </w:r>
            <w:proofErr w:type="spellEnd"/>
          </w:p>
        </w:tc>
      </w:tr>
      <w:tr w:rsidR="00781805" w:rsidRPr="00777D28" w14:paraId="45D07813" w14:textId="77777777" w:rsidTr="00183923">
        <w:tc>
          <w:tcPr>
            <w:tcW w:w="3617" w:type="dxa"/>
          </w:tcPr>
          <w:p w14:paraId="33E8349A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36C27F" w14:textId="35075EE9" w:rsidR="00781805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337EA74E" w14:textId="77777777" w:rsidTr="00183923">
        <w:tc>
          <w:tcPr>
            <w:tcW w:w="3617" w:type="dxa"/>
          </w:tcPr>
          <w:p w14:paraId="699B472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50532E8" w14:textId="553D01B0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 </w:t>
            </w:r>
            <w:proofErr w:type="spellStart"/>
            <w:r>
              <w:rPr>
                <w:b/>
                <w:szCs w:val="28"/>
              </w:rPr>
              <w:t>dyte</w:t>
            </w:r>
            <w:proofErr w:type="spell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i IV-t</w:t>
            </w:r>
          </w:p>
        </w:tc>
      </w:tr>
      <w:tr w:rsidR="00CF116F" w:rsidRPr="00777D28" w14:paraId="24FB2365" w14:textId="77777777" w:rsidTr="00183923">
        <w:tc>
          <w:tcPr>
            <w:tcW w:w="3617" w:type="dxa"/>
          </w:tcPr>
          <w:p w14:paraId="1CE5179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BC6641B" w14:textId="327C24B2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14:paraId="4C67FF9F" w14:textId="77777777" w:rsidTr="00183923">
        <w:tc>
          <w:tcPr>
            <w:tcW w:w="3617" w:type="dxa"/>
          </w:tcPr>
          <w:p w14:paraId="5189AD6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29CD84AF" w14:textId="77777777"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14:paraId="575D9B95" w14:textId="77777777" w:rsidTr="00183923">
        <w:tc>
          <w:tcPr>
            <w:tcW w:w="3617" w:type="dxa"/>
          </w:tcPr>
          <w:p w14:paraId="4CC64CA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769C78" w14:textId="259AEDE0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Prishtine</w:t>
            </w:r>
            <w:proofErr w:type="spellEnd"/>
          </w:p>
        </w:tc>
      </w:tr>
      <w:tr w:rsidR="00CF116F" w:rsidRPr="00777D28" w14:paraId="79A5D188" w14:textId="77777777" w:rsidTr="00183923">
        <w:tc>
          <w:tcPr>
            <w:tcW w:w="3617" w:type="dxa"/>
          </w:tcPr>
          <w:p w14:paraId="3D2683D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99D7BDF" w14:textId="7AFFB596" w:rsidR="00CF116F" w:rsidRPr="00777D28" w:rsidRDefault="006C1A6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Prof.Ass.</w:t>
            </w:r>
            <w:proofErr w:type="gramStart"/>
            <w:r>
              <w:rPr>
                <w:b/>
                <w:szCs w:val="28"/>
              </w:rPr>
              <w:t>Dr</w:t>
            </w:r>
            <w:r w:rsidR="00905EDC">
              <w:rPr>
                <w:b/>
                <w:szCs w:val="28"/>
              </w:rPr>
              <w:t>.</w:t>
            </w:r>
            <w:r w:rsidR="00A31FBF">
              <w:rPr>
                <w:b/>
                <w:szCs w:val="28"/>
              </w:rPr>
              <w:t>Sc</w:t>
            </w:r>
            <w:proofErr w:type="spellEnd"/>
            <w:proofErr w:type="gramEnd"/>
            <w:r w:rsidR="00905EDC">
              <w:rPr>
                <w:b/>
                <w:szCs w:val="28"/>
              </w:rPr>
              <w:t xml:space="preserve"> </w:t>
            </w:r>
            <w:proofErr w:type="spellStart"/>
            <w:r w:rsidR="00905EDC">
              <w:rPr>
                <w:b/>
                <w:szCs w:val="28"/>
              </w:rPr>
              <w:t>Tringa</w:t>
            </w:r>
            <w:proofErr w:type="spellEnd"/>
            <w:r w:rsidR="00905EDC">
              <w:rPr>
                <w:b/>
                <w:szCs w:val="28"/>
              </w:rPr>
              <w:t xml:space="preserve"> </w:t>
            </w:r>
            <w:proofErr w:type="spellStart"/>
            <w:r w:rsidR="00905EDC">
              <w:rPr>
                <w:b/>
                <w:szCs w:val="28"/>
              </w:rPr>
              <w:t>Ded</w:t>
            </w:r>
            <w:r w:rsidR="006D78E5">
              <w:rPr>
                <w:b/>
                <w:szCs w:val="28"/>
              </w:rPr>
              <w:t>i</w:t>
            </w:r>
            <w:proofErr w:type="spellEnd"/>
          </w:p>
        </w:tc>
      </w:tr>
      <w:tr w:rsidR="00CF116F" w:rsidRPr="00777D28" w14:paraId="2B13D1FE" w14:textId="77777777" w:rsidTr="00183923">
        <w:tc>
          <w:tcPr>
            <w:tcW w:w="3617" w:type="dxa"/>
          </w:tcPr>
          <w:p w14:paraId="69643F19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5D5831D" w14:textId="77777777" w:rsidR="00CF116F" w:rsidRPr="00777D28" w:rsidRDefault="006D78E5" w:rsidP="00FB050B">
            <w:pPr>
              <w:pStyle w:val="NoSpacing"/>
              <w:rPr>
                <w:b/>
                <w:szCs w:val="28"/>
              </w:rPr>
            </w:pP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>tringa.dedi@uni-pr.edu</w:t>
            </w:r>
          </w:p>
        </w:tc>
      </w:tr>
      <w:tr w:rsidR="00FB050B" w:rsidRPr="00777D28" w14:paraId="6C4B1AAC" w14:textId="77777777" w:rsidTr="00EF57F9">
        <w:tc>
          <w:tcPr>
            <w:tcW w:w="8856" w:type="dxa"/>
            <w:gridSpan w:val="4"/>
            <w:shd w:val="clear" w:color="auto" w:fill="B8CCE4"/>
          </w:tcPr>
          <w:p w14:paraId="326BCAAD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699BC621" w14:textId="77777777" w:rsidTr="00183923">
        <w:tc>
          <w:tcPr>
            <w:tcW w:w="3617" w:type="dxa"/>
          </w:tcPr>
          <w:p w14:paraId="184B31CC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7C21596" w14:textId="77777777" w:rsidR="00CF116F" w:rsidRDefault="00CF116F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BC2D0FF" w14:textId="77777777" w:rsidR="00905EDC" w:rsidRPr="00E85469" w:rsidRDefault="00905EDC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Ky </w:t>
            </w:r>
            <w:proofErr w:type="spellStart"/>
            <w:r w:rsidRPr="00E85469">
              <w:rPr>
                <w:sz w:val="20"/>
                <w:szCs w:val="20"/>
              </w:rPr>
              <w:t>kurs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ofron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prezantim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avancuar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sportive.</w:t>
            </w:r>
          </w:p>
          <w:p w14:paraId="4BD86E46" w14:textId="77777777" w:rsidR="00905EDC" w:rsidRPr="00E85469" w:rsidRDefault="00905EDC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ballafaqohen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materiale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nga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aspektet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aktivitetit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ushtruarit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sportit</w:t>
            </w:r>
            <w:proofErr w:type="spellEnd"/>
            <w:r w:rsidRPr="00E85469">
              <w:rPr>
                <w:sz w:val="20"/>
                <w:szCs w:val="20"/>
              </w:rPr>
              <w:t xml:space="preserve">,  </w:t>
            </w:r>
            <w:proofErr w:type="spellStart"/>
            <w:r w:rsidRPr="00E85469">
              <w:rPr>
                <w:sz w:val="20"/>
                <w:szCs w:val="20"/>
              </w:rPr>
              <w:t>përmes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eksplorimit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teorive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ndryshme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aftësimit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praktik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aplikimit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mjediset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aktivitetit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ushtruarit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situata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shumta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konkrete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ndryshim</w:t>
            </w:r>
            <w:proofErr w:type="spellEnd"/>
            <w:r w:rsidRPr="00E85469">
              <w:rPr>
                <w:sz w:val="20"/>
                <w:szCs w:val="20"/>
              </w:rPr>
              <w:t xml:space="preserve">,  me </w:t>
            </w:r>
            <w:proofErr w:type="spellStart"/>
            <w:r w:rsidRPr="00E85469">
              <w:rPr>
                <w:sz w:val="20"/>
                <w:szCs w:val="20"/>
              </w:rPr>
              <w:t>qëllimin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kryesor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sportistëve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trajnerëve</w:t>
            </w:r>
            <w:proofErr w:type="spellEnd"/>
            <w:r w:rsidRPr="00E85469">
              <w:rPr>
                <w:sz w:val="20"/>
                <w:szCs w:val="20"/>
              </w:rPr>
              <w:t xml:space="preserve"> . </w:t>
            </w:r>
            <w:proofErr w:type="spellStart"/>
            <w:r w:rsidRPr="00E85469">
              <w:rPr>
                <w:sz w:val="20"/>
                <w:szCs w:val="20"/>
              </w:rPr>
              <w:t>Qëllim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tjetër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gramStart"/>
            <w:r w:rsidRPr="00E85469">
              <w:rPr>
                <w:sz w:val="20"/>
                <w:szCs w:val="20"/>
              </w:rPr>
              <w:t xml:space="preserve">është  </w:t>
            </w:r>
            <w:proofErr w:type="spellStart"/>
            <w:r w:rsidRPr="00E85469">
              <w:rPr>
                <w:sz w:val="20"/>
                <w:szCs w:val="20"/>
              </w:rPr>
              <w:t>edhe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sigurimi</w:t>
            </w:r>
            <w:proofErr w:type="spellEnd"/>
            <w:r w:rsidRPr="00E85469">
              <w:rPr>
                <w:sz w:val="20"/>
                <w:szCs w:val="20"/>
              </w:rPr>
              <w:t xml:space="preserve"> i </w:t>
            </w:r>
            <w:proofErr w:type="spellStart"/>
            <w:r w:rsidRPr="00E85469">
              <w:rPr>
                <w:sz w:val="20"/>
                <w:szCs w:val="20"/>
              </w:rPr>
              <w:t>lidhmërisë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së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përmbajtjes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lëndët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tjera</w:t>
            </w:r>
            <w:proofErr w:type="spellEnd"/>
            <w:r w:rsidRPr="00E85469">
              <w:rPr>
                <w:sz w:val="20"/>
                <w:szCs w:val="20"/>
              </w:rPr>
              <w:t xml:space="preserve">. Në </w:t>
            </w:r>
            <w:proofErr w:type="spellStart"/>
            <w:r w:rsidRPr="00E85469">
              <w:rPr>
                <w:sz w:val="20"/>
                <w:szCs w:val="20"/>
              </w:rPr>
              <w:t>veçanti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drejtim</w:t>
            </w:r>
            <w:proofErr w:type="spellEnd"/>
            <w:r w:rsidRPr="00E85469">
              <w:rPr>
                <w:sz w:val="20"/>
                <w:szCs w:val="20"/>
              </w:rPr>
              <w:t xml:space="preserve"> i </w:t>
            </w:r>
            <w:proofErr w:type="spellStart"/>
            <w:r w:rsidRPr="00E85469">
              <w:rPr>
                <w:sz w:val="20"/>
                <w:szCs w:val="20"/>
              </w:rPr>
              <w:t>rëndësishëm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formimin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 është </w:t>
            </w:r>
            <w:proofErr w:type="spellStart"/>
            <w:r w:rsidRPr="00E85469">
              <w:rPr>
                <w:sz w:val="20"/>
                <w:szCs w:val="20"/>
              </w:rPr>
              <w:t>nxitja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aftësimi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veprimtari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kërkimore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kuadër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. </w:t>
            </w:r>
          </w:p>
          <w:p w14:paraId="490B50A4" w14:textId="77777777" w:rsidR="00FD0388" w:rsidRDefault="00FD0388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52217BEB" w14:textId="77777777"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E85469" w14:paraId="57E69A36" w14:textId="77777777" w:rsidTr="00183923">
        <w:tc>
          <w:tcPr>
            <w:tcW w:w="3617" w:type="dxa"/>
          </w:tcPr>
          <w:p w14:paraId="180CBF13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Qëllimet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DD8E5F1" w14:textId="77777777" w:rsidR="00E85469" w:rsidRDefault="00E85469" w:rsidP="00E85469">
            <w:pPr>
              <w:pStyle w:val="NoSpacing"/>
              <w:spacing w:line="276" w:lineRule="auto"/>
              <w:rPr>
                <w:iCs/>
                <w:sz w:val="20"/>
                <w:szCs w:val="20"/>
              </w:rPr>
            </w:pPr>
          </w:p>
          <w:p w14:paraId="3C0B02A3" w14:textId="7C2A4D00" w:rsidR="007C3132" w:rsidRPr="00E85469" w:rsidRDefault="00A147D0" w:rsidP="00E85469">
            <w:pPr>
              <w:pStyle w:val="NoSpacing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E85469">
              <w:rPr>
                <w:iCs/>
                <w:sz w:val="20"/>
                <w:szCs w:val="20"/>
              </w:rPr>
              <w:t>Qellimi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r w:rsidR="00E85469">
              <w:rPr>
                <w:iCs/>
                <w:sz w:val="20"/>
                <w:szCs w:val="20"/>
              </w:rPr>
              <w:t>I</w:t>
            </w:r>
            <w:proofErr w:type="gramEnd"/>
            <w:r w:rsid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kesaj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lende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eshte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planifikimi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, </w:t>
            </w:r>
            <w:proofErr w:type="spellStart"/>
            <w:r w:rsidRPr="00E85469">
              <w:rPr>
                <w:iCs/>
                <w:sz w:val="20"/>
                <w:szCs w:val="20"/>
              </w:rPr>
              <w:t>organizimi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drejtimin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ne </w:t>
            </w:r>
            <w:proofErr w:type="spellStart"/>
            <w:r w:rsidRPr="00E85469">
              <w:rPr>
                <w:iCs/>
                <w:sz w:val="20"/>
                <w:szCs w:val="20"/>
              </w:rPr>
              <w:t>edukimin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iCs/>
                <w:sz w:val="20"/>
                <w:szCs w:val="20"/>
              </w:rPr>
              <w:t>esportisteve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duke u </w:t>
            </w:r>
            <w:proofErr w:type="spellStart"/>
            <w:r w:rsidRPr="00E85469">
              <w:rPr>
                <w:iCs/>
                <w:sz w:val="20"/>
                <w:szCs w:val="20"/>
              </w:rPr>
              <w:t>mbeshtete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ne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dhenat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nga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,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sociologjia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eksperienca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fituar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nga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praktika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</w:p>
          <w:p w14:paraId="0D70ECAD" w14:textId="77777777" w:rsidR="004A1F0C" w:rsidRPr="00E85469" w:rsidRDefault="004A1F0C" w:rsidP="00E85469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Lënda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është e </w:t>
            </w:r>
            <w:proofErr w:type="spellStart"/>
            <w:r w:rsidRPr="00E85469">
              <w:rPr>
                <w:iCs/>
                <w:sz w:val="20"/>
                <w:szCs w:val="20"/>
              </w:rPr>
              <w:t>dizajnuar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përmbushur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këto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objektiva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: </w:t>
            </w:r>
          </w:p>
          <w:p w14:paraId="40346AEF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E85469">
              <w:rPr>
                <w:iCs/>
                <w:sz w:val="20"/>
                <w:szCs w:val="20"/>
              </w:rPr>
              <w:t>Prezantojë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iCs/>
                <w:sz w:val="20"/>
                <w:szCs w:val="20"/>
              </w:rPr>
              <w:t>termat</w:t>
            </w:r>
            <w:proofErr w:type="spellEnd"/>
            <w:proofErr w:type="gram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konceptet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themelore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teoritë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themelore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që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studiojnë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sjelljen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kontekstin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sportiv</w:t>
            </w:r>
            <w:proofErr w:type="spellEnd"/>
            <w:r w:rsidRPr="00E85469">
              <w:rPr>
                <w:iCs/>
                <w:sz w:val="20"/>
                <w:szCs w:val="20"/>
              </w:rPr>
              <w:t>.</w:t>
            </w:r>
          </w:p>
          <w:p w14:paraId="35F7349B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Zhvillojë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studentëve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aplikuar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njohuritë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fituara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rolin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sportistit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trajnerit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specialistit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sportit</w:t>
            </w:r>
            <w:proofErr w:type="spellEnd"/>
            <w:r w:rsidRPr="00E85469">
              <w:rPr>
                <w:iCs/>
                <w:sz w:val="20"/>
                <w:szCs w:val="20"/>
              </w:rPr>
              <w:t>.</w:t>
            </w:r>
          </w:p>
          <w:p w14:paraId="67A9F9B8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Rrisë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tyre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programuar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trajnuar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iCs/>
                <w:sz w:val="20"/>
                <w:szCs w:val="20"/>
              </w:rPr>
              <w:t>efektivitet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psikologjike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pjesmarrësve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lastRenderedPageBreak/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rritjen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perfomancës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mirqënies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sport.</w:t>
            </w:r>
          </w:p>
          <w:p w14:paraId="7EDDF8C2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  <w:lang w:val="de-DE"/>
              </w:rPr>
            </w:pPr>
            <w:proofErr w:type="gramStart"/>
            <w:r w:rsidRPr="00E85469">
              <w:rPr>
                <w:iCs/>
                <w:sz w:val="20"/>
                <w:szCs w:val="20"/>
                <w:lang w:val="de-DE"/>
              </w:rPr>
              <w:t>Nxisë  të</w:t>
            </w:r>
            <w:proofErr w:type="gramEnd"/>
            <w:r w:rsidRPr="00E85469">
              <w:rPr>
                <w:iCs/>
                <w:sz w:val="20"/>
                <w:szCs w:val="20"/>
                <w:lang w:val="de-DE"/>
              </w:rPr>
              <w:t xml:space="preserve">  menduarit analitik dhe kritik tek studentët.</w:t>
            </w:r>
          </w:p>
          <w:p w14:paraId="249D206A" w14:textId="77777777" w:rsidR="007C3132" w:rsidRPr="00E85469" w:rsidRDefault="007C3132" w:rsidP="00E85469">
            <w:pPr>
              <w:pStyle w:val="NoSpacing"/>
              <w:spacing w:line="276" w:lineRule="auto"/>
              <w:rPr>
                <w:iCs/>
                <w:sz w:val="20"/>
                <w:szCs w:val="20"/>
                <w:lang w:val="de-DE"/>
              </w:rPr>
            </w:pPr>
          </w:p>
          <w:p w14:paraId="3AF158C0" w14:textId="77777777" w:rsidR="00A147D0" w:rsidRPr="00E85469" w:rsidRDefault="00A147D0" w:rsidP="00E85469">
            <w:pPr>
              <w:pStyle w:val="NoSpacing"/>
              <w:spacing w:line="276" w:lineRule="auto"/>
              <w:rPr>
                <w:iCs/>
                <w:sz w:val="20"/>
                <w:szCs w:val="20"/>
                <w:lang w:val="de-DE"/>
              </w:rPr>
            </w:pPr>
          </w:p>
        </w:tc>
      </w:tr>
      <w:tr w:rsidR="00CF116F" w:rsidRPr="00777D28" w14:paraId="600852E4" w14:textId="77777777" w:rsidTr="00183923">
        <w:tc>
          <w:tcPr>
            <w:tcW w:w="3617" w:type="dxa"/>
          </w:tcPr>
          <w:p w14:paraId="44B6E900" w14:textId="77777777" w:rsidR="00CF116F" w:rsidRPr="00E85469" w:rsidRDefault="00CF116F" w:rsidP="00CF116F">
            <w:pPr>
              <w:pStyle w:val="NoSpacing"/>
              <w:rPr>
                <w:rFonts w:ascii="Calibri" w:hAnsi="Calibri"/>
                <w:b/>
                <w:lang w:val="de-DE"/>
              </w:rPr>
            </w:pPr>
            <w:proofErr w:type="spellStart"/>
            <w:r w:rsidRPr="00E85469">
              <w:rPr>
                <w:rFonts w:ascii="Calibri" w:hAnsi="Calibri"/>
                <w:b/>
                <w:lang w:val="de-DE"/>
              </w:rPr>
              <w:lastRenderedPageBreak/>
              <w:t>Rezultatet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e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pritura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të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nxënies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>:</w:t>
            </w:r>
          </w:p>
        </w:tc>
        <w:tc>
          <w:tcPr>
            <w:tcW w:w="5239" w:type="dxa"/>
            <w:gridSpan w:val="3"/>
          </w:tcPr>
          <w:p w14:paraId="3815879B" w14:textId="77777777" w:rsidR="00905EDC" w:rsidRPr="00E85469" w:rsidRDefault="00905EDC" w:rsidP="00E85469">
            <w:pPr>
              <w:spacing w:line="276" w:lineRule="auto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b/>
                <w:sz w:val="20"/>
                <w:szCs w:val="20"/>
                <w:lang w:val="de-DE"/>
              </w:rPr>
              <w:t>Rezultatet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b/>
                <w:sz w:val="20"/>
                <w:szCs w:val="20"/>
                <w:lang w:val="de-DE"/>
              </w:rPr>
              <w:t>pritura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E85469">
              <w:rPr>
                <w:b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 nxënies</w:t>
            </w:r>
            <w:proofErr w:type="gramEnd"/>
            <w:r w:rsidRPr="00E85469">
              <w:rPr>
                <w:b/>
                <w:sz w:val="20"/>
                <w:szCs w:val="20"/>
                <w:lang w:val="de-DE"/>
              </w:rPr>
              <w:t xml:space="preserve">: </w:t>
            </w:r>
          </w:p>
          <w:p w14:paraId="2D0020A6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</w:p>
          <w:p w14:paraId="78F143E3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Pas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përfundimit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me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sukses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këtij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kursi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studentët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duhet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jenë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në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gjendje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>:</w:t>
            </w:r>
          </w:p>
          <w:p w14:paraId="5AC65586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</w:p>
          <w:p w14:paraId="05CBCB7A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rPr>
                <w:b/>
                <w:i/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Shpjegojnë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konceptet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bazë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kontrollit</w:t>
            </w:r>
            <w:proofErr w:type="spellEnd"/>
            <w:r w:rsidRPr="00E85469">
              <w:rPr>
                <w:sz w:val="20"/>
                <w:szCs w:val="20"/>
              </w:rPr>
              <w:t xml:space="preserve"> motor, </w:t>
            </w:r>
          </w:p>
          <w:p w14:paraId="7649B9F8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Sqarojnë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teoritë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themelore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studiojnë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sjelljen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kontekstin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sportiv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05705735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Analizojnë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metodat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efikase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sportistit</w:t>
            </w:r>
            <w:proofErr w:type="spellEnd"/>
          </w:p>
          <w:p w14:paraId="41CE4653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Zhvillojnë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nga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përgatitjes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sportistëve</w:t>
            </w:r>
            <w:proofErr w:type="spellEnd"/>
          </w:p>
          <w:p w14:paraId="216CAF3A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  <w:lang w:val="de-DE"/>
              </w:rPr>
              <w:t>Analizojnë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rëndësinë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kulturës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fizike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dhe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sportit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zhvillimin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personalitetit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</w:p>
          <w:p w14:paraId="618B0C13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E85469">
              <w:rPr>
                <w:sz w:val="20"/>
                <w:szCs w:val="20"/>
              </w:rPr>
              <w:t>Përmbajtja  e</w:t>
            </w:r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ndikojë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nivelin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njohurive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shkathtësive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qëndrimeve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. </w:t>
            </w:r>
          </w:p>
          <w:p w14:paraId="2E5B2419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a-) </w:t>
            </w:r>
            <w:proofErr w:type="spellStart"/>
            <w:r w:rsidRPr="00E85469">
              <w:rPr>
                <w:b/>
                <w:sz w:val="20"/>
                <w:szCs w:val="20"/>
              </w:rPr>
              <w:t>Njohuritë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arrijnë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përvetësojnë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konceptet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bazë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praktikën</w:t>
            </w:r>
            <w:proofErr w:type="spellEnd"/>
            <w:r w:rsidRPr="00E85469">
              <w:rPr>
                <w:sz w:val="20"/>
                <w:szCs w:val="20"/>
              </w:rPr>
              <w:t xml:space="preserve"> sportive</w:t>
            </w:r>
          </w:p>
          <w:p w14:paraId="79849BD6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b-) </w:t>
            </w:r>
            <w:proofErr w:type="spellStart"/>
            <w:r w:rsidRPr="00E85469">
              <w:rPr>
                <w:b/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rrisin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tw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metodave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pwr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pwrgatitjen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tw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sportistwve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</w:p>
          <w:p w14:paraId="6F5B48E4" w14:textId="77777777" w:rsidR="00905EDC" w:rsidRPr="00E85469" w:rsidRDefault="00905EDC" w:rsidP="00E8546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c-) </w:t>
            </w:r>
            <w:proofErr w:type="spellStart"/>
            <w:r w:rsidRPr="00E85469">
              <w:rPr>
                <w:b/>
                <w:sz w:val="20"/>
                <w:szCs w:val="20"/>
              </w:rPr>
              <w:t>Qëndrimet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vetëdijesohen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ta </w:t>
            </w:r>
            <w:proofErr w:type="spellStart"/>
            <w:r w:rsidRPr="00E85469">
              <w:rPr>
                <w:sz w:val="20"/>
                <w:szCs w:val="20"/>
              </w:rPr>
              <w:t>kuptojnë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rëndësinë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përvetësimit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koncepteve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ndërthurura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kulturën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sportin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rëndësinë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praktikat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hulumtimet</w:t>
            </w:r>
            <w:proofErr w:type="spellEnd"/>
            <w:r w:rsidRPr="00E85469">
              <w:rPr>
                <w:sz w:val="20"/>
                <w:szCs w:val="20"/>
              </w:rPr>
              <w:t xml:space="preserve"> sportive  duke </w:t>
            </w:r>
            <w:proofErr w:type="spellStart"/>
            <w:r w:rsidRPr="00E85469">
              <w:rPr>
                <w:sz w:val="20"/>
                <w:szCs w:val="20"/>
              </w:rPr>
              <w:t>stimuluar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qëndrimin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pozitiv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ndaj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kësaj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shkence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1C083F40" w14:textId="77777777" w:rsidR="00A147D0" w:rsidRPr="00E85469" w:rsidRDefault="00A147D0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14:paraId="036F4DCD" w14:textId="77777777" w:rsidR="007C3132" w:rsidRPr="00E85469" w:rsidRDefault="007C3132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F7590" w:rsidRPr="00777D28" w14:paraId="2EF68705" w14:textId="77777777" w:rsidTr="00004B39">
        <w:tc>
          <w:tcPr>
            <w:tcW w:w="8856" w:type="dxa"/>
            <w:gridSpan w:val="4"/>
            <w:shd w:val="clear" w:color="auto" w:fill="B8CCE4"/>
          </w:tcPr>
          <w:p w14:paraId="3A60CF1E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0A41BE29" w14:textId="77777777" w:rsidTr="00EF57F9">
        <w:tc>
          <w:tcPr>
            <w:tcW w:w="8856" w:type="dxa"/>
            <w:gridSpan w:val="4"/>
            <w:shd w:val="clear" w:color="auto" w:fill="B8CCE4"/>
          </w:tcPr>
          <w:p w14:paraId="42A68B7B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gj</w:t>
            </w:r>
            <w:proofErr w:type="gramEnd"/>
            <w:r>
              <w:rPr>
                <w:rFonts w:ascii="Calibri" w:hAnsi="Calibri"/>
                <w:b/>
              </w:rPr>
              <w:t>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E6F08" w:rsidRPr="00777D28" w14:paraId="73ED68C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728E18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606EC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C85A7E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E85F3F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E6F08" w:rsidRPr="00777D28" w14:paraId="17B36E7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D89119" w14:textId="71619CF2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  <w:r w:rsidR="00A66E7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355F5" w14:textId="4690B8A0" w:rsidR="00183923" w:rsidRPr="007C3132" w:rsidRDefault="00A66E7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564CF" w14:textId="794B32A5" w:rsidR="00183923" w:rsidRPr="007C3132" w:rsidRDefault="00A66E7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3913A5" w14:textId="1170970A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66E74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EE6F08" w:rsidRPr="00777D28" w14:paraId="69FEE9C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9A2C88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43E2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7CB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BC39B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238419B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35BA8B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49FD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4E4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DB7E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323B3E4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DADF6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8C05D" w14:textId="1F3C33C0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A319" w14:textId="26CAF9F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55E4E7" w14:textId="3E1F0924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41D8847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5D0BA6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CDE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2E1E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E60C7A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58F6CE2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5DF264" w14:textId="322EB40F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Kollokiume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AC29" w14:textId="44BE7B0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85D3" w14:textId="62B897D9" w:rsidR="00183923" w:rsidRPr="007C3132" w:rsidRDefault="007E0A0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dite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57BCE6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E6F08" w:rsidRPr="00777D28" w14:paraId="1E35AA5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50495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9B8BE" w14:textId="47AE8856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0FE5A" w14:textId="62CE06EF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3BABEC7" w14:textId="5ED3315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0F73A84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D4A17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37EF0" w14:textId="21EC234F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9B12C" w14:textId="3135F94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BEEC15" w14:textId="0642F6F8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2679BB0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30BDD5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87215" w14:textId="445BF7E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D7109" w14:textId="633D1BA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664535" w14:textId="28D6BD99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71F5157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709AF6D" w14:textId="77777777" w:rsidR="00183923" w:rsidRPr="00DB345F" w:rsidRDefault="00183923" w:rsidP="0018392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Koha e kaluar në vlerësim (</w:t>
            </w:r>
            <w:proofErr w:type="gramStart"/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teste,kuiz</w:t>
            </w:r>
            <w:proofErr w:type="gramEnd"/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A9F0" w14:textId="621D642D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1EA7" w14:textId="1C98EBF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4BA490" w14:textId="0D4230E5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E6F08" w:rsidRPr="00777D28" w14:paraId="6AB3B02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46028C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32DCA03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BDC70" w14:textId="3F5A67EE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488D5" w14:textId="03CF14B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422C8C" w14:textId="4A2F569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18C516B2" w14:textId="77777777" w:rsidTr="00E85469">
        <w:trPr>
          <w:trHeight w:val="6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A7AACD5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F450BDF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E52F1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14C97B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2643153" w14:textId="5673AF81" w:rsidR="00183923" w:rsidRPr="007C3132" w:rsidRDefault="007E4A31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140</w:t>
            </w:r>
          </w:p>
        </w:tc>
      </w:tr>
      <w:tr w:rsidR="00FF7590" w:rsidRPr="00777D28" w14:paraId="2EF578BE" w14:textId="77777777" w:rsidTr="00004B39">
        <w:tc>
          <w:tcPr>
            <w:tcW w:w="8856" w:type="dxa"/>
            <w:gridSpan w:val="4"/>
            <w:shd w:val="clear" w:color="auto" w:fill="B8CCE4"/>
          </w:tcPr>
          <w:p w14:paraId="5C046076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05FC2CCD" w14:textId="77777777" w:rsidTr="00183923">
        <w:tc>
          <w:tcPr>
            <w:tcW w:w="3617" w:type="dxa"/>
          </w:tcPr>
          <w:p w14:paraId="1A25DDC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C6F24AC" w14:textId="77777777" w:rsidR="00A31FBF" w:rsidRDefault="00A31FBF" w:rsidP="00EE6F08">
            <w:pPr>
              <w:jc w:val="both"/>
            </w:pPr>
          </w:p>
          <w:p w14:paraId="39B8E897" w14:textId="4BBA7D8B" w:rsidR="00EE6F08" w:rsidRPr="00E85469" w:rsidRDefault="00EE6F08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realizimin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programit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synimeve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tij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përdoren</w:t>
            </w:r>
            <w:proofErr w:type="spellEnd"/>
            <w:r w:rsidRPr="00E85469">
              <w:rPr>
                <w:sz w:val="20"/>
                <w:szCs w:val="20"/>
              </w:rPr>
              <w:t xml:space="preserve"> forma e </w:t>
            </w:r>
            <w:proofErr w:type="spellStart"/>
            <w:r w:rsidRPr="00E85469">
              <w:rPr>
                <w:sz w:val="20"/>
                <w:szCs w:val="20"/>
              </w:rPr>
              <w:t>mënyra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larmishme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mësimore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nxisin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punën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njëkohësisht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 vlerësojnë</w:t>
            </w:r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punën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gjatë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gjithë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semestrit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05BFBA88" w14:textId="25B92B2F" w:rsidR="00EE6F08" w:rsidRPr="00E85469" w:rsidRDefault="00EE6F08" w:rsidP="00E8546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85469">
              <w:rPr>
                <w:sz w:val="20"/>
                <w:szCs w:val="20"/>
              </w:rPr>
              <w:t>Përmbajtja  e</w:t>
            </w:r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  është </w:t>
            </w:r>
            <w:proofErr w:type="spellStart"/>
            <w:r w:rsidRPr="00E85469">
              <w:rPr>
                <w:sz w:val="20"/>
                <w:szCs w:val="20"/>
              </w:rPr>
              <w:t>konceptuar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realizohet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përmes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ligjëratave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seminareve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testimeve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parapërgatitore-kuize</w:t>
            </w:r>
            <w:proofErr w:type="spellEnd"/>
            <w:r w:rsidRPr="00E85469">
              <w:rPr>
                <w:sz w:val="20"/>
                <w:szCs w:val="20"/>
              </w:rPr>
              <w:t xml:space="preserve">,  </w:t>
            </w:r>
            <w:proofErr w:type="spellStart"/>
            <w:r w:rsidRPr="00E85469">
              <w:rPr>
                <w:sz w:val="20"/>
                <w:szCs w:val="20"/>
              </w:rPr>
              <w:t>punës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grupe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punimeve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individuale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konsultimeve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prezantimeve</w:t>
            </w:r>
            <w:proofErr w:type="spellEnd"/>
            <w:r w:rsidR="00A31FBF"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diskutimeve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aktivitete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tjera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ndërvepruese</w:t>
            </w:r>
            <w:proofErr w:type="spellEnd"/>
            <w:r w:rsidRPr="00E85469">
              <w:rPr>
                <w:sz w:val="20"/>
                <w:szCs w:val="20"/>
              </w:rPr>
              <w:t xml:space="preserve">.  </w:t>
            </w:r>
          </w:p>
          <w:p w14:paraId="2763A66F" w14:textId="77777777" w:rsidR="00183923" w:rsidRPr="00E85469" w:rsidRDefault="00183923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14:paraId="34F4BE8D" w14:textId="77777777" w:rsidR="00A147D0" w:rsidRDefault="00A147D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C3EF2FA" w14:textId="77777777" w:rsidR="00183923" w:rsidRPr="00D67209" w:rsidRDefault="00183923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65137363" w14:textId="77777777" w:rsidTr="00183923">
        <w:tc>
          <w:tcPr>
            <w:tcW w:w="3617" w:type="dxa"/>
          </w:tcPr>
          <w:p w14:paraId="364F6EFE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14:paraId="2061DAC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C027305" w14:textId="77777777" w:rsidTr="00E85469">
        <w:trPr>
          <w:trHeight w:val="3545"/>
        </w:trPr>
        <w:tc>
          <w:tcPr>
            <w:tcW w:w="3617" w:type="dxa"/>
          </w:tcPr>
          <w:p w14:paraId="363E8E6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Metodat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E095E3C" w14:textId="77777777" w:rsidR="00A31FBF" w:rsidRPr="00E85469" w:rsidRDefault="00A31FBF" w:rsidP="00E8546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8EA05C6" w14:textId="0D7F771D" w:rsidR="00EE6F08" w:rsidRPr="00E85469" w:rsidRDefault="00EE6F08" w:rsidP="00E85469">
            <w:pPr>
              <w:spacing w:line="276" w:lineRule="auto"/>
              <w:rPr>
                <w:b/>
                <w:sz w:val="20"/>
                <w:szCs w:val="20"/>
              </w:rPr>
            </w:pPr>
            <w:r w:rsidRPr="00E85469">
              <w:rPr>
                <w:b/>
                <w:sz w:val="20"/>
                <w:szCs w:val="20"/>
              </w:rPr>
              <w:t xml:space="preserve">Metodat e </w:t>
            </w:r>
            <w:proofErr w:type="spellStart"/>
            <w:r w:rsidRPr="00E85469">
              <w:rPr>
                <w:b/>
                <w:sz w:val="20"/>
                <w:szCs w:val="20"/>
              </w:rPr>
              <w:t>vlerësimit</w:t>
            </w:r>
            <w:proofErr w:type="spellEnd"/>
            <w:r w:rsidRPr="00E85469">
              <w:rPr>
                <w:b/>
                <w:sz w:val="20"/>
                <w:szCs w:val="20"/>
              </w:rPr>
              <w:t xml:space="preserve">: </w:t>
            </w:r>
          </w:p>
          <w:p w14:paraId="6742B16A" w14:textId="5EAA471D" w:rsidR="0005219C" w:rsidRPr="00E85469" w:rsidRDefault="00EE6F08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Politika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gramStart"/>
            <w:r w:rsidRPr="00E85469">
              <w:rPr>
                <w:sz w:val="20"/>
                <w:szCs w:val="20"/>
              </w:rPr>
              <w:t xml:space="preserve">e  </w:t>
            </w:r>
            <w:proofErr w:type="spellStart"/>
            <w:r w:rsidRPr="00E85469">
              <w:rPr>
                <w:sz w:val="20"/>
                <w:szCs w:val="20"/>
              </w:rPr>
              <w:t>vlerësimit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përfshin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vlerësimin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vazhdueshëm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studentit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, </w:t>
            </w:r>
            <w:proofErr w:type="spellStart"/>
            <w:r w:rsidR="0005219C" w:rsidRPr="00E85469">
              <w:rPr>
                <w:sz w:val="20"/>
                <w:szCs w:val="20"/>
              </w:rPr>
              <w:t>caktohen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kriteret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për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vijueshmëri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rregullt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dhe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rregullat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e </w:t>
            </w:r>
            <w:proofErr w:type="spellStart"/>
            <w:r w:rsidR="0005219C" w:rsidRPr="00E85469">
              <w:rPr>
                <w:sz w:val="20"/>
                <w:szCs w:val="20"/>
              </w:rPr>
              <w:t>mirësjelljes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gjatë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organizimit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mësimit</w:t>
            </w:r>
            <w:proofErr w:type="spellEnd"/>
            <w:r w:rsidR="0005219C" w:rsidRPr="00E85469">
              <w:rPr>
                <w:sz w:val="20"/>
                <w:szCs w:val="20"/>
              </w:rPr>
              <w:t>.</w:t>
            </w:r>
          </w:p>
          <w:p w14:paraId="45771294" w14:textId="77777777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</w:p>
          <w:p w14:paraId="049D303D" w14:textId="77777777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Metodat e </w:t>
            </w:r>
            <w:proofErr w:type="spellStart"/>
            <w:r w:rsidRPr="00E85469">
              <w:rPr>
                <w:sz w:val="20"/>
                <w:szCs w:val="20"/>
              </w:rPr>
              <w:t>vlerësimit</w:t>
            </w:r>
            <w:proofErr w:type="spellEnd"/>
            <w:r w:rsidRPr="00E85469">
              <w:rPr>
                <w:sz w:val="20"/>
                <w:szCs w:val="20"/>
              </w:rPr>
              <w:t>:</w:t>
            </w:r>
          </w:p>
          <w:p w14:paraId="1D5049E3" w14:textId="658DFEE2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Kollokiumi</w:t>
            </w:r>
            <w:proofErr w:type="spellEnd"/>
            <w:r w:rsidRPr="00E85469">
              <w:rPr>
                <w:sz w:val="20"/>
                <w:szCs w:val="20"/>
              </w:rPr>
              <w:t xml:space="preserve"> i I-re  </w:t>
            </w:r>
            <w:r w:rsidR="00660734" w:rsidRPr="00E85469">
              <w:rPr>
                <w:sz w:val="20"/>
                <w:szCs w:val="20"/>
              </w:rPr>
              <w:t xml:space="preserve"> </w:t>
            </w:r>
            <w:r w:rsidRPr="00E85469">
              <w:rPr>
                <w:sz w:val="20"/>
                <w:szCs w:val="20"/>
              </w:rPr>
              <w:t>30p</w:t>
            </w:r>
          </w:p>
          <w:p w14:paraId="71DAA89F" w14:textId="13780F1A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Kollokiumi</w:t>
            </w:r>
            <w:proofErr w:type="spellEnd"/>
            <w:r w:rsidRPr="00E85469">
              <w:rPr>
                <w:sz w:val="20"/>
                <w:szCs w:val="20"/>
              </w:rPr>
              <w:t xml:space="preserve"> I II-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te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r w:rsidR="00660734" w:rsidRPr="00E85469">
              <w:rPr>
                <w:sz w:val="20"/>
                <w:szCs w:val="20"/>
              </w:rPr>
              <w:t xml:space="preserve"> </w:t>
            </w:r>
            <w:r w:rsidRPr="00E85469">
              <w:rPr>
                <w:sz w:val="20"/>
                <w:szCs w:val="20"/>
              </w:rPr>
              <w:t>30</w:t>
            </w:r>
            <w:proofErr w:type="gramEnd"/>
            <w:r w:rsidRPr="00E85469">
              <w:rPr>
                <w:sz w:val="20"/>
                <w:szCs w:val="20"/>
              </w:rPr>
              <w:t>p</w:t>
            </w:r>
          </w:p>
          <w:p w14:paraId="2EF16657" w14:textId="5387F814" w:rsidR="0005219C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Projekte</w:t>
            </w:r>
            <w:proofErr w:type="spellEnd"/>
            <w:r w:rsidRPr="00E85469">
              <w:rPr>
                <w:sz w:val="20"/>
                <w:szCs w:val="20"/>
              </w:rPr>
              <w:t>/</w:t>
            </w:r>
            <w:proofErr w:type="spellStart"/>
            <w:r w:rsidRPr="00E85469">
              <w:rPr>
                <w:sz w:val="20"/>
                <w:szCs w:val="20"/>
              </w:rPr>
              <w:t>Seminare</w:t>
            </w:r>
            <w:proofErr w:type="spellEnd"/>
            <w:r w:rsidRPr="00E85469">
              <w:rPr>
                <w:sz w:val="20"/>
                <w:szCs w:val="20"/>
              </w:rPr>
              <w:t xml:space="preserve"> 20p</w:t>
            </w:r>
          </w:p>
          <w:p w14:paraId="2244F707" w14:textId="673B5FAD" w:rsidR="00660734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Vijueshmeria</w:t>
            </w:r>
            <w:proofErr w:type="spellEnd"/>
            <w:r w:rsidRPr="00E85469">
              <w:rPr>
                <w:sz w:val="20"/>
                <w:szCs w:val="20"/>
              </w:rPr>
              <w:t xml:space="preserve">         15p</w:t>
            </w:r>
          </w:p>
          <w:p w14:paraId="43C9301C" w14:textId="0C081B1D" w:rsidR="00183923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Detyre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individuale</w:t>
            </w:r>
            <w:proofErr w:type="spellEnd"/>
            <w:r w:rsidRPr="00E85469">
              <w:rPr>
                <w:sz w:val="20"/>
                <w:szCs w:val="20"/>
              </w:rPr>
              <w:t xml:space="preserve"> 5p</w:t>
            </w:r>
          </w:p>
          <w:p w14:paraId="18478D3F" w14:textId="77777777" w:rsidR="00A147D0" w:rsidRPr="00D67209" w:rsidRDefault="00A147D0" w:rsidP="00A147D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797E0E4B" w14:textId="77777777" w:rsidTr="00EF57F9">
        <w:tc>
          <w:tcPr>
            <w:tcW w:w="8856" w:type="dxa"/>
            <w:gridSpan w:val="4"/>
            <w:shd w:val="clear" w:color="auto" w:fill="B8CCE4"/>
          </w:tcPr>
          <w:p w14:paraId="5503451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E85469" w14:paraId="52B959C6" w14:textId="77777777" w:rsidTr="00183923">
        <w:tc>
          <w:tcPr>
            <w:tcW w:w="3617" w:type="dxa"/>
          </w:tcPr>
          <w:p w14:paraId="73F7410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F861456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</w:rPr>
              <w:t>Zhurda</w:t>
            </w:r>
            <w:proofErr w:type="spellEnd"/>
            <w:r w:rsidRPr="00E85469">
              <w:rPr>
                <w:sz w:val="20"/>
                <w:szCs w:val="20"/>
              </w:rPr>
              <w:t xml:space="preserve">. Y, </w:t>
            </w:r>
            <w:proofErr w:type="spellStart"/>
            <w:r w:rsidRPr="00E85469">
              <w:rPr>
                <w:sz w:val="20"/>
                <w:szCs w:val="20"/>
              </w:rPr>
              <w:t>Curani</w:t>
            </w:r>
            <w:proofErr w:type="spellEnd"/>
            <w:r w:rsidRPr="00E85469">
              <w:rPr>
                <w:sz w:val="20"/>
                <w:szCs w:val="20"/>
              </w:rPr>
              <w:t xml:space="preserve">, V. (1997).  </w:t>
            </w:r>
            <w:r w:rsidRPr="00E85469">
              <w:rPr>
                <w:i/>
                <w:sz w:val="20"/>
                <w:szCs w:val="20"/>
              </w:rPr>
              <w:t>Psikologjia sportive</w:t>
            </w:r>
            <w:r w:rsidRPr="00E85469">
              <w:rPr>
                <w:sz w:val="20"/>
                <w:szCs w:val="20"/>
              </w:rPr>
              <w:t xml:space="preserve">.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Tiranë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. </w:t>
            </w:r>
          </w:p>
          <w:p w14:paraId="05C71803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  <w:lang w:val="de-DE"/>
              </w:rPr>
              <w:t>Zhurda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. Y. (2013). </w:t>
            </w:r>
            <w:proofErr w:type="spellStart"/>
            <w:r w:rsidRPr="00E85469">
              <w:rPr>
                <w:i/>
                <w:sz w:val="20"/>
                <w:szCs w:val="20"/>
                <w:lang w:val="de-DE"/>
              </w:rPr>
              <w:t>Psikologji</w:t>
            </w:r>
            <w:proofErr w:type="spellEnd"/>
            <w:r w:rsidRPr="00E85469">
              <w:rPr>
                <w:i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i/>
                <w:sz w:val="20"/>
                <w:szCs w:val="20"/>
                <w:lang w:val="de-DE"/>
              </w:rPr>
              <w:t>Sportit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Tiranë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>.</w:t>
            </w:r>
          </w:p>
          <w:p w14:paraId="41F0ECCD" w14:textId="77777777" w:rsidR="00317750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r w:rsidRPr="00E85469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183923" w:rsidRPr="00777D28" w14:paraId="3CCCCF74" w14:textId="77777777" w:rsidTr="00183923">
        <w:tc>
          <w:tcPr>
            <w:tcW w:w="3617" w:type="dxa"/>
          </w:tcPr>
          <w:p w14:paraId="2BB5F0F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DE962F4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6322F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Woods, </w:t>
            </w:r>
            <w:proofErr w:type="gramStart"/>
            <w:r w:rsidRPr="00E85469">
              <w:rPr>
                <w:sz w:val="20"/>
                <w:szCs w:val="20"/>
              </w:rPr>
              <w:t>B.(</w:t>
            </w:r>
            <w:proofErr w:type="gramEnd"/>
            <w:r w:rsidRPr="00E85469">
              <w:rPr>
                <w:sz w:val="20"/>
                <w:szCs w:val="20"/>
              </w:rPr>
              <w:t xml:space="preserve">2004).  </w:t>
            </w:r>
            <w:r w:rsidRPr="00E85469">
              <w:rPr>
                <w:i/>
                <w:sz w:val="20"/>
                <w:szCs w:val="20"/>
              </w:rPr>
              <w:t>Applying psychology to sport</w:t>
            </w:r>
            <w:r w:rsidRPr="00E85469">
              <w:rPr>
                <w:sz w:val="20"/>
                <w:szCs w:val="20"/>
              </w:rPr>
              <w:t>. Hodder &amp; Stoughton. England</w:t>
            </w:r>
          </w:p>
          <w:p w14:paraId="2040258B" w14:textId="77777777" w:rsidR="00317750" w:rsidRPr="00E85469" w:rsidRDefault="00EE6F08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 w:rsidRPr="00E85469">
              <w:rPr>
                <w:sz w:val="20"/>
                <w:szCs w:val="20"/>
                <w:lang w:bidi="bn-BD"/>
              </w:rPr>
              <w:lastRenderedPageBreak/>
              <w:t xml:space="preserve">Wise, S.P., </w:t>
            </w:r>
            <w:proofErr w:type="spellStart"/>
            <w:r w:rsidRPr="00E85469">
              <w:rPr>
                <w:sz w:val="20"/>
                <w:szCs w:val="20"/>
                <w:lang w:bidi="bn-BD"/>
              </w:rPr>
              <w:t>Shadmehr</w:t>
            </w:r>
            <w:proofErr w:type="spellEnd"/>
            <w:r w:rsidRPr="00E85469">
              <w:rPr>
                <w:sz w:val="20"/>
                <w:szCs w:val="20"/>
                <w:lang w:bidi="bn-BD"/>
              </w:rPr>
              <w:t xml:space="preserve">, R. (2002): </w:t>
            </w:r>
            <w:r w:rsidRPr="00E85469">
              <w:rPr>
                <w:i/>
                <w:sz w:val="20"/>
                <w:szCs w:val="20"/>
                <w:lang w:bidi="bn-BD"/>
              </w:rPr>
              <w:t>Motor control</w:t>
            </w:r>
            <w:r w:rsidRPr="00E85469">
              <w:rPr>
                <w:sz w:val="20"/>
                <w:szCs w:val="20"/>
                <w:lang w:bidi="bn-BD"/>
              </w:rPr>
              <w:t>. In: Encyclopedia of the Human Brain. Ramachandran VS, ed. San Diego, CA: Academic Press, vol. 3, pp. 137-157</w:t>
            </w:r>
            <w:proofErr w:type="gramStart"/>
            <w:r w:rsidRPr="00E85469">
              <w:rPr>
                <w:sz w:val="20"/>
                <w:szCs w:val="20"/>
                <w:lang w:bidi="bn-BD"/>
              </w:rPr>
              <w:t xml:space="preserve">   [</w:t>
            </w:r>
            <w:proofErr w:type="gramEnd"/>
            <w:r w:rsidRPr="00E85469">
              <w:rPr>
                <w:sz w:val="20"/>
                <w:szCs w:val="20"/>
                <w:lang w:bidi="bn-BD"/>
              </w:rPr>
              <w:t>http://ëëë.shadmehrlab.org/Reprints/EncHumanBrain.pdf]</w:t>
            </w:r>
          </w:p>
          <w:p w14:paraId="57ED11B2" w14:textId="77777777" w:rsidR="00317750" w:rsidRPr="00D67209" w:rsidRDefault="0031775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183F5D4D" w14:textId="77777777" w:rsidR="00FE36ED" w:rsidRPr="00FE36ED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952"/>
      </w:tblGrid>
      <w:tr w:rsidR="00D67209" w:rsidRPr="00777D28" w14:paraId="10A58EA7" w14:textId="77777777" w:rsidTr="00EF57F9">
        <w:tc>
          <w:tcPr>
            <w:tcW w:w="8856" w:type="dxa"/>
            <w:gridSpan w:val="2"/>
            <w:shd w:val="clear" w:color="auto" w:fill="B8CCE4"/>
          </w:tcPr>
          <w:p w14:paraId="51EB036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FED60C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E85469" w14:paraId="4976AA4E" w14:textId="77777777" w:rsidTr="00EF57F9">
        <w:tc>
          <w:tcPr>
            <w:tcW w:w="2718" w:type="dxa"/>
            <w:shd w:val="clear" w:color="auto" w:fill="B8CCE4"/>
          </w:tcPr>
          <w:p w14:paraId="3A5E5B89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0EA5974" w14:textId="77777777" w:rsidR="00D67209" w:rsidRPr="00E85469" w:rsidRDefault="00D67209" w:rsidP="00D67209">
            <w:pPr>
              <w:rPr>
                <w:b/>
              </w:rPr>
            </w:pPr>
            <w:proofErr w:type="spellStart"/>
            <w:r w:rsidRPr="00E85469">
              <w:rPr>
                <w:b/>
              </w:rPr>
              <w:t>Ligjerata</w:t>
            </w:r>
            <w:proofErr w:type="spellEnd"/>
            <w:r w:rsidRPr="00E85469">
              <w:rPr>
                <w:b/>
              </w:rPr>
              <w:t xml:space="preserve"> </w:t>
            </w:r>
            <w:proofErr w:type="spellStart"/>
            <w:r w:rsidRPr="00E85469">
              <w:rPr>
                <w:b/>
              </w:rPr>
              <w:t>që</w:t>
            </w:r>
            <w:proofErr w:type="spellEnd"/>
            <w:r w:rsidRPr="00E85469">
              <w:rPr>
                <w:b/>
              </w:rPr>
              <w:t xml:space="preserve"> do </w:t>
            </w:r>
            <w:proofErr w:type="spellStart"/>
            <w:r w:rsidRPr="00E85469">
              <w:rPr>
                <w:b/>
              </w:rPr>
              <w:t>të</w:t>
            </w:r>
            <w:proofErr w:type="spellEnd"/>
            <w:r w:rsidRPr="00E85469">
              <w:rPr>
                <w:b/>
              </w:rPr>
              <w:t xml:space="preserve"> </w:t>
            </w:r>
            <w:proofErr w:type="spellStart"/>
            <w:r w:rsidRPr="00E85469">
              <w:rPr>
                <w:b/>
              </w:rPr>
              <w:t>zhvillohet</w:t>
            </w:r>
            <w:proofErr w:type="spellEnd"/>
          </w:p>
        </w:tc>
      </w:tr>
      <w:tr w:rsidR="00D67209" w:rsidRPr="00E85469" w14:paraId="04650D0B" w14:textId="77777777" w:rsidTr="00D67209">
        <w:tc>
          <w:tcPr>
            <w:tcW w:w="2718" w:type="dxa"/>
          </w:tcPr>
          <w:p w14:paraId="68705324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parë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8327FFE" w14:textId="77777777" w:rsidR="00D67209" w:rsidRPr="00E85469" w:rsidRDefault="00EE6F08" w:rsidP="00D67209">
            <w:pPr>
              <w:rPr>
                <w:b/>
              </w:rPr>
            </w:pPr>
            <w:proofErr w:type="spellStart"/>
            <w:r w:rsidRPr="00E85469">
              <w:rPr>
                <w:b/>
              </w:rPr>
              <w:t>Shpalosje</w:t>
            </w:r>
            <w:proofErr w:type="spellEnd"/>
            <w:r w:rsidRPr="00E85469">
              <w:rPr>
                <w:b/>
              </w:rPr>
              <w:t xml:space="preserve"> e </w:t>
            </w:r>
            <w:proofErr w:type="spellStart"/>
            <w:r w:rsidRPr="00E85469">
              <w:rPr>
                <w:b/>
              </w:rPr>
              <w:t>syllabusit</w:t>
            </w:r>
            <w:proofErr w:type="spellEnd"/>
          </w:p>
        </w:tc>
      </w:tr>
      <w:tr w:rsidR="00D67209" w:rsidRPr="00E85469" w14:paraId="05FFD4F8" w14:textId="77777777" w:rsidTr="00D67209">
        <w:tc>
          <w:tcPr>
            <w:tcW w:w="2718" w:type="dxa"/>
          </w:tcPr>
          <w:p w14:paraId="33B20356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dytë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6A822174" w14:textId="77777777" w:rsidR="000F3717" w:rsidRDefault="000F3717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314E49F6" w14:textId="1D4A4485" w:rsidR="00D67209" w:rsidRDefault="00EE6F08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r w:rsidRPr="000F3717">
              <w:rPr>
                <w:b/>
                <w:sz w:val="20"/>
                <w:szCs w:val="20"/>
                <w:lang w:val="it-IT"/>
              </w:rPr>
              <w:t>Psikologjia Sportive</w:t>
            </w:r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njohuri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per </w:t>
            </w:r>
            <w:proofErr w:type="spellStart"/>
            <w:proofErr w:type="gramStart"/>
            <w:r w:rsidR="007B1A0C" w:rsidRPr="000F3717">
              <w:rPr>
                <w:b/>
                <w:sz w:val="20"/>
                <w:szCs w:val="20"/>
                <w:lang w:val="it-IT"/>
              </w:rPr>
              <w:t>trajnimin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 e</w:t>
            </w:r>
            <w:proofErr w:type="gram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aftesive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psikologjike</w:t>
            </w:r>
            <w:proofErr w:type="spellEnd"/>
          </w:p>
          <w:p w14:paraId="453372F0" w14:textId="77777777" w:rsidR="000F3717" w:rsidRPr="000F3717" w:rsidRDefault="000F3717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01C47295" w14:textId="77777777" w:rsidR="00783122" w:rsidRPr="000F3717" w:rsidRDefault="00783122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  <w:r w:rsidRPr="000F3717">
              <w:rPr>
                <w:sz w:val="20"/>
                <w:szCs w:val="20"/>
                <w:lang w:val="it-IT"/>
              </w:rPr>
              <w:t xml:space="preserve">Psikologjia Sportive është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degë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psikologjisë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merret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studimin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aplikimin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njohurive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përmirësuar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individëve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sport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aktivitete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fizike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Ajo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fokusohet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zhvillimin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nevojshme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t'u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përballur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sfidat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sporteve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si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koncentrimi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menaxhimi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stresit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motivimi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ndihma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mbajtur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qëndrim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pozitiv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edhe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momentet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vështira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>.</w:t>
            </w:r>
          </w:p>
          <w:p w14:paraId="1BEDAFBB" w14:textId="77777777" w:rsidR="00783122" w:rsidRDefault="00783122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sz w:val="20"/>
                <w:szCs w:val="20"/>
                <w:lang w:val="it-IT"/>
              </w:rPr>
              <w:t>Trajnimi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përfshin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teknika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relaksimi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vizualizimi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përqendrimi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mendjes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zhvillimi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vetëbesimit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Këto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ndihmojnë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sportistët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përmirësojnë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tyre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arrijnë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qëllimet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duke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përballur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presionin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duke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ruajtur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qëndrim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fortë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emocional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çdo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moment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aktivitetit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>.</w:t>
            </w:r>
          </w:p>
          <w:p w14:paraId="4F36D7C1" w14:textId="61CD4C1C" w:rsidR="000F3717" w:rsidRPr="000F3717" w:rsidRDefault="000F3717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D67209" w:rsidRPr="00E85469" w14:paraId="25551FED" w14:textId="77777777" w:rsidTr="00D67209">
        <w:tc>
          <w:tcPr>
            <w:tcW w:w="2718" w:type="dxa"/>
          </w:tcPr>
          <w:p w14:paraId="4299D701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tretë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7840DD02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476FD49" w14:textId="0E5BBA2E" w:rsidR="00D67209" w:rsidRDefault="007E0A0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Motivimi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ne sport</w:t>
            </w:r>
          </w:p>
          <w:p w14:paraId="7002289C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627C275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përbën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komponent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esencial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ndikuar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drejtpërdrejt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angazhimin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qëndrueshmërinë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përpjekjet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nivele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shfaqet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dy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forma </w:t>
            </w:r>
            <w:proofErr w:type="spellStart"/>
            <w:r w:rsidRPr="000F3717">
              <w:rPr>
                <w:bCs/>
                <w:sz w:val="20"/>
                <w:szCs w:val="20"/>
              </w:rPr>
              <w:t>kryesore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brendshëm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i </w:t>
            </w:r>
            <w:proofErr w:type="spellStart"/>
            <w:r w:rsidRPr="000F3717">
              <w:rPr>
                <w:bCs/>
                <w:sz w:val="20"/>
                <w:szCs w:val="20"/>
              </w:rPr>
              <w:t>cili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lidhet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kënaqësinë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kënaqësinë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përjeton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varet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shpërblimet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pritshmëritë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tjerëve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nivel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lartë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siguruar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përqendrim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vazhdueshëm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afatshkurtra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afatgjata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22DA21F3" w14:textId="6B6B8059" w:rsidR="000F3717" w:rsidRPr="00E85469" w:rsidRDefault="000F3717" w:rsidP="000F3717">
            <w:pPr>
              <w:spacing w:line="276" w:lineRule="auto"/>
              <w:rPr>
                <w:bCs/>
              </w:rPr>
            </w:pPr>
          </w:p>
        </w:tc>
      </w:tr>
      <w:tr w:rsidR="00D67209" w:rsidRPr="00E85469" w14:paraId="0A62275D" w14:textId="77777777" w:rsidTr="00D67209">
        <w:tc>
          <w:tcPr>
            <w:tcW w:w="2718" w:type="dxa"/>
          </w:tcPr>
          <w:p w14:paraId="4DB686DC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katërt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401180F6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4EF668" w14:textId="7A8D2ED0" w:rsidR="00D67209" w:rsidRDefault="007E0A0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F3717">
              <w:rPr>
                <w:b/>
                <w:sz w:val="20"/>
                <w:szCs w:val="20"/>
              </w:rPr>
              <w:t>Emocioni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0F3717">
              <w:rPr>
                <w:b/>
                <w:sz w:val="20"/>
                <w:szCs w:val="20"/>
              </w:rPr>
              <w:t>në</w:t>
            </w:r>
            <w:proofErr w:type="spellEnd"/>
            <w:proofErr w:type="gramEnd"/>
            <w:r w:rsidRPr="000F3717">
              <w:rPr>
                <w:b/>
                <w:sz w:val="20"/>
                <w:szCs w:val="20"/>
              </w:rPr>
              <w:t xml:space="preserve"> sport</w:t>
            </w:r>
          </w:p>
          <w:p w14:paraId="1549CC6A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96260AB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Emocioni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luan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rol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rëndësishëm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ndikuar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Ndjenja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tilla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gëzimi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zemërimi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frika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rrisin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pengojnë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pasur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ndikim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drejtpërdrejtë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lastRenderedPageBreak/>
              <w:t>reaguar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ndryshme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sport.</w:t>
            </w:r>
          </w:p>
          <w:p w14:paraId="6E6095DD" w14:textId="4B33B2E2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402A9A4" w14:textId="77777777" w:rsidTr="00D67209">
        <w:tc>
          <w:tcPr>
            <w:tcW w:w="2718" w:type="dxa"/>
          </w:tcPr>
          <w:p w14:paraId="728CD9CC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pestë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5B8457F4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1C0C35" w14:textId="7F2F19DB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Njohja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sociale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dhe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problemet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/>
                <w:sz w:val="20"/>
                <w:szCs w:val="20"/>
              </w:rPr>
              <w:t>sjelljes</w:t>
            </w:r>
            <w:proofErr w:type="spellEnd"/>
            <w:r w:rsidRPr="000F3717">
              <w:rPr>
                <w:b/>
                <w:sz w:val="20"/>
                <w:szCs w:val="20"/>
              </w:rPr>
              <w:t>/</w:t>
            </w:r>
            <w:proofErr w:type="spellStart"/>
            <w:r w:rsidRPr="000F3717">
              <w:rPr>
                <w:b/>
                <w:sz w:val="20"/>
                <w:szCs w:val="20"/>
              </w:rPr>
              <w:t>Paniku</w:t>
            </w:r>
            <w:proofErr w:type="spellEnd"/>
          </w:p>
          <w:p w14:paraId="4CFFEE2E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7DC65E5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Paniku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reagim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papritur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intensiv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paralajmërim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shoqëruar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simptoma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rrahje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zemrës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frymëmarrje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ndjesi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humbjes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Kriza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panikut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episod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shfaqjes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simptomave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Kjo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sjelljen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ndërveprimet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sociale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përkeqësuar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probleme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tjera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</w:rPr>
              <w:t>panikut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frymëmarrjes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terapia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disa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raste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mbështetje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farmakologjike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208C5E19" w14:textId="11612BDD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133E5CA0" w14:textId="77777777" w:rsidTr="00D67209">
        <w:tc>
          <w:tcPr>
            <w:tcW w:w="2718" w:type="dxa"/>
          </w:tcPr>
          <w:p w14:paraId="3532DA23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gjashtë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0BC412D6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DBB447D" w14:textId="7C135A01" w:rsidR="00D67209" w:rsidRDefault="00EE6F08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F3717">
              <w:rPr>
                <w:b/>
                <w:sz w:val="20"/>
                <w:szCs w:val="20"/>
              </w:rPr>
              <w:t>Stresi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664F4D" w:rsidRPr="000F3717">
              <w:rPr>
                <w:b/>
                <w:sz w:val="20"/>
                <w:szCs w:val="20"/>
              </w:rPr>
              <w:t>dhe</w:t>
            </w:r>
            <w:proofErr w:type="spellEnd"/>
            <w:proofErr w:type="gramEnd"/>
            <w:r w:rsidR="00664F4D"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Ankthi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ne sport</w:t>
            </w:r>
          </w:p>
          <w:p w14:paraId="0D70D665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E8C64A3" w14:textId="77777777" w:rsidR="00664F4D" w:rsidRDefault="006B4185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dy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negativisht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caktuara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ndërsa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ndjenjë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shqetësimit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shkaktojë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probleme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humbja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fokusit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tensioni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muskujve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Në sport, </w:t>
            </w:r>
            <w:proofErr w:type="spellStart"/>
            <w:r w:rsidRPr="000F3717">
              <w:rPr>
                <w:bCs/>
                <w:sz w:val="20"/>
                <w:szCs w:val="20"/>
              </w:rPr>
              <w:t>menaxhimi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stresit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përdorur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relaksimi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përqendrimi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vizualizimi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duhur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reduktuar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këtyre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7AE73738" w14:textId="3CDDA840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0CE416D" w14:textId="77777777" w:rsidTr="00D67209">
        <w:tc>
          <w:tcPr>
            <w:tcW w:w="2718" w:type="dxa"/>
          </w:tcPr>
          <w:p w14:paraId="5A743493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shtatë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C718A76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7CD9D96" w14:textId="77777777" w:rsidR="00D67209" w:rsidRDefault="00EE6F08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Kollokiumi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r w:rsidR="00682DD2" w:rsidRPr="000F3717">
              <w:rPr>
                <w:b/>
                <w:sz w:val="20"/>
                <w:szCs w:val="20"/>
              </w:rPr>
              <w:t>i</w:t>
            </w:r>
            <w:r w:rsidRPr="000F3717">
              <w:rPr>
                <w:b/>
                <w:sz w:val="20"/>
                <w:szCs w:val="20"/>
              </w:rPr>
              <w:t xml:space="preserve"> pare</w:t>
            </w:r>
          </w:p>
          <w:p w14:paraId="3711CC10" w14:textId="6AD99247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67209" w:rsidRPr="00E85469" w14:paraId="2E1ED6E5" w14:textId="77777777" w:rsidTr="00D67209">
        <w:tc>
          <w:tcPr>
            <w:tcW w:w="2718" w:type="dxa"/>
          </w:tcPr>
          <w:p w14:paraId="43B0D49B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tetë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997AEC8" w14:textId="77777777" w:rsidR="000F3717" w:rsidRDefault="000F3717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0D8678F3" w14:textId="0B1909B3" w:rsidR="006B4185" w:rsidRDefault="00024611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sport</w:t>
            </w:r>
          </w:p>
          <w:p w14:paraId="5A95BFBD" w14:textId="77777777" w:rsidR="000F3717" w:rsidRPr="000F3717" w:rsidRDefault="000F3717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17EC4BF1" w14:textId="77777777" w:rsidR="006B4185" w:rsidRPr="000F3717" w:rsidRDefault="006B4185" w:rsidP="000F3717">
            <w:pPr>
              <w:tabs>
                <w:tab w:val="num" w:pos="0"/>
              </w:tabs>
              <w:spacing w:line="276" w:lineRule="auto"/>
              <w:jc w:val="both"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sport është një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sjellje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drejtuar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dëmtuar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ose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dominuar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kundërshtarin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rezultat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forta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zemërimi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ose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frustrimi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shfaqet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forma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sulm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>) ose verbale (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insultime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).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ndikojë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negativisht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dëmtojë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marrëdhëniet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ekipin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kundërshtarët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promovimi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i një atmosfere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pozitive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thelbësore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reduktuar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siguruar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sportiv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>.</w:t>
            </w:r>
          </w:p>
          <w:p w14:paraId="71D90843" w14:textId="09A156AA" w:rsidR="00D67209" w:rsidRPr="000F3717" w:rsidRDefault="00024611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r w:rsidRPr="000F3717">
              <w:rPr>
                <w:b/>
                <w:sz w:val="20"/>
                <w:szCs w:val="20"/>
                <w:lang w:val="it-IT"/>
              </w:rPr>
              <w:tab/>
            </w:r>
          </w:p>
        </w:tc>
      </w:tr>
      <w:tr w:rsidR="00D67209" w:rsidRPr="00E85469" w14:paraId="7262C96C" w14:textId="77777777" w:rsidTr="00D67209">
        <w:tc>
          <w:tcPr>
            <w:tcW w:w="2718" w:type="dxa"/>
          </w:tcPr>
          <w:p w14:paraId="7026E00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nëntë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45BFA153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14:paraId="0352A5C9" w14:textId="3DE999D7" w:rsidR="00D67209" w:rsidRPr="000F3717" w:rsidRDefault="00024611" w:rsidP="000F371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lastRenderedPageBreak/>
              <w:t>Sjellja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korrekte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sport</w:t>
            </w:r>
          </w:p>
          <w:p w14:paraId="117C4516" w14:textId="77777777" w:rsid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4417DF98" w14:textId="77777777" w:rsid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37D4AA4B" w14:textId="77777777" w:rsidR="006B4185" w:rsidRDefault="006B4185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Sjellja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korrekte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rregullave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ndershmërinë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fair play-n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kundërshtarët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arbitrat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bashkëlojtarët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Ajo </w:t>
            </w:r>
            <w:proofErr w:type="spellStart"/>
            <w:r w:rsidRPr="000F3717">
              <w:rPr>
                <w:bCs/>
                <w:sz w:val="20"/>
                <w:szCs w:val="20"/>
              </w:rPr>
              <w:t>nënkupton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promovojnë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atmosferë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duke </w:t>
            </w:r>
            <w:proofErr w:type="spellStart"/>
            <w:r w:rsidRPr="000F3717">
              <w:rPr>
                <w:bCs/>
                <w:sz w:val="20"/>
                <w:szCs w:val="20"/>
              </w:rPr>
              <w:t>shmangur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agresionin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manipulimin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pjesëmarrësit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duhet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tregojnë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vetëkontroll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etikë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përgjegjësi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respektueshëm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favorizon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1E6DB919" w14:textId="62E9A10F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6A294C9" w14:textId="77777777" w:rsidTr="00D67209">
        <w:tc>
          <w:tcPr>
            <w:tcW w:w="2718" w:type="dxa"/>
          </w:tcPr>
          <w:p w14:paraId="52D6302A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dhjetë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5599FC9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3C8244C" w14:textId="4A53A12F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r w:rsidRPr="000F3717">
              <w:rPr>
                <w:b/>
                <w:sz w:val="20"/>
                <w:szCs w:val="20"/>
              </w:rPr>
              <w:t xml:space="preserve">Filozofia e </w:t>
            </w:r>
            <w:proofErr w:type="spellStart"/>
            <w:r w:rsidRPr="000F3717">
              <w:rPr>
                <w:b/>
                <w:sz w:val="20"/>
                <w:szCs w:val="20"/>
              </w:rPr>
              <w:t>trajnimit</w:t>
            </w:r>
            <w:proofErr w:type="spellEnd"/>
          </w:p>
          <w:p w14:paraId="055B66A3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4C83EB6" w14:textId="77777777" w:rsidR="004635F4" w:rsidRDefault="004635F4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Filozofia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qasje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menduar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strukturuar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mendor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nëpërmjet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Ajo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teoritë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udhëheqin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procesin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përshtatshmëria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ngarkesës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përsëritja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gradual,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rëndësia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fokusimit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Filozofia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nxit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qasje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balancuar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elemente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forcës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fleksibilitetit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qëndrueshmërisë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strategjisë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synon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optimizojë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marrë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parasysh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nevojat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sociale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7E02A5E1" w14:textId="1E7D3789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3B565D8C" w14:textId="77777777" w:rsidTr="00D67209">
        <w:tc>
          <w:tcPr>
            <w:tcW w:w="2718" w:type="dxa"/>
          </w:tcPr>
          <w:p w14:paraId="6632BA2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njëmbedhjetë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082964FD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F76DE3E" w14:textId="3713E9BE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Komunikimi</w:t>
            </w:r>
            <w:proofErr w:type="spellEnd"/>
            <w:r w:rsidR="009919AA" w:rsidRPr="000F3717">
              <w:rPr>
                <w:b/>
                <w:sz w:val="20"/>
                <w:szCs w:val="20"/>
              </w:rPr>
              <w:t xml:space="preserve"> </w:t>
            </w:r>
          </w:p>
          <w:p w14:paraId="11FB01D5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D6D27FF" w14:textId="77777777" w:rsidR="009919AA" w:rsidRPr="000F3717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ekipeve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pasi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ai </w:t>
            </w:r>
            <w:proofErr w:type="spellStart"/>
            <w:r w:rsidRPr="000F3717">
              <w:rPr>
                <w:bCs/>
                <w:sz w:val="20"/>
                <w:szCs w:val="20"/>
              </w:rPr>
              <w:t>lejon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shkëmbimin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informacionit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udhëzimeve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efektshëm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jetë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verbal (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udhëzimet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bisedat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lojtarëve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jo-verbal (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gjestet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mimika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trupore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). Ai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koordinimin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zgjidhjen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konflikteve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besimin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hapur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qartë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mira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431C9A40" w14:textId="160B02CB" w:rsidR="009919AA" w:rsidRPr="000F3717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82CF41F" w14:textId="77777777" w:rsidTr="00D67209">
        <w:tc>
          <w:tcPr>
            <w:tcW w:w="2718" w:type="dxa"/>
          </w:tcPr>
          <w:p w14:paraId="7B4F8498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dymbëdhjetë</w:t>
            </w:r>
            <w:proofErr w:type="spellEnd"/>
            <w:r w:rsidRPr="00E85469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465755DA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8004183" w14:textId="1F8565E3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Lidershipi</w:t>
            </w:r>
            <w:proofErr w:type="spellEnd"/>
          </w:p>
          <w:p w14:paraId="5BA27933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AB6A5EB" w14:textId="77777777" w:rsidR="009072C3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udhëhequr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përbashkëta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atmosferë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lider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i </w:t>
            </w:r>
            <w:proofErr w:type="spellStart"/>
            <w:r w:rsidRPr="000F3717">
              <w:rPr>
                <w:bCs/>
                <w:sz w:val="20"/>
                <w:szCs w:val="20"/>
              </w:rPr>
              <w:t>aftë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gjithashtu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inkurajuar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lastRenderedPageBreak/>
              <w:t>ndihmuar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potencialit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plotë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anëtarëve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disiplinën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ndryshme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</w:rPr>
              <w:t>luan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</w:p>
          <w:p w14:paraId="2A51A15F" w14:textId="6491DC20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një </w:t>
            </w:r>
            <w:proofErr w:type="spellStart"/>
            <w:r w:rsidRPr="000F3717">
              <w:rPr>
                <w:bCs/>
                <w:sz w:val="20"/>
                <w:szCs w:val="20"/>
              </w:rPr>
              <w:t>rol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kyç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ofrohet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349EB906" w14:textId="03107B2A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66052A56" w14:textId="77777777" w:rsidTr="00D67209">
        <w:tc>
          <w:tcPr>
            <w:tcW w:w="2718" w:type="dxa"/>
          </w:tcPr>
          <w:p w14:paraId="7F9E140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trembëdhjetë</w:t>
            </w:r>
            <w:proofErr w:type="spellEnd"/>
            <w:r w:rsidRPr="00E85469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151B9888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9AA603" w14:textId="5EB7471C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Vetebesimi</w:t>
            </w:r>
            <w:proofErr w:type="spellEnd"/>
          </w:p>
          <w:p w14:paraId="382FF5BB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935D859" w14:textId="77777777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ka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tij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t'u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sfidat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Në sport,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nivele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pasi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mbajnë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fokusin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edhe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momentet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gjithashtu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sakta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dështimeve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u </w:t>
            </w:r>
            <w:proofErr w:type="spellStart"/>
            <w:r w:rsidRPr="000F3717">
              <w:rPr>
                <w:bCs/>
                <w:sz w:val="20"/>
                <w:szCs w:val="20"/>
              </w:rPr>
              <w:t>rikuperuar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duke </w:t>
            </w:r>
            <w:proofErr w:type="spellStart"/>
            <w:r w:rsidRPr="000F3717">
              <w:rPr>
                <w:bCs/>
                <w:sz w:val="20"/>
                <w:szCs w:val="20"/>
              </w:rPr>
              <w:t>vazhduar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përpjekjet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përvojës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mbështetjes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ekipet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6E73A81C" w14:textId="64C37394" w:rsidR="009072C3" w:rsidRPr="000F3717" w:rsidRDefault="009072C3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337DBDFA" w14:textId="77777777" w:rsidTr="00D67209">
        <w:tc>
          <w:tcPr>
            <w:tcW w:w="2718" w:type="dxa"/>
          </w:tcPr>
          <w:p w14:paraId="6F36224C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katërmbëdhjetë</w:t>
            </w:r>
            <w:proofErr w:type="spellEnd"/>
            <w:r w:rsidRPr="00E85469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75CBD708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08B725" w14:textId="77777777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Kollokiumi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/>
                <w:sz w:val="20"/>
                <w:szCs w:val="20"/>
              </w:rPr>
              <w:t>dyte</w:t>
            </w:r>
            <w:proofErr w:type="spellEnd"/>
          </w:p>
          <w:p w14:paraId="0ACE9D85" w14:textId="28053D2D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67209" w:rsidRPr="00E85469" w14:paraId="1AB15D8D" w14:textId="77777777" w:rsidTr="00D67209">
        <w:tc>
          <w:tcPr>
            <w:tcW w:w="2718" w:type="dxa"/>
          </w:tcPr>
          <w:p w14:paraId="79EDDE4F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pesëmbëdhjetë</w:t>
            </w:r>
            <w:proofErr w:type="spellEnd"/>
            <w:r w:rsidRPr="00E85469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2702F95C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A31D285" w14:textId="382516FD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Permbledhje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semestrale</w:t>
            </w:r>
            <w:proofErr w:type="spellEnd"/>
            <w:r w:rsidRPr="000F3717">
              <w:rPr>
                <w:b/>
                <w:sz w:val="20"/>
                <w:szCs w:val="20"/>
              </w:rPr>
              <w:t>/</w:t>
            </w:r>
            <w:proofErr w:type="spellStart"/>
            <w:r w:rsidRPr="000F3717">
              <w:rPr>
                <w:b/>
                <w:sz w:val="20"/>
                <w:szCs w:val="20"/>
              </w:rPr>
              <w:t>Ndertim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I </w:t>
            </w:r>
            <w:proofErr w:type="gramStart"/>
            <w:r w:rsidRPr="000F3717">
              <w:rPr>
                <w:b/>
                <w:sz w:val="20"/>
                <w:szCs w:val="20"/>
              </w:rPr>
              <w:t>notes</w:t>
            </w:r>
            <w:proofErr w:type="gramEnd"/>
          </w:p>
          <w:p w14:paraId="01EFB637" w14:textId="77777777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502B977" w14:textId="77777777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Psikologjia sportive </w:t>
            </w:r>
            <w:proofErr w:type="spellStart"/>
            <w:r w:rsidRPr="000F3717">
              <w:rPr>
                <w:bCs/>
                <w:sz w:val="20"/>
                <w:szCs w:val="20"/>
              </w:rPr>
              <w:t>fokusohet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përdorimin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ndihmuar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efektiv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kyçe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ekipeve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ndërsa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sjellja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korrekte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etika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Të </w:t>
            </w:r>
            <w:proofErr w:type="spellStart"/>
            <w:r w:rsidRPr="000F3717">
              <w:rPr>
                <w:bCs/>
                <w:sz w:val="20"/>
                <w:szCs w:val="20"/>
              </w:rPr>
              <w:t>gjithë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sport.</w:t>
            </w:r>
          </w:p>
          <w:p w14:paraId="35766945" w14:textId="642E0856" w:rsidR="009072C3" w:rsidRPr="000F3717" w:rsidRDefault="009072C3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215EA9C4" w14:textId="2566F171" w:rsidR="00CF116F" w:rsidRDefault="00CF116F" w:rsidP="00D67209">
      <w:pPr>
        <w:pStyle w:val="NoSpacing"/>
        <w:rPr>
          <w:szCs w:val="28"/>
        </w:rPr>
      </w:pPr>
    </w:p>
    <w:p w14:paraId="79493E36" w14:textId="09E4865F" w:rsidR="009072C3" w:rsidRDefault="009072C3" w:rsidP="00D67209">
      <w:pPr>
        <w:pStyle w:val="NoSpacing"/>
        <w:rPr>
          <w:szCs w:val="28"/>
        </w:rPr>
      </w:pPr>
    </w:p>
    <w:p w14:paraId="1F039B98" w14:textId="6874C8B8" w:rsidR="009072C3" w:rsidRDefault="009072C3" w:rsidP="00D67209">
      <w:pPr>
        <w:pStyle w:val="NoSpacing"/>
        <w:rPr>
          <w:szCs w:val="28"/>
        </w:rPr>
      </w:pPr>
    </w:p>
    <w:p w14:paraId="63452504" w14:textId="6EA9F30D" w:rsidR="009072C3" w:rsidRDefault="009072C3" w:rsidP="00D67209">
      <w:pPr>
        <w:pStyle w:val="NoSpacing"/>
        <w:rPr>
          <w:szCs w:val="28"/>
        </w:rPr>
      </w:pPr>
    </w:p>
    <w:p w14:paraId="08DE2972" w14:textId="4DE8A74C" w:rsidR="009072C3" w:rsidRDefault="009072C3" w:rsidP="00D67209">
      <w:pPr>
        <w:pStyle w:val="NoSpacing"/>
        <w:rPr>
          <w:szCs w:val="28"/>
        </w:rPr>
      </w:pPr>
    </w:p>
    <w:p w14:paraId="7166E0E1" w14:textId="12CE0284" w:rsidR="009072C3" w:rsidRDefault="009072C3" w:rsidP="00D67209">
      <w:pPr>
        <w:pStyle w:val="NoSpacing"/>
        <w:rPr>
          <w:szCs w:val="28"/>
        </w:rPr>
      </w:pPr>
    </w:p>
    <w:p w14:paraId="04432F4A" w14:textId="2079D93D" w:rsidR="009072C3" w:rsidRDefault="009072C3" w:rsidP="00D67209">
      <w:pPr>
        <w:pStyle w:val="NoSpacing"/>
        <w:rPr>
          <w:szCs w:val="28"/>
        </w:rPr>
      </w:pPr>
    </w:p>
    <w:p w14:paraId="7D8FCB34" w14:textId="10738620" w:rsidR="009072C3" w:rsidRDefault="009072C3" w:rsidP="00D67209">
      <w:pPr>
        <w:pStyle w:val="NoSpacing"/>
        <w:rPr>
          <w:szCs w:val="28"/>
        </w:rPr>
      </w:pPr>
    </w:p>
    <w:p w14:paraId="3AED3365" w14:textId="38D98541" w:rsidR="009072C3" w:rsidRDefault="009072C3" w:rsidP="00D67209">
      <w:pPr>
        <w:pStyle w:val="NoSpacing"/>
        <w:rPr>
          <w:szCs w:val="28"/>
        </w:rPr>
      </w:pPr>
    </w:p>
    <w:p w14:paraId="0BD9E71B" w14:textId="4183BE24" w:rsidR="009072C3" w:rsidRDefault="009072C3" w:rsidP="00D67209">
      <w:pPr>
        <w:pStyle w:val="NoSpacing"/>
        <w:rPr>
          <w:szCs w:val="28"/>
        </w:rPr>
      </w:pPr>
    </w:p>
    <w:p w14:paraId="762241EB" w14:textId="1B47C238" w:rsidR="009072C3" w:rsidRDefault="009072C3" w:rsidP="00D67209">
      <w:pPr>
        <w:pStyle w:val="NoSpacing"/>
        <w:rPr>
          <w:szCs w:val="28"/>
        </w:rPr>
      </w:pPr>
    </w:p>
    <w:p w14:paraId="2AF29CE9" w14:textId="387A63D2" w:rsidR="009072C3" w:rsidRDefault="009072C3" w:rsidP="00D67209">
      <w:pPr>
        <w:pStyle w:val="NoSpacing"/>
        <w:rPr>
          <w:szCs w:val="28"/>
        </w:rPr>
      </w:pPr>
    </w:p>
    <w:p w14:paraId="4A544C93" w14:textId="77777777" w:rsidR="009072C3" w:rsidRPr="00E85469" w:rsidRDefault="009072C3" w:rsidP="00D67209">
      <w:pPr>
        <w:pStyle w:val="NoSpacing"/>
        <w:rPr>
          <w:szCs w:val="28"/>
        </w:rPr>
      </w:pPr>
    </w:p>
    <w:p w14:paraId="47A378E1" w14:textId="77777777" w:rsidR="006F116D" w:rsidRPr="00E85469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E85469" w14:paraId="59C198BE" w14:textId="77777777" w:rsidTr="00EF57F9">
        <w:tc>
          <w:tcPr>
            <w:tcW w:w="8856" w:type="dxa"/>
            <w:shd w:val="clear" w:color="auto" w:fill="B8CCE4"/>
          </w:tcPr>
          <w:p w14:paraId="65611DD0" w14:textId="77777777" w:rsidR="00CF116F" w:rsidRPr="00E85469" w:rsidRDefault="00CF116F" w:rsidP="007E6202">
            <w:pPr>
              <w:jc w:val="center"/>
              <w:rPr>
                <w:b/>
                <w:lang w:val="de-DE"/>
              </w:rPr>
            </w:pPr>
            <w:proofErr w:type="spellStart"/>
            <w:r w:rsidRPr="00E85469">
              <w:rPr>
                <w:b/>
                <w:lang w:val="de-DE"/>
              </w:rPr>
              <w:lastRenderedPageBreak/>
              <w:t>Politikat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akademike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dhe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rregullat</w:t>
            </w:r>
            <w:proofErr w:type="spellEnd"/>
            <w:r w:rsidRPr="00E85469">
              <w:rPr>
                <w:b/>
                <w:lang w:val="de-DE"/>
              </w:rPr>
              <w:t xml:space="preserve"> e </w:t>
            </w:r>
            <w:proofErr w:type="spellStart"/>
            <w:r w:rsidRPr="00E85469">
              <w:rPr>
                <w:b/>
                <w:lang w:val="de-DE"/>
              </w:rPr>
              <w:t>mirësjelljes</w:t>
            </w:r>
            <w:proofErr w:type="spellEnd"/>
            <w:r w:rsidRPr="00E85469">
              <w:rPr>
                <w:b/>
                <w:lang w:val="de-DE"/>
              </w:rPr>
              <w:t>:</w:t>
            </w:r>
          </w:p>
        </w:tc>
      </w:tr>
      <w:tr w:rsidR="00CF116F" w:rsidRPr="009072C3" w14:paraId="68BD7BA7" w14:textId="77777777" w:rsidTr="007E6202">
        <w:trPr>
          <w:trHeight w:val="1088"/>
        </w:trPr>
        <w:tc>
          <w:tcPr>
            <w:tcW w:w="8856" w:type="dxa"/>
          </w:tcPr>
          <w:p w14:paraId="77A6C565" w14:textId="77777777" w:rsidR="009072C3" w:rsidRPr="009072C3" w:rsidRDefault="009072C3" w:rsidP="009072C3">
            <w:pPr>
              <w:pStyle w:val="ListParagraph"/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</w:p>
          <w:p w14:paraId="7F080E45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Objektivi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UP-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është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t’i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zbatojë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konceptet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evropiane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arsimin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lartë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ekonomisë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shkencës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mirëqenies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qytetare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si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interesin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tërë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shoqërinë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0AB1C6FD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Kjo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përfshin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implementimin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standardeve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larta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etikës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profesionale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zhvillimin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mjedisi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tillë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mbështet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lirinë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respektimin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diversitetit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si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nxitjen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bashkëpunimit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ndërkombëtar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61410799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Rregullat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mirësjelljes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janë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dizajnuara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promovuar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kulturë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respektit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bashkëpunimit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siguruar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çdo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individ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ndihet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sigurt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mbështetur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aktivitetet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5F107D32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Ato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mbulojnë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angazhimet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studentëve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stafit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t’u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sjellë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ndershmëri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përgjegjshmëri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etikë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duke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krijuar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një ambient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promovon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shëndetin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intelektual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personal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gjithë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pjesëmarrësve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0D316D35" w14:textId="77777777" w:rsidR="006F116D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Angazhimi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këtë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proces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është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rëndësishëm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arritjen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zhvillimit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qëndrueshëm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avancimin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institucioneve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arsimore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kontribuar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formimin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shoqërie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avancuar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ndërgjegjshme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>.</w:t>
            </w:r>
          </w:p>
          <w:p w14:paraId="730D853D" w14:textId="169FD815" w:rsidR="009072C3" w:rsidRPr="009072C3" w:rsidRDefault="009072C3" w:rsidP="009072C3">
            <w:p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</w:p>
        </w:tc>
      </w:tr>
      <w:tr w:rsidR="007E4A31" w:rsidRPr="00E85469" w14:paraId="4C3BEC87" w14:textId="77777777" w:rsidTr="007E6202">
        <w:trPr>
          <w:trHeight w:val="1088"/>
        </w:trPr>
        <w:tc>
          <w:tcPr>
            <w:tcW w:w="8856" w:type="dxa"/>
          </w:tcPr>
          <w:tbl>
            <w:tblPr>
              <w:tblpPr w:leftFromText="180" w:rightFromText="180" w:vertAnchor="text" w:horzAnchor="margin" w:tblpY="44"/>
              <w:tblOverlap w:val="never"/>
              <w:tblW w:w="9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906"/>
              <w:gridCol w:w="1252"/>
              <w:gridCol w:w="6626"/>
            </w:tblGrid>
            <w:tr w:rsidR="00660734" w:rsidRPr="00E85469" w14:paraId="44DBF67B" w14:textId="77777777" w:rsidTr="00141880">
              <w:trPr>
                <w:trHeight w:val="4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3AD63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Nota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F885B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ECVET nota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ED948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Suksesi pikë -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9145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Vler</w:t>
                  </w:r>
                  <w:r w:rsidRPr="00E85469">
                    <w:rPr>
                      <w:rFonts w:ascii="Times New Roman" w:hAnsi="Times New Roman"/>
                      <w:sz w:val="20"/>
                      <w:szCs w:val="20"/>
                    </w:rPr>
                    <w:t>ësimi</w:t>
                  </w:r>
                </w:p>
              </w:tc>
            </w:tr>
            <w:tr w:rsidR="00660734" w:rsidRPr="00E85469" w14:paraId="12947E2D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BB48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9BC2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A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493A3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91 – 100 %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0C223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SHKËLQYESHËM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njohuri të shkëlqyeshme me vetëm disa gabime minore</w:t>
                  </w:r>
                </w:p>
              </w:tc>
            </w:tr>
            <w:tr w:rsidR="00660734" w:rsidRPr="00E85469" w14:paraId="6A64D3E9" w14:textId="77777777" w:rsidTr="00141880">
              <w:trPr>
                <w:trHeight w:val="310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9466F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FF21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B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7D13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81 – 90 %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24242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SHUMË MIRË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arritje mbi mesatare, por me disa gabime</w:t>
                  </w:r>
                </w:p>
              </w:tc>
            </w:tr>
            <w:tr w:rsidR="00660734" w:rsidRPr="00E85469" w14:paraId="6FB62E04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28E40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809B5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C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96A81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71 – 80 %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7932E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MIRË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rezultat në përgjithësi i mirë me disa gabime që vërehen</w:t>
                  </w:r>
                </w:p>
              </w:tc>
            </w:tr>
            <w:tr w:rsidR="00660734" w:rsidRPr="00E85469" w14:paraId="57DBDCE9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03548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7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8DF4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D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B6623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61 – 70 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A2C8D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KËNAQSHËM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mirë, por me mjaftë gabime</w:t>
                  </w:r>
                </w:p>
              </w:tc>
            </w:tr>
            <w:tr w:rsidR="00660734" w:rsidRPr="00E85469" w14:paraId="06E63879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6BF9F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1FC9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43826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51 – 60 %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AD6FB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MJAFTON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rezultatet plotësojnë kriteret minimale</w:t>
                  </w:r>
                </w:p>
              </w:tc>
            </w:tr>
            <w:tr w:rsidR="00660734" w:rsidRPr="00E85469" w14:paraId="61DF7941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132E7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AA38E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F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15E0B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40 – 50 %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1B592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DOBËT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kërkohet edhe pak punë nga studenti për të fituar kredit</w:t>
                  </w:r>
                </w:p>
              </w:tc>
            </w:tr>
            <w:tr w:rsidR="00660734" w:rsidRPr="00E85469" w14:paraId="06309A74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B9CF0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0735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G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77E7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00 – 39 %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2868D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DOBËT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kërkohet shumë punë për të fituar kredit.</w:t>
                  </w:r>
                </w:p>
              </w:tc>
            </w:tr>
          </w:tbl>
          <w:p w14:paraId="68A63B40" w14:textId="77777777" w:rsidR="007E4A31" w:rsidRPr="00E85469" w:rsidRDefault="007E4A31" w:rsidP="00317750">
            <w:pPr>
              <w:rPr>
                <w:bCs/>
                <w:iCs/>
                <w:sz w:val="22"/>
                <w:szCs w:val="22"/>
                <w:lang w:val="sq-AL"/>
              </w:rPr>
            </w:pPr>
          </w:p>
        </w:tc>
      </w:tr>
    </w:tbl>
    <w:p w14:paraId="483DB7AB" w14:textId="77777777" w:rsidR="00CF116F" w:rsidRPr="00E85469" w:rsidRDefault="00CF116F">
      <w:pPr>
        <w:rPr>
          <w:b/>
          <w:sz w:val="28"/>
          <w:szCs w:val="28"/>
          <w:lang w:val="sq-AL"/>
        </w:rPr>
      </w:pPr>
    </w:p>
    <w:p w14:paraId="4832A933" w14:textId="7C442E3D" w:rsidR="00E85469" w:rsidRDefault="00E85469" w:rsidP="00660734">
      <w:pPr>
        <w:rPr>
          <w:b/>
          <w:sz w:val="28"/>
          <w:szCs w:val="28"/>
          <w:lang w:val="sq-AL"/>
        </w:rPr>
      </w:pPr>
    </w:p>
    <w:p w14:paraId="5EAEDCC2" w14:textId="77777777" w:rsidR="00E85469" w:rsidRDefault="00E85469" w:rsidP="00660734">
      <w:pPr>
        <w:rPr>
          <w:b/>
          <w:sz w:val="28"/>
          <w:szCs w:val="28"/>
          <w:lang w:val="sq-AL"/>
        </w:rPr>
      </w:pPr>
    </w:p>
    <w:p w14:paraId="39467691" w14:textId="2E802998" w:rsidR="00660734" w:rsidRPr="009072C3" w:rsidRDefault="00E85469" w:rsidP="00660734">
      <w:pPr>
        <w:rPr>
          <w:b/>
          <w:lang w:val="sq-AL"/>
        </w:rPr>
      </w:pPr>
      <w:r w:rsidRPr="00E85469">
        <w:rPr>
          <w:b/>
          <w:sz w:val="28"/>
          <w:szCs w:val="28"/>
          <w:lang w:val="sq-AL"/>
        </w:rPr>
        <w:t xml:space="preserve">  </w:t>
      </w:r>
      <w:r w:rsidRPr="009072C3">
        <w:rPr>
          <w:b/>
          <w:lang w:val="sq-AL"/>
        </w:rPr>
        <w:t>Prishtinë</w:t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Pr="009072C3">
        <w:rPr>
          <w:b/>
          <w:lang w:val="sq-AL"/>
        </w:rPr>
        <w:t xml:space="preserve">                        </w:t>
      </w:r>
      <w:r w:rsidR="00660734" w:rsidRPr="009072C3">
        <w:rPr>
          <w:b/>
          <w:lang w:val="sq-AL"/>
        </w:rPr>
        <w:t>Bartëse  e  lëndës:</w:t>
      </w:r>
    </w:p>
    <w:p w14:paraId="5F3F6015" w14:textId="2841AC88" w:rsidR="00660734" w:rsidRPr="009072C3" w:rsidRDefault="00660734" w:rsidP="00660734">
      <w:pPr>
        <w:rPr>
          <w:bCs/>
          <w:lang w:val="sq-AL"/>
        </w:rPr>
      </w:pPr>
      <w:r w:rsidRPr="009072C3">
        <w:rPr>
          <w:b/>
          <w:lang w:val="sq-AL"/>
        </w:rPr>
        <w:t xml:space="preserve">  </w:t>
      </w:r>
      <w:r w:rsidR="00E85469" w:rsidRPr="009072C3">
        <w:rPr>
          <w:bCs/>
          <w:lang w:val="sq-AL"/>
        </w:rPr>
        <w:t>19.2.2025</w:t>
      </w:r>
      <w:r w:rsidRPr="009072C3">
        <w:rPr>
          <w:bCs/>
          <w:lang w:val="sq-AL"/>
        </w:rPr>
        <w:t xml:space="preserve">                                                              </w:t>
      </w:r>
      <w:r w:rsidR="009072C3">
        <w:rPr>
          <w:bCs/>
          <w:lang w:val="sq-AL"/>
        </w:rPr>
        <w:t xml:space="preserve">           </w:t>
      </w:r>
      <w:r w:rsidRPr="009072C3">
        <w:rPr>
          <w:bCs/>
          <w:lang w:val="sq-AL"/>
        </w:rPr>
        <w:t xml:space="preserve"> Prof.Dr.sc. Tringa Dedi</w:t>
      </w:r>
    </w:p>
    <w:p w14:paraId="1D55E371" w14:textId="77777777" w:rsidR="00660734" w:rsidRPr="009072C3" w:rsidRDefault="00660734" w:rsidP="00660734">
      <w:pPr>
        <w:rPr>
          <w:bCs/>
          <w:lang w:val="sq-AL"/>
        </w:rPr>
      </w:pPr>
    </w:p>
    <w:p w14:paraId="0303296A" w14:textId="77777777" w:rsidR="00660734" w:rsidRPr="009072C3" w:rsidRDefault="00660734" w:rsidP="00660734">
      <w:pPr>
        <w:rPr>
          <w:bCs/>
          <w:lang w:val="sq-AL"/>
        </w:rPr>
      </w:pPr>
    </w:p>
    <w:p w14:paraId="02BBFA95" w14:textId="2B58864D" w:rsidR="00B815D1" w:rsidRPr="00E85469" w:rsidRDefault="00660734" w:rsidP="00660734">
      <w:pPr>
        <w:rPr>
          <w:rFonts w:ascii="Calibri" w:hAnsi="Calibri"/>
          <w:b/>
          <w:sz w:val="28"/>
          <w:szCs w:val="28"/>
          <w:lang w:val="sq-AL"/>
        </w:rPr>
      </w:pP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rFonts w:ascii="Calibri" w:hAnsi="Calibri"/>
          <w:b/>
          <w:sz w:val="28"/>
          <w:szCs w:val="28"/>
          <w:lang w:val="sq-AL"/>
        </w:rPr>
        <w:t xml:space="preserve">                    </w:t>
      </w:r>
    </w:p>
    <w:sectPr w:rsidR="00B815D1" w:rsidRPr="00E85469" w:rsidSect="00AB1A3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5CA9" w14:textId="77777777" w:rsidR="008960B1" w:rsidRDefault="008960B1">
      <w:r>
        <w:separator/>
      </w:r>
    </w:p>
  </w:endnote>
  <w:endnote w:type="continuationSeparator" w:id="0">
    <w:p w14:paraId="13BA4CAD" w14:textId="77777777" w:rsidR="008960B1" w:rsidRDefault="008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8C3A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79F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EFD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8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A98236A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661A" w14:textId="77777777" w:rsidR="008960B1" w:rsidRDefault="008960B1">
      <w:r>
        <w:separator/>
      </w:r>
    </w:p>
  </w:footnote>
  <w:footnote w:type="continuationSeparator" w:id="0">
    <w:p w14:paraId="08E3D594" w14:textId="77777777" w:rsidR="008960B1" w:rsidRDefault="0089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6E2"/>
    <w:multiLevelType w:val="hybridMultilevel"/>
    <w:tmpl w:val="3CDE7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C2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2A7E01"/>
    <w:multiLevelType w:val="hybridMultilevel"/>
    <w:tmpl w:val="6036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62DB7"/>
    <w:multiLevelType w:val="hybridMultilevel"/>
    <w:tmpl w:val="231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4611"/>
    <w:rsid w:val="00031020"/>
    <w:rsid w:val="00043592"/>
    <w:rsid w:val="0005219C"/>
    <w:rsid w:val="00060E9F"/>
    <w:rsid w:val="000E6228"/>
    <w:rsid w:val="000F3717"/>
    <w:rsid w:val="00102557"/>
    <w:rsid w:val="00105C2D"/>
    <w:rsid w:val="00132604"/>
    <w:rsid w:val="00171E19"/>
    <w:rsid w:val="00183923"/>
    <w:rsid w:val="0021580C"/>
    <w:rsid w:val="002177ED"/>
    <w:rsid w:val="002466FE"/>
    <w:rsid w:val="002610A3"/>
    <w:rsid w:val="002A39A8"/>
    <w:rsid w:val="002C00FA"/>
    <w:rsid w:val="002D3069"/>
    <w:rsid w:val="0030354C"/>
    <w:rsid w:val="00317750"/>
    <w:rsid w:val="00381B41"/>
    <w:rsid w:val="003B625C"/>
    <w:rsid w:val="003E3193"/>
    <w:rsid w:val="004635F4"/>
    <w:rsid w:val="004A1F0C"/>
    <w:rsid w:val="004C0CCA"/>
    <w:rsid w:val="00587523"/>
    <w:rsid w:val="005D117C"/>
    <w:rsid w:val="00603DD2"/>
    <w:rsid w:val="00621E93"/>
    <w:rsid w:val="00622ECF"/>
    <w:rsid w:val="00660734"/>
    <w:rsid w:val="00664F4D"/>
    <w:rsid w:val="00682DD2"/>
    <w:rsid w:val="006B4185"/>
    <w:rsid w:val="006C1A6F"/>
    <w:rsid w:val="006D78E5"/>
    <w:rsid w:val="006D7FB4"/>
    <w:rsid w:val="006F116D"/>
    <w:rsid w:val="007038CC"/>
    <w:rsid w:val="00746D8D"/>
    <w:rsid w:val="00777D28"/>
    <w:rsid w:val="007805E0"/>
    <w:rsid w:val="00781805"/>
    <w:rsid w:val="007827D7"/>
    <w:rsid w:val="00783122"/>
    <w:rsid w:val="007B1510"/>
    <w:rsid w:val="007B1A0C"/>
    <w:rsid w:val="007B68A2"/>
    <w:rsid w:val="007C3132"/>
    <w:rsid w:val="007E0A01"/>
    <w:rsid w:val="007E4A31"/>
    <w:rsid w:val="007E6202"/>
    <w:rsid w:val="007F46C5"/>
    <w:rsid w:val="00853EEB"/>
    <w:rsid w:val="00871FDD"/>
    <w:rsid w:val="008960B1"/>
    <w:rsid w:val="008A439B"/>
    <w:rsid w:val="008A716D"/>
    <w:rsid w:val="008C03A5"/>
    <w:rsid w:val="008D0608"/>
    <w:rsid w:val="00903474"/>
    <w:rsid w:val="00905EDC"/>
    <w:rsid w:val="009072C3"/>
    <w:rsid w:val="00957D0B"/>
    <w:rsid w:val="00980A75"/>
    <w:rsid w:val="009919AA"/>
    <w:rsid w:val="009B3F0A"/>
    <w:rsid w:val="009E2AF8"/>
    <w:rsid w:val="009F5CB7"/>
    <w:rsid w:val="00A147D0"/>
    <w:rsid w:val="00A21646"/>
    <w:rsid w:val="00A31FBF"/>
    <w:rsid w:val="00A545BA"/>
    <w:rsid w:val="00A662A0"/>
    <w:rsid w:val="00A66E74"/>
    <w:rsid w:val="00A90CA9"/>
    <w:rsid w:val="00AA1227"/>
    <w:rsid w:val="00AA2C57"/>
    <w:rsid w:val="00AA3C2B"/>
    <w:rsid w:val="00AB1A38"/>
    <w:rsid w:val="00AC08ED"/>
    <w:rsid w:val="00AD36EC"/>
    <w:rsid w:val="00B35215"/>
    <w:rsid w:val="00B75F2C"/>
    <w:rsid w:val="00B815D1"/>
    <w:rsid w:val="00BA6E9C"/>
    <w:rsid w:val="00BB1A1A"/>
    <w:rsid w:val="00C04BA1"/>
    <w:rsid w:val="00C6155B"/>
    <w:rsid w:val="00CB5CEB"/>
    <w:rsid w:val="00CB7F73"/>
    <w:rsid w:val="00CC2F10"/>
    <w:rsid w:val="00CF116F"/>
    <w:rsid w:val="00D10BC6"/>
    <w:rsid w:val="00D244CD"/>
    <w:rsid w:val="00D5327C"/>
    <w:rsid w:val="00D67209"/>
    <w:rsid w:val="00DA6E70"/>
    <w:rsid w:val="00DB2823"/>
    <w:rsid w:val="00DB345F"/>
    <w:rsid w:val="00DF6543"/>
    <w:rsid w:val="00E64FDE"/>
    <w:rsid w:val="00E85469"/>
    <w:rsid w:val="00EE6F08"/>
    <w:rsid w:val="00EF57F9"/>
    <w:rsid w:val="00F04222"/>
    <w:rsid w:val="00F34158"/>
    <w:rsid w:val="00F47480"/>
    <w:rsid w:val="00F5660C"/>
    <w:rsid w:val="00FB050B"/>
    <w:rsid w:val="00FC01AF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A1B0D"/>
  <w15:docId w15:val="{B2FBCA89-6F2D-4C60-9587-9C6992DE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F08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val="sq-AL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5E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6F08"/>
    <w:rPr>
      <w:rFonts w:ascii="Arial" w:eastAsia="MS Mincho" w:hAnsi="Arial"/>
      <w:b/>
      <w:bCs/>
      <w:kern w:val="32"/>
      <w:sz w:val="32"/>
      <w:szCs w:val="32"/>
      <w:lang w:val="sq-AL" w:bidi="bn-BD"/>
    </w:rPr>
  </w:style>
  <w:style w:type="paragraph" w:styleId="ListParagraph">
    <w:name w:val="List Paragraph"/>
    <w:basedOn w:val="Normal"/>
    <w:uiPriority w:val="34"/>
    <w:qFormat/>
    <w:rsid w:val="0090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Tringa Dedi</dc:creator>
  <cp:lastModifiedBy>Besitzer</cp:lastModifiedBy>
  <cp:revision>4</cp:revision>
  <cp:lastPrinted>2011-03-07T09:39:00Z</cp:lastPrinted>
  <dcterms:created xsi:type="dcterms:W3CDTF">2025-02-19T12:14:00Z</dcterms:created>
  <dcterms:modified xsi:type="dcterms:W3CDTF">2025-02-19T12:41:00Z</dcterms:modified>
</cp:coreProperties>
</file>