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31" w:rsidRDefault="00C26831" w:rsidP="00C26831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C26831" w:rsidRPr="00B00908" w:rsidRDefault="00C26831" w:rsidP="00C26831">
      <w:pPr>
        <w:pStyle w:val="Heading3"/>
        <w:spacing w:after="240"/>
        <w:rPr>
          <w:rFonts w:ascii="Times New Roman" w:hAnsi="Times New Roman" w:cs="Times New Roman"/>
          <w:color w:val="auto"/>
          <w:szCs w:val="28"/>
          <w:lang w:val="sq-AL"/>
        </w:rPr>
      </w:pPr>
      <w:proofErr w:type="spellStart"/>
      <w:r w:rsidRPr="00005467">
        <w:rPr>
          <w:rFonts w:ascii="Times New Roman" w:hAnsi="Times New Roman" w:cs="Times New Roman"/>
          <w:b w:val="0"/>
          <w:color w:val="auto"/>
          <w:szCs w:val="28"/>
          <w:lang w:val="fr-CH"/>
        </w:rPr>
        <w:t>Titulli</w:t>
      </w:r>
      <w:proofErr w:type="spellEnd"/>
      <w:r w:rsidRPr="00005467">
        <w:rPr>
          <w:rFonts w:ascii="Times New Roman" w:hAnsi="Times New Roman" w:cs="Times New Roman"/>
          <w:b w:val="0"/>
          <w:color w:val="auto"/>
          <w:szCs w:val="28"/>
          <w:lang w:val="fr-CH"/>
        </w:rPr>
        <w:t xml:space="preserve"> i </w:t>
      </w:r>
      <w:proofErr w:type="spellStart"/>
      <w:proofErr w:type="gramStart"/>
      <w:r w:rsidRPr="00005467">
        <w:rPr>
          <w:rFonts w:ascii="Times New Roman" w:hAnsi="Times New Roman" w:cs="Times New Roman"/>
          <w:b w:val="0"/>
          <w:color w:val="auto"/>
          <w:szCs w:val="28"/>
          <w:lang w:val="fr-CH"/>
        </w:rPr>
        <w:t>lëndës</w:t>
      </w:r>
      <w:proofErr w:type="spellEnd"/>
      <w:r w:rsidRPr="00005467">
        <w:rPr>
          <w:rFonts w:ascii="Times New Roman" w:hAnsi="Times New Roman" w:cs="Times New Roman"/>
          <w:b w:val="0"/>
          <w:color w:val="auto"/>
          <w:szCs w:val="28"/>
          <w:lang w:val="fr-CH"/>
        </w:rPr>
        <w:t>:</w:t>
      </w:r>
      <w:proofErr w:type="gramEnd"/>
      <w:r w:rsidRPr="00005467">
        <w:rPr>
          <w:rFonts w:ascii="Times New Roman" w:hAnsi="Times New Roman" w:cs="Times New Roman"/>
          <w:b w:val="0"/>
          <w:color w:val="auto"/>
          <w:szCs w:val="28"/>
          <w:lang w:val="fr-CH"/>
        </w:rPr>
        <w:t xml:space="preserve"> </w:t>
      </w:r>
      <w:r>
        <w:rPr>
          <w:rFonts w:ascii="Times New Roman" w:hAnsi="Times New Roman" w:cs="Times New Roman"/>
          <w:color w:val="auto"/>
          <w:szCs w:val="28"/>
          <w:lang w:val="sq-AL"/>
        </w:rPr>
        <w:t>Gjuhë frënge VI</w:t>
      </w:r>
    </w:p>
    <w:tbl>
      <w:tblPr>
        <w:tblW w:w="10774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C26831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Filologjisë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C2683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Frënge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VI</w:t>
            </w:r>
            <w:bookmarkStart w:id="0" w:name="_GoBack"/>
            <w:bookmarkEnd w:id="0"/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Zgjedhore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III-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6-të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2+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6831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Sipas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orarit</w:t>
            </w:r>
            <w:proofErr w:type="spellEnd"/>
          </w:p>
        </w:tc>
      </w:tr>
      <w:tr w:rsidR="00C26831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r w:rsidRPr="009C340C">
              <w:rPr>
                <w:rFonts w:ascii="Times New Roman" w:hAnsi="Times New Roman" w:cs="Times New Roman"/>
                <w:szCs w:val="24"/>
              </w:rPr>
              <w:t xml:space="preserve">Prof. Ass. Dr. </w:t>
            </w:r>
            <w:proofErr w:type="spellStart"/>
            <w:r w:rsidRPr="009C340C">
              <w:rPr>
                <w:rFonts w:ascii="Times New Roman" w:hAnsi="Times New Roman" w:cs="Times New Roman"/>
                <w:szCs w:val="24"/>
              </w:rPr>
              <w:t>Teutë</w:t>
            </w:r>
            <w:proofErr w:type="spellEnd"/>
            <w:r w:rsidRPr="009C340C">
              <w:rPr>
                <w:rFonts w:ascii="Times New Roman" w:hAnsi="Times New Roman" w:cs="Times New Roman"/>
                <w:szCs w:val="24"/>
              </w:rPr>
              <w:t xml:space="preserve"> BLAKQORI-SALIHU</w:t>
            </w:r>
          </w:p>
        </w:tc>
      </w:tr>
      <w:tr w:rsidR="00C26831" w:rsidTr="00324098">
        <w:trPr>
          <w:trHeight w:val="303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Zyra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12</w:t>
            </w:r>
          </w:p>
        </w:tc>
      </w:tr>
      <w:tr w:rsidR="00C26831" w:rsidRPr="00005467" w:rsidTr="00324098">
        <w:trPr>
          <w:trHeight w:val="1946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ind w:right="46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qëllim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receptive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dëgjuarit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lexuarit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atyre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produktive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folurit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studentëve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Përqëndrimi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kryesor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jetë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komunikimit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duke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integruar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aspekte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strukturave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përvetësimit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leksikor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Ushtrimet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jenë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mbështetës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fokusohen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kuptuarit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cilët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punohen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librin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Alter ego</w:t>
            </w:r>
          </w:p>
        </w:tc>
      </w:tr>
      <w:tr w:rsidR="00C26831" w:rsidRPr="00005467" w:rsidTr="00324098">
        <w:trPr>
          <w:trHeight w:val="1499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Përvetësimi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teknikave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manipulimin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duke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përfshirë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pjesë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gramatikore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rëndësishme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shkathtësitë</w:t>
            </w:r>
            <w:proofErr w:type="spellEnd"/>
            <w:proofErr w:type="gramEnd"/>
            <w:r w:rsidRPr="00A15402">
              <w:rPr>
                <w:rFonts w:ascii="Times New Roman" w:hAnsi="Times New Roman" w:cs="Times New Roman"/>
                <w:szCs w:val="24"/>
              </w:rPr>
              <w:t xml:space="preserve"> 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cekura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 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Prandaj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konsolidohet</w:t>
            </w:r>
            <w:proofErr w:type="spellEnd"/>
            <w:proofErr w:type="gram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studentet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mësojnë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pikpamje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japin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këshilla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mësojnë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mënyrën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përshkrimit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mënyrat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shtjellimit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Kursi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synon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arrijë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nivel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C1</w:t>
            </w:r>
          </w:p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6831" w:rsidRPr="00005467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C26831" w:rsidRDefault="00C26831" w:rsidP="00324098">
            <w:pPr>
              <w:pStyle w:val="NoSpacing"/>
              <w:spacing w:line="254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:</w:t>
            </w:r>
          </w:p>
          <w:p w:rsidR="00C26831" w:rsidRPr="00E24244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C26831" w:rsidRPr="00990A0D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Pas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përfundimit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kësaj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lënde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,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studenti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: </w:t>
            </w:r>
          </w:p>
          <w:p w:rsidR="00C26831" w:rsidRPr="00990A0D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kupton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rëndësinë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funksionimit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fjalëve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gramatikore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brenda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fjalisë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</w:p>
          <w:p w:rsidR="00C26831" w:rsidRPr="00990A0D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njeh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funksionimin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fjalëve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leksikore</w:t>
            </w:r>
            <w:proofErr w:type="spellEnd"/>
          </w:p>
          <w:p w:rsidR="00C26831" w:rsidRPr="00990A0D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aplikon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regullat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gramatikore</w:t>
            </w:r>
            <w:proofErr w:type="spellEnd"/>
          </w:p>
          <w:p w:rsidR="00C26831" w:rsidRPr="00990A0D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krahason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leksikun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profesional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frëngjisht</w:t>
            </w:r>
            <w:proofErr w:type="spellEnd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90A0D">
              <w:rPr>
                <w:rFonts w:ascii="Times New Roman" w:hAnsi="Times New Roman" w:cs="Times New Roman"/>
                <w:szCs w:val="24"/>
                <w:lang w:val="fr-CH"/>
              </w:rPr>
              <w:t>shqip</w:t>
            </w:r>
            <w:proofErr w:type="spellEnd"/>
          </w:p>
          <w:p w:rsidR="00C26831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analizon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mënyrat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shtjellimit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folurit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gojor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brenda</w:t>
            </w:r>
            <w:proofErr w:type="spellEnd"/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Cs w:val="24"/>
              </w:rPr>
              <w:t>diskursit</w:t>
            </w:r>
            <w:proofErr w:type="spellEnd"/>
          </w:p>
          <w:p w:rsidR="00C26831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C26831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C26831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C26831" w:rsidRPr="00B3624C" w:rsidRDefault="00C26831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26831" w:rsidRPr="00B00908" w:rsidRDefault="00C26831" w:rsidP="00C26831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750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701"/>
        <w:gridCol w:w="2386"/>
      </w:tblGrid>
      <w:tr w:rsidR="00C26831" w:rsidRPr="00E24244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ind w:left="89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73E85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D73E85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D73E85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min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C26831" w:rsidTr="00324098">
        <w:trPr>
          <w:trHeight w:val="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val="fr-CH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Mësimi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individual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(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bibliotekë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apo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shtëpi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  <w:lang w:val="fr-CH"/>
              </w:rPr>
              <w:t>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1E9B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C26831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final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C26831" w:rsidTr="00324098">
        <w:trPr>
          <w:trHeight w:val="3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2774D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2       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C26831" w:rsidTr="00324098">
        <w:trPr>
          <w:trHeight w:val="25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92774D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92774D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92774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D73E85" w:rsidRDefault="00C26831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26831" w:rsidTr="00324098">
        <w:trPr>
          <w:trHeight w:val="25"/>
        </w:trPr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Totali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26831" w:rsidRDefault="00C26831" w:rsidP="00324098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D73E85">
              <w:rPr>
                <w:rFonts w:ascii="Times New Roman" w:eastAsia="Times New Roman" w:hAnsi="Times New Roman" w:cs="Times New Roman"/>
                <w:szCs w:val="24"/>
                <w:lang w:val="en-GB"/>
              </w:rPr>
              <w:t>106:25</w:t>
            </w:r>
            <w:r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         </w:t>
            </w:r>
          </w:p>
          <w:p w:rsidR="00C26831" w:rsidRPr="00300C89" w:rsidRDefault="00C26831" w:rsidP="00324098">
            <w:pPr>
              <w:widowControl w:val="0"/>
              <w:autoSpaceDE w:val="0"/>
              <w:autoSpaceDN w:val="0"/>
              <w:spacing w:line="240" w:lineRule="auto"/>
              <w:ind w:left="0" w:firstLine="0"/>
              <w:jc w:val="both"/>
              <w:rPr>
                <w:rFonts w:ascii="Times New Roman" w:eastAsia="Carlito" w:hAnsi="Times New Roman"/>
                <w:szCs w:val="24"/>
              </w:rPr>
            </w:pPr>
            <w:r w:rsidRPr="00D73E85">
              <w:rPr>
                <w:rFonts w:ascii="Times New Roman" w:eastAsia="Times New Roman" w:hAnsi="Times New Roman" w:cs="Times New Roman"/>
                <w:szCs w:val="24"/>
                <w:lang w:val="en-GB"/>
              </w:rPr>
              <w:t>4 ECTS</w:t>
            </w:r>
          </w:p>
        </w:tc>
      </w:tr>
      <w:tr w:rsidR="00C26831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C26831" w:rsidRPr="00005467" w:rsidTr="00324098">
        <w:trPr>
          <w:trHeight w:val="215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shqiptimin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tingujve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frënge</w:t>
            </w:r>
            <w:proofErr w:type="spellEnd"/>
          </w:p>
        </w:tc>
      </w:tr>
      <w:tr w:rsidR="00C26831" w:rsidTr="00324098">
        <w:trPr>
          <w:trHeight w:val="1399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3F5E80" w:rsidRDefault="00C26831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C26831" w:rsidRPr="003F5E80" w:rsidRDefault="00C26831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C26831" w:rsidRPr="003F5E80" w:rsidRDefault="00C26831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C26831" w:rsidRPr="00A15402" w:rsidRDefault="00C26831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C26831" w:rsidRPr="00A15402" w:rsidRDefault="00C26831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final 40 %.</w:t>
            </w:r>
          </w:p>
        </w:tc>
      </w:tr>
      <w:tr w:rsidR="00C26831" w:rsidRPr="002E6A39" w:rsidTr="00324098">
        <w:trPr>
          <w:trHeight w:val="62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B47871" w:rsidRDefault="00C26831" w:rsidP="003240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  <w:t xml:space="preserve">Alter ego 5 - méthode de français + CD audio, Parcours digital - Hachette FLE, 2014 </w:t>
            </w:r>
          </w:p>
          <w:p w:rsidR="00C26831" w:rsidRPr="00B47871" w:rsidRDefault="00C26831" w:rsidP="003240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  <w:t xml:space="preserve">Bescherelle 1, La conjugaison de 12000 verbes, Paris, Hatier, 2012. </w:t>
            </w:r>
          </w:p>
          <w:p w:rsidR="00C26831" w:rsidRPr="00A15402" w:rsidRDefault="00C26831" w:rsidP="00324098">
            <w:pPr>
              <w:ind w:left="0" w:firstLine="0"/>
              <w:jc w:val="both"/>
              <w:outlineLvl w:val="0"/>
              <w:rPr>
                <w:rFonts w:ascii="Times New Roman" w:hAnsi="Times New Roman" w:cs="Times New Roman"/>
                <w:szCs w:val="24"/>
                <w:lang w:val="it-IT"/>
              </w:rPr>
            </w:pPr>
          </w:p>
        </w:tc>
      </w:tr>
      <w:tr w:rsidR="00C26831" w:rsidRPr="00E24244" w:rsidTr="00324098">
        <w:trPr>
          <w:trHeight w:val="28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B47871" w:rsidRDefault="00C26831" w:rsidP="003240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  <w:t>Grammaire Larousse du français contemporain,</w:t>
            </w:r>
          </w:p>
          <w:p w:rsidR="00C26831" w:rsidRPr="00005467" w:rsidRDefault="00C26831" w:rsidP="00324098">
            <w:pPr>
              <w:jc w:val="both"/>
              <w:rPr>
                <w:rFonts w:ascii="Times New Roman" w:hAnsi="Times New Roman" w:cs="Times New Roman"/>
                <w:iCs/>
                <w:szCs w:val="24"/>
                <w:lang w:val="fr-CH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Cs w:val="24"/>
                <w:lang w:val="fr-FR"/>
              </w:rPr>
              <w:t>Grammaire progressive du Français ; CLE international ;</w:t>
            </w:r>
          </w:p>
        </w:tc>
      </w:tr>
    </w:tbl>
    <w:p w:rsidR="00C26831" w:rsidRDefault="00C26831" w:rsidP="00C26831">
      <w:pPr>
        <w:pStyle w:val="NoSpacing"/>
        <w:ind w:left="0" w:firstLine="0"/>
        <w:jc w:val="both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774" w:type="dxa"/>
        <w:tblInd w:w="-436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C26831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iplanit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</w:tr>
      <w:tr w:rsidR="00C26831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</w:p>
        </w:tc>
      </w:tr>
      <w:tr w:rsidR="00C26831" w:rsidRPr="00005467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 Karakteristikat dhe pêrdorimet e kushtores  </w:t>
            </w:r>
          </w:p>
        </w:tc>
      </w:tr>
      <w:tr w:rsidR="00C26831" w:rsidRPr="00005467" w:rsidTr="00324098">
        <w:trPr>
          <w:trHeight w:val="163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Detyrime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diatezës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pësore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C26831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Forma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vetvetore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ajo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pavetore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C26831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Pyetja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zhdrejtë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zhdrejtë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Ligjërata e zhdrejtë e lirë </w:t>
            </w:r>
          </w:p>
        </w:tc>
      </w:tr>
      <w:tr w:rsidR="00C26831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6: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parë</w:t>
            </w:r>
            <w:proofErr w:type="spellEnd"/>
          </w:p>
        </w:tc>
      </w:tr>
      <w:tr w:rsidR="00C26831" w:rsidRPr="00005467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Situatat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 ;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kohëzgjatjes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RPr="00005467" w:rsidTr="00324098">
        <w:trPr>
          <w:trHeight w:val="14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Mjetet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shkakut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pasojes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RPr="00E24244" w:rsidTr="00324098">
        <w:trPr>
          <w:trHeight w:val="349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anterioritetit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posterioritetit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RPr="00005467" w:rsidTr="00324098">
        <w:trPr>
          <w:trHeight w:val="287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Të shprehurit  e krahasimit dhe e qëllimit </w:t>
            </w:r>
          </w:p>
        </w:tc>
      </w:tr>
      <w:tr w:rsidR="00C26831" w:rsidRPr="00005467" w:rsidTr="00324098">
        <w:trPr>
          <w:trHeight w:val="17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 Shprehja e kundërvënies dhe e  lejimit </w:t>
            </w:r>
          </w:p>
        </w:tc>
      </w:tr>
      <w:tr w:rsidR="00C26831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Shprehja e kushtit dhe e hipotezës </w:t>
            </w:r>
          </w:p>
        </w:tc>
      </w:tr>
      <w:tr w:rsidR="00C26831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dytë</w:t>
            </w:r>
            <w:proofErr w:type="spellEnd"/>
          </w:p>
        </w:tc>
      </w:tr>
      <w:tr w:rsidR="00C26831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Modalizimi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RPr="00E24244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Default="00C26831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Përshtatja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6831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26831" w:rsidRPr="00E912D0" w:rsidRDefault="00C26831" w:rsidP="00324098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C26831" w:rsidTr="00324098">
        <w:trPr>
          <w:trHeight w:val="930"/>
        </w:trPr>
        <w:tc>
          <w:tcPr>
            <w:tcW w:w="107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26831" w:rsidRPr="00A15402" w:rsidRDefault="00C26831" w:rsidP="0032409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Mjetet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pastrohen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ruhen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fund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Telefonat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mobil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mençur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elektronike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(p.sh. iPod-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fikën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kurdisen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vibrim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ekspozohen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C26831" w:rsidRPr="00E912D0" w:rsidRDefault="00C26831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Laptopët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kompjuterët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tabletë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lejohen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vetëm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heshtje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aktivitetet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kontrollimi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mailit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personal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shfletimi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ueb-faqeve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internet,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ndaluara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C26831" w:rsidRPr="00B00908" w:rsidRDefault="00C26831" w:rsidP="00C26831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p w:rsidR="00C26831" w:rsidRDefault="00C26831" w:rsidP="00C26831"/>
    <w:p w:rsidR="00C26831" w:rsidRPr="00B00908" w:rsidRDefault="00C26831" w:rsidP="00C26831"/>
    <w:p w:rsidR="00C26831" w:rsidRPr="00E24244" w:rsidRDefault="00C26831" w:rsidP="00C26831"/>
    <w:p w:rsidR="00271E9B" w:rsidRPr="00C26831" w:rsidRDefault="00271E9B" w:rsidP="00C26831"/>
    <w:sectPr w:rsidR="00271E9B" w:rsidRPr="00C2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85692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8A"/>
    <w:rsid w:val="001E50AF"/>
    <w:rsid w:val="00271E9B"/>
    <w:rsid w:val="00346BD2"/>
    <w:rsid w:val="003F5E80"/>
    <w:rsid w:val="004312A4"/>
    <w:rsid w:val="004A1DD6"/>
    <w:rsid w:val="00604E69"/>
    <w:rsid w:val="00657C87"/>
    <w:rsid w:val="008B2A36"/>
    <w:rsid w:val="00990A0D"/>
    <w:rsid w:val="009A60CA"/>
    <w:rsid w:val="009C340C"/>
    <w:rsid w:val="00B3624C"/>
    <w:rsid w:val="00B47871"/>
    <w:rsid w:val="00C26831"/>
    <w:rsid w:val="00FA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916E"/>
  <w15:chartTrackingRefBased/>
  <w15:docId w15:val="{B2D6A4E4-1FE3-413B-AD29-828972C1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87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657C87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7C87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657C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657C87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57C87"/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99"/>
    <w:qFormat/>
    <w:rsid w:val="00657C87"/>
    <w:pPr>
      <w:ind w:left="720"/>
      <w:contextualSpacing/>
    </w:pPr>
  </w:style>
  <w:style w:type="table" w:customStyle="1" w:styleId="TableGrid1">
    <w:name w:val="TableGrid1"/>
    <w:rsid w:val="00990A0D"/>
    <w:pPr>
      <w:spacing w:after="0" w:line="240" w:lineRule="auto"/>
    </w:pPr>
    <w:rPr>
      <w:rFonts w:ascii="Calibri" w:eastAsia="Times New Roman" w:hAnsi="Calibr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14</cp:revision>
  <dcterms:created xsi:type="dcterms:W3CDTF">2021-09-07T08:44:00Z</dcterms:created>
  <dcterms:modified xsi:type="dcterms:W3CDTF">2025-10-16T13:39:00Z</dcterms:modified>
</cp:coreProperties>
</file>