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E80" w:rsidRPr="00A15402" w:rsidRDefault="003F5E80" w:rsidP="003F5E80">
      <w:pPr>
        <w:spacing w:line="240" w:lineRule="auto"/>
      </w:pPr>
    </w:p>
    <w:p w:rsidR="003F5E80" w:rsidRPr="00A15402" w:rsidRDefault="003F5E80" w:rsidP="003F5E80">
      <w:pPr>
        <w:pStyle w:val="Titre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 w:rsidRPr="00A15402">
        <w:rPr>
          <w:rFonts w:ascii="Times New Roman" w:hAnsi="Times New Roman" w:cs="Times New Roman"/>
          <w:color w:val="auto"/>
          <w:sz w:val="24"/>
          <w:szCs w:val="24"/>
        </w:rPr>
        <w:t>Gjuhë</w:t>
      </w:r>
      <w:proofErr w:type="spellEnd"/>
      <w:r w:rsidRPr="00A154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5402">
        <w:rPr>
          <w:rFonts w:ascii="Times New Roman" w:hAnsi="Times New Roman" w:cs="Times New Roman"/>
          <w:color w:val="auto"/>
          <w:sz w:val="24"/>
          <w:szCs w:val="24"/>
        </w:rPr>
        <w:t>Frënge</w:t>
      </w:r>
      <w:proofErr w:type="spellEnd"/>
      <w:r w:rsidRPr="00A154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15402">
        <w:rPr>
          <w:rFonts w:ascii="Times New Roman" w:hAnsi="Times New Roman" w:cs="Times New Roman"/>
          <w:color w:val="auto"/>
          <w:sz w:val="24"/>
          <w:szCs w:val="24"/>
          <w:lang w:val="fr-FR"/>
        </w:rPr>
        <w:t>VI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1980"/>
        <w:gridCol w:w="8550"/>
      </w:tblGrid>
      <w:tr w:rsidR="003F5E80" w:rsidRPr="00A15402" w:rsidTr="00770D4F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Informatat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themelore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lëndën</w:t>
            </w:r>
            <w:proofErr w:type="spellEnd"/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Filologjisë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Gjuhë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Frënge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6</w:t>
            </w:r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BA</w:t>
            </w:r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Zgjedhore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6C567B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III-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6-të</w:t>
            </w:r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4A1DD6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2+</w:t>
            </w:r>
            <w:r w:rsidR="00346BD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4A1DD6" w:rsidP="00770D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Sipas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orarit</w:t>
            </w:r>
            <w:proofErr w:type="spellEnd"/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9C340C" w:rsidP="00770D4F">
            <w:pPr>
              <w:rPr>
                <w:rFonts w:ascii="Times New Roman" w:hAnsi="Times New Roman" w:cs="Times New Roman"/>
                <w:szCs w:val="24"/>
              </w:rPr>
            </w:pPr>
            <w:r w:rsidRPr="009C340C">
              <w:rPr>
                <w:rFonts w:ascii="Times New Roman" w:hAnsi="Times New Roman" w:cs="Times New Roman"/>
                <w:szCs w:val="24"/>
              </w:rPr>
              <w:t xml:space="preserve">Prof. Ass. Dr. </w:t>
            </w:r>
            <w:proofErr w:type="spellStart"/>
            <w:r w:rsidRPr="009C340C">
              <w:rPr>
                <w:rFonts w:ascii="Times New Roman" w:hAnsi="Times New Roman" w:cs="Times New Roman"/>
                <w:szCs w:val="24"/>
              </w:rPr>
              <w:t>Teutë</w:t>
            </w:r>
            <w:proofErr w:type="spellEnd"/>
            <w:r w:rsidRPr="009C340C">
              <w:rPr>
                <w:rFonts w:ascii="Times New Roman" w:hAnsi="Times New Roman" w:cs="Times New Roman"/>
                <w:szCs w:val="24"/>
              </w:rPr>
              <w:t xml:space="preserve"> BLAKQORI-SALIHU</w:t>
            </w:r>
          </w:p>
        </w:tc>
      </w:tr>
      <w:tr w:rsidR="003F5E80" w:rsidRPr="00A15402" w:rsidTr="00770D4F">
        <w:trPr>
          <w:trHeight w:val="34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Zyra 12</w:t>
            </w:r>
          </w:p>
        </w:tc>
      </w:tr>
      <w:tr w:rsidR="003F5E80" w:rsidRPr="00A15402" w:rsidTr="00770D4F">
        <w:trPr>
          <w:trHeight w:val="1972"/>
        </w:trPr>
        <w:tc>
          <w:tcPr>
            <w:tcW w:w="19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right="46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Lënda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ka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qëllim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zhvillimin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shkathtësive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receptive (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dëgjuarit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lexuarit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atyre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produktive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folurit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shkruarit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studentëve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Përqëndrimi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kryesor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jetë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zhvillimin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shkathtësive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komunikimit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duke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integruar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edhe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aspekte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gjuhës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siç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zhvillimi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strukturave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përvetësimit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leksikor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Ushtrimet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jenë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mbështetës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ligjëratave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fokusohen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kuptuarit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gojor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shprehurit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gojor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cilët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punohen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librin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Alter ego</w:t>
            </w:r>
          </w:p>
        </w:tc>
      </w:tr>
      <w:tr w:rsidR="003F5E80" w:rsidRPr="00A15402" w:rsidTr="00770D4F">
        <w:trPr>
          <w:trHeight w:val="1430"/>
        </w:trPr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Qëllimet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55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Përvetësimi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teknikave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manipulimin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gjuhës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duke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përfshirë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pjesë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gramatikore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rëndësishme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shkathtësitë</w:t>
            </w:r>
            <w:proofErr w:type="spellEnd"/>
            <w:proofErr w:type="gramEnd"/>
            <w:r w:rsidRPr="00A15402">
              <w:rPr>
                <w:rFonts w:ascii="Times New Roman" w:hAnsi="Times New Roman" w:cs="Times New Roman"/>
                <w:szCs w:val="24"/>
              </w:rPr>
              <w:t xml:space="preserve"> 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cekura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 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Prandaj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konsolidohet</w:t>
            </w:r>
            <w:proofErr w:type="spellEnd"/>
            <w:proofErr w:type="gram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shprehurit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gojë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studentet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mësojnë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pikpamje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japin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këshilla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mësojnë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mënyrën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përshkrimit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mënyrat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shtjellimit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Kursi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synon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arrijë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nivel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C1</w:t>
            </w:r>
          </w:p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F5E80" w:rsidRPr="00A15402" w:rsidRDefault="003F5E80" w:rsidP="003F5E80">
      <w:pPr>
        <w:spacing w:line="240" w:lineRule="auto"/>
        <w:ind w:left="-718" w:right="11185"/>
        <w:rPr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970"/>
        <w:gridCol w:w="235"/>
        <w:gridCol w:w="2353"/>
        <w:gridCol w:w="3647"/>
        <w:gridCol w:w="1325"/>
      </w:tblGrid>
      <w:tr w:rsidR="003F5E80" w:rsidRPr="00346BD2" w:rsidTr="00770D4F">
        <w:trPr>
          <w:trHeight w:val="628"/>
        </w:trPr>
        <w:tc>
          <w:tcPr>
            <w:tcW w:w="297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3F5E80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Rezultatet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e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pritshme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nxënies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:</w:t>
            </w:r>
          </w:p>
        </w:tc>
        <w:tc>
          <w:tcPr>
            <w:tcW w:w="756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3F5E80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Pas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përfundimit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këtij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kursi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studenti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do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jetë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gjendje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që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:</w:t>
            </w:r>
          </w:p>
        </w:tc>
      </w:tr>
      <w:tr w:rsidR="003F5E80" w:rsidRPr="00346BD2" w:rsidTr="00770D4F">
        <w:trPr>
          <w:trHeight w:val="628"/>
        </w:trPr>
        <w:tc>
          <w:tcPr>
            <w:tcW w:w="297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F5E80" w:rsidRPr="003F5E80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  <w:lang w:val="fr-CH"/>
              </w:rPr>
            </w:pPr>
          </w:p>
        </w:tc>
        <w:tc>
          <w:tcPr>
            <w:tcW w:w="75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3F5E80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-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përdorë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frëngjishten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e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mësuar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situata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reja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dëgjimit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proofErr w:type="gram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dhe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proofErr w:type="gram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prodhimit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gjatë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fazës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së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nxënies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.</w:t>
            </w:r>
          </w:p>
          <w:p w:rsidR="003F5E80" w:rsidRPr="003F5E80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</w:p>
          <w:p w:rsidR="003F5E80" w:rsidRPr="003F5E80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</w:p>
        </w:tc>
      </w:tr>
      <w:tr w:rsidR="003F5E80" w:rsidRPr="00346BD2" w:rsidTr="00770D4F">
        <w:trPr>
          <w:trHeight w:val="340"/>
        </w:trPr>
        <w:tc>
          <w:tcPr>
            <w:tcW w:w="297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F5E80" w:rsidRPr="003F5E80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  <w:lang w:val="fr-CH"/>
              </w:rPr>
            </w:pPr>
          </w:p>
        </w:tc>
        <w:tc>
          <w:tcPr>
            <w:tcW w:w="75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3F5E80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-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hartojë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tekste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proofErr w:type="gram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shkurtra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ku</w:t>
            </w:r>
            <w:proofErr w:type="spellEnd"/>
            <w:proofErr w:type="gram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shpreh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mendimin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,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opinionin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e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vet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,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arsyeton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një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gjykim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shkruaj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një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tregim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,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prandaj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riprodhojë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për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nevoja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personale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përmbajtjen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e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kursit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. </w:t>
            </w:r>
          </w:p>
          <w:p w:rsidR="003F5E80" w:rsidRPr="003F5E80" w:rsidRDefault="003F5E80" w:rsidP="00770D4F">
            <w:pPr>
              <w:spacing w:after="200"/>
              <w:jc w:val="both"/>
              <w:rPr>
                <w:rFonts w:ascii="Times New Roman" w:hAnsi="Times New Roman" w:cs="Times New Roman"/>
                <w:szCs w:val="24"/>
                <w:lang w:val="fr-CH"/>
              </w:rPr>
            </w:pPr>
          </w:p>
        </w:tc>
      </w:tr>
      <w:tr w:rsidR="003F5E80" w:rsidRPr="00346BD2" w:rsidTr="00770D4F">
        <w:trPr>
          <w:trHeight w:val="628"/>
        </w:trPr>
        <w:tc>
          <w:tcPr>
            <w:tcW w:w="297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F5E80" w:rsidRPr="003F5E80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  <w:lang w:val="fr-CH"/>
              </w:rPr>
            </w:pPr>
          </w:p>
        </w:tc>
        <w:tc>
          <w:tcPr>
            <w:tcW w:w="75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4A1DD6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-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përdor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frëngjishten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e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mësuar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situata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reja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dëgjimit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dhe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prodhimit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</w:p>
        </w:tc>
      </w:tr>
      <w:tr w:rsidR="003F5E80" w:rsidRPr="00346BD2" w:rsidTr="00770D4F">
        <w:trPr>
          <w:trHeight w:val="628"/>
        </w:trPr>
        <w:tc>
          <w:tcPr>
            <w:tcW w:w="297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3F5E80" w:rsidRPr="004A1DD6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  <w:lang w:val="fr-CH"/>
              </w:rPr>
            </w:pPr>
          </w:p>
        </w:tc>
        <w:tc>
          <w:tcPr>
            <w:tcW w:w="756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4A1DD6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-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përdor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njësitë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gramatikore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të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elaboruara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situata</w:t>
            </w:r>
            <w:proofErr w:type="spellEnd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szCs w:val="24"/>
                <w:lang w:val="fr-CH"/>
              </w:rPr>
              <w:t>praktike</w:t>
            </w:r>
            <w:proofErr w:type="spellEnd"/>
          </w:p>
        </w:tc>
      </w:tr>
      <w:tr w:rsidR="003F5E80" w:rsidRPr="00346BD2" w:rsidTr="00770D4F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3F5E80" w:rsidRPr="004A1DD6" w:rsidRDefault="003F5E80" w:rsidP="00770D4F">
            <w:pPr>
              <w:rPr>
                <w:rFonts w:ascii="Times New Roman" w:hAnsi="Times New Roman" w:cs="Times New Roman"/>
                <w:szCs w:val="24"/>
                <w:lang w:val="fr-CH"/>
              </w:rPr>
            </w:pP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Ngarkesa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e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studentit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(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duhet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të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jetë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në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përputhje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me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rezultatet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e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nxënies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së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 xml:space="preserve"> </w:t>
            </w:r>
            <w:proofErr w:type="spellStart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studentit</w:t>
            </w:r>
            <w:proofErr w:type="spellEnd"/>
            <w:r w:rsidRPr="004A1DD6">
              <w:rPr>
                <w:rFonts w:ascii="Times New Roman" w:hAnsi="Times New Roman" w:cs="Times New Roman"/>
                <w:b/>
                <w:szCs w:val="24"/>
                <w:lang w:val="fr-CH"/>
              </w:rPr>
              <w:t>)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tabs>
                <w:tab w:val="center" w:pos="696"/>
                <w:tab w:val="center" w:pos="2303"/>
              </w:tabs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tabs>
                <w:tab w:val="center" w:pos="61"/>
                <w:tab w:val="center" w:pos="1974"/>
              </w:tabs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A15402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22,5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1                                 15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11,25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tabs>
                <w:tab w:val="center" w:pos="62"/>
                <w:tab w:val="center" w:pos="1974"/>
              </w:tabs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ab/>
            </w:r>
            <w:r w:rsidRPr="00A15402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Përgatitje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tabs>
                <w:tab w:val="center" w:pos="153"/>
                <w:tab w:val="center" w:pos="1914"/>
              </w:tabs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ab/>
              <w:t>20mn</w:t>
            </w:r>
            <w:r w:rsidRPr="00A15402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Puna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tabs>
                <w:tab w:val="center" w:pos="62"/>
                <w:tab w:val="center" w:pos="1914"/>
              </w:tabs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ab/>
            </w:r>
            <w:r w:rsidRPr="00A15402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tabs>
                <w:tab w:val="center" w:pos="62"/>
                <w:tab w:val="center" w:pos="1975"/>
              </w:tabs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A15402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3F5E80" w:rsidRDefault="003F5E80" w:rsidP="00770D4F">
            <w:pPr>
              <w:ind w:left="1"/>
              <w:rPr>
                <w:rFonts w:ascii="Times New Roman" w:hAnsi="Times New Roman" w:cs="Times New Roman"/>
                <w:szCs w:val="24"/>
                <w:lang w:val="fr-CH"/>
              </w:rPr>
            </w:pP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Mësimi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individual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(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në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bibliotekë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>apo</w:t>
            </w:r>
            <w:proofErr w:type="spellEnd"/>
            <w:r w:rsidRPr="003F5E80">
              <w:rPr>
                <w:rFonts w:ascii="Times New Roman" w:hAnsi="Times New Roman" w:cs="Times New Roman"/>
                <w:szCs w:val="24"/>
                <w:lang w:val="fr-CH"/>
              </w:rPr>
              <w:t xml:space="preserve">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9                                1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 2                              1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2                                1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3F5E80" w:rsidRPr="00A15402" w:rsidTr="00770D4F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3F5E80" w:rsidRPr="00A15402" w:rsidRDefault="003F5E80" w:rsidP="00770D4F">
            <w:pPr>
              <w:ind w:left="1"/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eastAsia="Times New Roman" w:hAnsi="Times New Roman" w:cs="Times New Roman"/>
                <w:szCs w:val="24"/>
              </w:rPr>
              <w:t>98,75</w:t>
            </w:r>
          </w:p>
        </w:tc>
      </w:tr>
      <w:tr w:rsidR="003F5E80" w:rsidRPr="00A15402" w:rsidTr="00770D4F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Ligjërata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shqiptimin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tingujve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gjuhës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frënge</w:t>
            </w:r>
            <w:proofErr w:type="spellEnd"/>
          </w:p>
        </w:tc>
      </w:tr>
      <w:tr w:rsidR="003F5E80" w:rsidRPr="006C567B" w:rsidTr="00770D4F"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3F5E80" w:rsidRDefault="003F5E80" w:rsidP="00770D4F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3F5E80" w:rsidRPr="003F5E80" w:rsidRDefault="003F5E80" w:rsidP="00770D4F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10%;</w:t>
            </w:r>
          </w:p>
          <w:p w:rsidR="003F5E80" w:rsidRPr="003F5E80" w:rsidRDefault="003F5E80" w:rsidP="00770D4F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3F5E8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3F5E80" w:rsidRPr="00A15402" w:rsidRDefault="003F5E80" w:rsidP="00770D4F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3F5E80" w:rsidRPr="00A15402" w:rsidRDefault="003F5E80" w:rsidP="00770D4F">
            <w:pPr>
              <w:pStyle w:val="Sansinterligne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A15402">
              <w:rPr>
                <w:rFonts w:ascii="Times New Roman" w:hAnsi="Times New Roman" w:cs="Times New Roman"/>
                <w:color w:val="auto"/>
                <w:szCs w:val="24"/>
              </w:rPr>
              <w:t xml:space="preserve"> final 40 %.</w:t>
            </w:r>
          </w:p>
        </w:tc>
      </w:tr>
      <w:tr w:rsidR="003F5E80" w:rsidRPr="00A15402" w:rsidTr="00B47871">
        <w:trPr>
          <w:trHeight w:val="20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47871" w:rsidRPr="00B47871" w:rsidRDefault="00B47871" w:rsidP="00B4787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</w:pPr>
            <w:r w:rsidRPr="00B47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  <w:t xml:space="preserve">Alter ego 5 - méthode de français + CD audio, Parcours digital - Hachette FLE, 2014 </w:t>
            </w:r>
          </w:p>
          <w:p w:rsidR="00B47871" w:rsidRPr="00B47871" w:rsidRDefault="00B47871" w:rsidP="00B4787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</w:pPr>
            <w:r w:rsidRPr="00B47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  <w:t xml:space="preserve">Bescherelle 1, La conjugaison de 12000 verbes, Paris, Hatier, 2012. </w:t>
            </w:r>
          </w:p>
          <w:p w:rsidR="003F5E80" w:rsidRPr="00A15402" w:rsidRDefault="003F5E80" w:rsidP="00B47871">
            <w:pPr>
              <w:ind w:left="0" w:firstLine="0"/>
              <w:jc w:val="both"/>
              <w:outlineLvl w:val="0"/>
              <w:rPr>
                <w:rFonts w:ascii="Times New Roman" w:hAnsi="Times New Roman" w:cs="Times New Roman"/>
                <w:szCs w:val="24"/>
                <w:lang w:val="it-IT"/>
              </w:rPr>
            </w:pPr>
          </w:p>
        </w:tc>
      </w:tr>
      <w:tr w:rsidR="003F5E80" w:rsidRPr="00346BD2" w:rsidTr="00B47871">
        <w:trPr>
          <w:trHeight w:val="737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lastRenderedPageBreak/>
              <w:t>Literatura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47871" w:rsidRPr="00B47871" w:rsidRDefault="00B47871" w:rsidP="00B4787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</w:pPr>
            <w:r w:rsidRPr="00B47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  <w:t>Grammaire Larousse du français contemporain,</w:t>
            </w:r>
          </w:p>
          <w:p w:rsidR="00B47871" w:rsidRDefault="00B47871" w:rsidP="00B47871">
            <w:pPr>
              <w:jc w:val="both"/>
              <w:rPr>
                <w:rFonts w:ascii="Times New Roman" w:hAnsi="Times New Roman" w:cs="Times New Roman"/>
                <w:iCs/>
                <w:szCs w:val="24"/>
                <w:lang w:val="fr-CH"/>
              </w:rPr>
            </w:pPr>
            <w:r w:rsidRPr="00B47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  <w:t xml:space="preserve">Grammaire progressive du </w:t>
            </w:r>
            <w:proofErr w:type="gramStart"/>
            <w:r w:rsidRPr="00B47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  <w:t>Français;</w:t>
            </w:r>
            <w:proofErr w:type="gramEnd"/>
            <w:r w:rsidRPr="00B4787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fr-FR"/>
              </w:rPr>
              <w:t xml:space="preserve"> CLE international ;</w:t>
            </w:r>
          </w:p>
          <w:p w:rsidR="003F5E80" w:rsidRPr="003F5E80" w:rsidRDefault="003F5E80" w:rsidP="00770D4F">
            <w:pPr>
              <w:jc w:val="both"/>
              <w:rPr>
                <w:rFonts w:ascii="Times New Roman" w:hAnsi="Times New Roman" w:cs="Times New Roman"/>
                <w:szCs w:val="24"/>
                <w:lang w:val="fr-CH"/>
              </w:rPr>
            </w:pPr>
          </w:p>
        </w:tc>
      </w:tr>
    </w:tbl>
    <w:p w:rsidR="003F5E80" w:rsidRPr="00A15402" w:rsidRDefault="003F5E80" w:rsidP="003F5E80">
      <w:pPr>
        <w:pStyle w:val="Sansinterligne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3F5E80" w:rsidRPr="00A15402" w:rsidTr="00770D4F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Hartimi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planit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3F5E80" w:rsidRPr="00A15402" w:rsidRDefault="003F5E80" w:rsidP="00770D4F">
            <w:pPr>
              <w:spacing w:after="1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6C567B" w:rsidTr="00770D4F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 Karakteristikat dhe pêrdorimet e kushtores  </w:t>
            </w:r>
          </w:p>
        </w:tc>
      </w:tr>
      <w:tr w:rsidR="003F5E80" w:rsidRPr="006C567B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Detyrime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diatezës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pësore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3F5E80" w:rsidRPr="006C567B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Forma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vetvetore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ajo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pavetore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Pyetja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zhdrejtë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ligjërat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zhdrejtë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Ligjërata e zhdrejtë e lirë </w:t>
            </w: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vlersimi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parë</w:t>
            </w:r>
            <w:proofErr w:type="spellEnd"/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Situatat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në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kohë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 ;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shprehurit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kohëzgjatjes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Mjetet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shprehjes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shkakut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pasojes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Kohët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anterioritetit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posterioritetit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6C567B" w:rsidTr="00770D4F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Të shprehurit  e krahasimit dhe e qëllimit </w:t>
            </w: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 Shprehja e kundërvënies dhe e  lejimit </w:t>
            </w: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  <w:lang w:val="de-DE"/>
              </w:rPr>
            </w:pPr>
            <w:r w:rsidRPr="00A15402">
              <w:rPr>
                <w:rFonts w:ascii="Times New Roman" w:hAnsi="Times New Roman" w:cs="Times New Roman"/>
                <w:szCs w:val="24"/>
                <w:lang w:val="de-DE"/>
              </w:rPr>
              <w:t xml:space="preserve">Shprehja e kushtit dhe e hipotezës </w:t>
            </w:r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vlersimi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dytë</w:t>
            </w:r>
            <w:proofErr w:type="spellEnd"/>
          </w:p>
        </w:tc>
      </w:tr>
      <w:tr w:rsidR="003F5E80" w:rsidRPr="00A15402" w:rsidTr="00770D4F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Modalizimi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A15402" w:rsidTr="00770D4F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r w:rsidRPr="00A15402">
              <w:rPr>
                <w:rFonts w:ascii="Times New Roman" w:hAnsi="Times New Roman" w:cs="Times New Roman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Përshtatja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kohëve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F5E80" w:rsidRPr="006C567B" w:rsidTr="00770D4F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3F5E80" w:rsidRPr="00A15402" w:rsidRDefault="003F5E80" w:rsidP="00770D4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Politikat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akademike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kodi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b/>
                <w:szCs w:val="24"/>
              </w:rPr>
              <w:t>sjelljes</w:t>
            </w:r>
            <w:proofErr w:type="spellEnd"/>
          </w:p>
        </w:tc>
      </w:tr>
      <w:tr w:rsidR="003F5E80" w:rsidRPr="006C567B" w:rsidTr="00770D4F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Mjetet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gjatë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duhet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pastrohen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ruhen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fund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Telefonat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mobil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mençur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pajisjet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elektronike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(p.sh. iPod-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duhet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fikën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(apo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kurdisen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vibrim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)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mos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ekspozohen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gjatë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mësimit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  <w:p w:rsidR="003F5E80" w:rsidRPr="00A15402" w:rsidRDefault="003F5E80" w:rsidP="00770D4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Laptopët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kompjuterët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tabletë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lejohen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përdorën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vetëm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heshtje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;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aktivitetet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siç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kontrollimi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e-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mailit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personal apo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shfletimi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ueb-faqeve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internet,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15402">
              <w:rPr>
                <w:rFonts w:ascii="Times New Roman" w:hAnsi="Times New Roman" w:cs="Times New Roman"/>
                <w:szCs w:val="24"/>
              </w:rPr>
              <w:t>ndaluara</w:t>
            </w:r>
            <w:proofErr w:type="spellEnd"/>
            <w:r w:rsidRPr="00A15402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</w:tbl>
    <w:p w:rsidR="003F5E80" w:rsidRPr="00A15402" w:rsidRDefault="003F5E80" w:rsidP="003F5E80">
      <w:pPr>
        <w:pStyle w:val="Titre3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:rsidR="00604E69" w:rsidRPr="003F5E80" w:rsidRDefault="00604E69" w:rsidP="003F5E80">
      <w:pPr>
        <w:rPr>
          <w:lang w:val="sq-AL"/>
        </w:rPr>
      </w:pPr>
    </w:p>
    <w:sectPr w:rsidR="00604E69" w:rsidRPr="003F5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85692"/>
    <w:multiLevelType w:val="hybridMultilevel"/>
    <w:tmpl w:val="8D1E50B2"/>
    <w:lvl w:ilvl="0" w:tplc="3F225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7563241">
    <w:abstractNumId w:val="1"/>
  </w:num>
  <w:num w:numId="2" w16cid:durableId="18054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8A"/>
    <w:rsid w:val="00346BD2"/>
    <w:rsid w:val="003F5E80"/>
    <w:rsid w:val="004A1DD6"/>
    <w:rsid w:val="00604E69"/>
    <w:rsid w:val="00657C87"/>
    <w:rsid w:val="008B2A36"/>
    <w:rsid w:val="009A60CA"/>
    <w:rsid w:val="009C340C"/>
    <w:rsid w:val="00B47871"/>
    <w:rsid w:val="00FA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081C"/>
  <w15:chartTrackingRefBased/>
  <w15:docId w15:val="{B2D6A4E4-1FE3-413B-AD29-828972C1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C87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Titre3">
    <w:name w:val="heading 3"/>
    <w:next w:val="Normal"/>
    <w:link w:val="Titre3Car"/>
    <w:uiPriority w:val="9"/>
    <w:unhideWhenUsed/>
    <w:qFormat/>
    <w:rsid w:val="00657C87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57C87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657C8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link w:val="SansinterligneCar"/>
    <w:uiPriority w:val="99"/>
    <w:qFormat/>
    <w:rsid w:val="00657C87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657C87"/>
    <w:rPr>
      <w:rFonts w:ascii="Calibri" w:eastAsia="Calibri" w:hAnsi="Calibri" w:cs="Calibri"/>
      <w:color w:val="000000"/>
      <w:szCs w:val="22"/>
    </w:rPr>
  </w:style>
  <w:style w:type="paragraph" w:styleId="Paragraphedeliste">
    <w:name w:val="List Paragraph"/>
    <w:basedOn w:val="Normal"/>
    <w:uiPriority w:val="99"/>
    <w:qFormat/>
    <w:rsid w:val="00657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686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Microsoft Office User</cp:lastModifiedBy>
  <cp:revision>9</cp:revision>
  <dcterms:created xsi:type="dcterms:W3CDTF">2021-09-07T08:44:00Z</dcterms:created>
  <dcterms:modified xsi:type="dcterms:W3CDTF">2025-03-02T11:20:00Z</dcterms:modified>
</cp:coreProperties>
</file>