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A5E" w:rsidRPr="006510A2" w:rsidRDefault="00C53A5E" w:rsidP="00D53336">
      <w:pPr>
        <w:pStyle w:val="NoSpacing"/>
        <w:jc w:val="both"/>
        <w:rPr>
          <w:rFonts w:ascii="Times New Roman" w:hAnsi="Times New Roman" w:cs="Times New Roman"/>
          <w:b/>
          <w:color w:val="auto"/>
          <w:szCs w:val="24"/>
        </w:rPr>
      </w:pPr>
    </w:p>
    <w:p w:rsidR="00C53A5E" w:rsidRPr="006510A2" w:rsidRDefault="00C53A5E" w:rsidP="00D53336">
      <w:pPr>
        <w:pStyle w:val="NoSpacing"/>
        <w:jc w:val="both"/>
        <w:rPr>
          <w:rFonts w:ascii="Times New Roman" w:hAnsi="Times New Roman" w:cs="Times New Roman"/>
          <w:b/>
          <w:color w:val="auto"/>
          <w:szCs w:val="24"/>
          <w:lang w:val="sq-AL"/>
        </w:rPr>
      </w:pPr>
      <w:proofErr w:type="spellStart"/>
      <w:r w:rsidRPr="006510A2">
        <w:rPr>
          <w:rFonts w:ascii="Times New Roman" w:hAnsi="Times New Roman" w:cs="Times New Roman"/>
          <w:b/>
          <w:color w:val="auto"/>
          <w:szCs w:val="24"/>
        </w:rPr>
        <w:t>Titulli</w:t>
      </w:r>
      <w:proofErr w:type="spellEnd"/>
      <w:r w:rsidRPr="006510A2">
        <w:rPr>
          <w:rFonts w:ascii="Times New Roman" w:hAnsi="Times New Roman" w:cs="Times New Roman"/>
          <w:b/>
          <w:color w:val="auto"/>
          <w:szCs w:val="24"/>
        </w:rPr>
        <w:t xml:space="preserve"> </w:t>
      </w:r>
      <w:proofErr w:type="spellStart"/>
      <w:r w:rsidRPr="006510A2">
        <w:rPr>
          <w:rFonts w:ascii="Times New Roman" w:hAnsi="Times New Roman" w:cs="Times New Roman"/>
          <w:b/>
          <w:color w:val="auto"/>
          <w:szCs w:val="24"/>
        </w:rPr>
        <w:t>i</w:t>
      </w:r>
      <w:proofErr w:type="spellEnd"/>
      <w:r w:rsidRPr="006510A2">
        <w:rPr>
          <w:rFonts w:ascii="Times New Roman" w:hAnsi="Times New Roman" w:cs="Times New Roman"/>
          <w:b/>
          <w:color w:val="auto"/>
          <w:szCs w:val="24"/>
        </w:rPr>
        <w:t xml:space="preserve"> </w:t>
      </w:r>
      <w:proofErr w:type="spellStart"/>
      <w:r w:rsidRPr="006510A2">
        <w:rPr>
          <w:rFonts w:ascii="Times New Roman" w:hAnsi="Times New Roman" w:cs="Times New Roman"/>
          <w:b/>
          <w:color w:val="auto"/>
          <w:szCs w:val="24"/>
        </w:rPr>
        <w:t>lëndës</w:t>
      </w:r>
      <w:proofErr w:type="spellEnd"/>
      <w:r w:rsidRPr="006510A2">
        <w:rPr>
          <w:rFonts w:ascii="Times New Roman" w:hAnsi="Times New Roman" w:cs="Times New Roman"/>
          <w:b/>
          <w:color w:val="auto"/>
          <w:szCs w:val="24"/>
        </w:rPr>
        <w:t xml:space="preserve">: </w:t>
      </w:r>
      <w:r w:rsidRPr="006510A2">
        <w:rPr>
          <w:rFonts w:ascii="Times New Roman" w:hAnsi="Times New Roman" w:cs="Times New Roman"/>
          <w:b/>
          <w:color w:val="auto"/>
          <w:szCs w:val="24"/>
          <w:lang w:val="sq-AL"/>
        </w:rPr>
        <w:t>SEMANTIKË</w:t>
      </w:r>
    </w:p>
    <w:tbl>
      <w:tblPr>
        <w:tblW w:w="10774" w:type="dxa"/>
        <w:tblInd w:w="-436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694"/>
        <w:gridCol w:w="8080"/>
      </w:tblGrid>
      <w:tr w:rsidR="006510A2" w:rsidRPr="006510A2" w:rsidTr="00D53336">
        <w:trPr>
          <w:trHeight w:val="340"/>
        </w:trPr>
        <w:tc>
          <w:tcPr>
            <w:tcW w:w="269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Informatat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themelore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lëndën</w:t>
            </w:r>
            <w:proofErr w:type="spellEnd"/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6510A2" w:rsidRPr="006510A2" w:rsidTr="00D53336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Njësia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akademike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Fakulteti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Filologjis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ë </w:t>
            </w:r>
          </w:p>
        </w:tc>
      </w:tr>
      <w:tr w:rsidR="006510A2" w:rsidRPr="006510A2" w:rsidTr="00D53336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Titulli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Semantikë</w:t>
            </w:r>
            <w:proofErr w:type="spellEnd"/>
          </w:p>
        </w:tc>
      </w:tr>
      <w:tr w:rsidR="006510A2" w:rsidRPr="006510A2" w:rsidTr="00D53336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Niveli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MSc</w:t>
            </w:r>
          </w:p>
        </w:tc>
      </w:tr>
      <w:tr w:rsidR="006510A2" w:rsidRPr="006510A2" w:rsidTr="00D53336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6510A2" w:rsidP="00D53336">
            <w:pPr>
              <w:pStyle w:val="NoSpacing"/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</w:t>
            </w:r>
            <w:r w:rsidR="00C53A5E" w:rsidRPr="006510A2">
              <w:rPr>
                <w:rFonts w:ascii="Times New Roman" w:hAnsi="Times New Roman" w:cs="Times New Roman"/>
                <w:color w:val="auto"/>
                <w:szCs w:val="24"/>
              </w:rPr>
              <w:t>tatusi</w:t>
            </w:r>
            <w:proofErr w:type="spellEnd"/>
            <w:r w:rsidR="00C53A5E"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="00C53A5E"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="00C53A5E"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="00C53A5E" w:rsidRPr="006510A2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="00C53A5E" w:rsidRPr="006510A2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Obligativ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6510A2" w:rsidRPr="006510A2" w:rsidTr="00D53336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Viti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studimeve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Viti I,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Semestri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parë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6510A2" w:rsidRPr="006510A2" w:rsidTr="00D53336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Numri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2+2 </w:t>
            </w:r>
          </w:p>
        </w:tc>
      </w:tr>
      <w:tr w:rsidR="006510A2" w:rsidRPr="006510A2" w:rsidTr="00D53336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Kreditë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ECTS: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5 ECTS</w:t>
            </w:r>
          </w:p>
        </w:tc>
      </w:tr>
      <w:tr w:rsidR="006510A2" w:rsidRPr="006510A2" w:rsidTr="00D53336">
        <w:trPr>
          <w:trHeight w:val="34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Koha /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Vendi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Sipas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orarit</w:t>
            </w:r>
            <w:proofErr w:type="spellEnd"/>
          </w:p>
        </w:tc>
      </w:tr>
      <w:tr w:rsidR="006510A2" w:rsidRPr="006510A2" w:rsidTr="00D53336">
        <w:trPr>
          <w:trHeight w:val="612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Mësimdhënësi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436EC7" w:rsidRDefault="00436EC7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6EC7">
              <w:rPr>
                <w:rFonts w:ascii="Times New Roman" w:hAnsi="Times New Roman" w:cs="Times New Roman"/>
                <w:color w:val="auto"/>
                <w:szCs w:val="24"/>
              </w:rPr>
              <w:t xml:space="preserve">Prof. Ass. Dr. </w:t>
            </w:r>
            <w:proofErr w:type="spellStart"/>
            <w:r w:rsidRPr="00436EC7">
              <w:rPr>
                <w:rFonts w:ascii="Times New Roman" w:hAnsi="Times New Roman" w:cs="Times New Roman"/>
                <w:color w:val="auto"/>
                <w:szCs w:val="24"/>
              </w:rPr>
              <w:t>Teutë</w:t>
            </w:r>
            <w:proofErr w:type="spellEnd"/>
            <w:r w:rsidRPr="00436EC7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436EC7">
              <w:rPr>
                <w:rFonts w:ascii="Times New Roman" w:hAnsi="Times New Roman" w:cs="Times New Roman"/>
                <w:color w:val="auto"/>
                <w:szCs w:val="24"/>
              </w:rPr>
              <w:t>Blakqori-Salihu</w:t>
            </w:r>
            <w:proofErr w:type="spellEnd"/>
          </w:p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Asistenti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6510A2" w:rsidRPr="006510A2" w:rsidTr="00D53336">
        <w:trPr>
          <w:trHeight w:val="303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dhënat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kontaktuese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Zyra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12</w:t>
            </w:r>
          </w:p>
        </w:tc>
      </w:tr>
      <w:tr w:rsidR="006510A2" w:rsidRPr="006510A2" w:rsidTr="00D53336">
        <w:trPr>
          <w:trHeight w:val="3122"/>
        </w:trPr>
        <w:tc>
          <w:tcPr>
            <w:tcW w:w="269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Përshkrimi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80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Ky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kurs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objekt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studimin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kuptimit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njësive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leksikore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Semantika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leksikore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përdor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konceptet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lidhur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shenjën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gjuhësore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shpesh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trashëguara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nga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filozofia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. Do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trajtohen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shenja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gjuhësore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referenti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lidhjet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mes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kuptimit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bazë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kuptimit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kontekstual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. Ai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qaset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analizave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kuptimit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leksikor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ku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do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shqyrtohet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definicioni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inkluzion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analiza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semike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apo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komponenciale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prototipet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stereotipet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Pastaj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do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merremi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relacionet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semantike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duke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shqyrtuar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relacionet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kierarkisë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inkluzionit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ato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ekuivalencë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opozicionit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pjesa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fundit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do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trajtojë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poliseminë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duke u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zgjeruar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çështjet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monosemi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polisemi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homonimi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analizën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polisemisë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trajtimin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homonimik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fund me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ndryshimet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kuptimit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duke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shyrtuar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mekanizmat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tropave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</w:p>
        </w:tc>
      </w:tr>
      <w:tr w:rsidR="006510A2" w:rsidRPr="006510A2" w:rsidTr="00D53336">
        <w:trPr>
          <w:trHeight w:val="2310"/>
        </w:trPr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Qëllimet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808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Ky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kurs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jep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studentit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njohuri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lidhjet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mes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gjuhës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mendimit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qëllim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ta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njoftojë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studentin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konceptet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rrymat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kryesore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semantikës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bashkëkohore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t’a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sensibilizojë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aftësojë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fushën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zbatimit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semantikës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leksikore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Ligjerata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kërkon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mendje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analitike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njohuri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paraprake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gjuhësisë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përgjithshme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Përveç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kësaj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mund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jetë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përgatitje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ndonjë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punim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leksikologji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leksikografi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apo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çdo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lëmi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cila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kërkon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analizë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semantike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fjalëve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apo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fjalive</w:t>
            </w:r>
            <w:proofErr w:type="spellEnd"/>
          </w:p>
        </w:tc>
        <w:bookmarkStart w:id="0" w:name="_GoBack"/>
        <w:bookmarkEnd w:id="0"/>
      </w:tr>
    </w:tbl>
    <w:p w:rsidR="00C53A5E" w:rsidRPr="006510A2" w:rsidRDefault="00C53A5E" w:rsidP="00D53336">
      <w:pPr>
        <w:pStyle w:val="NoSpacing"/>
        <w:jc w:val="both"/>
        <w:rPr>
          <w:rFonts w:ascii="Times New Roman" w:hAnsi="Times New Roman" w:cs="Times New Roman"/>
          <w:color w:val="auto"/>
          <w:szCs w:val="24"/>
        </w:rPr>
      </w:pPr>
    </w:p>
    <w:tbl>
      <w:tblPr>
        <w:tblW w:w="10883" w:type="dxa"/>
        <w:tblInd w:w="-436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152"/>
        <w:gridCol w:w="2542"/>
        <w:gridCol w:w="1111"/>
        <w:gridCol w:w="1866"/>
        <w:gridCol w:w="2410"/>
        <w:gridCol w:w="2669"/>
        <w:gridCol w:w="133"/>
      </w:tblGrid>
      <w:tr w:rsidR="00D53336" w:rsidRPr="00D53336" w:rsidTr="00D53336">
        <w:trPr>
          <w:gridAfter w:val="1"/>
          <w:wAfter w:w="133" w:type="dxa"/>
          <w:trHeight w:val="28"/>
        </w:trPr>
        <w:tc>
          <w:tcPr>
            <w:tcW w:w="2694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D53336" w:rsidRPr="006510A2" w:rsidRDefault="00D53336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Rezultatet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pritshme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nxënies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:</w:t>
            </w:r>
          </w:p>
          <w:p w:rsidR="00D53336" w:rsidRPr="006510A2" w:rsidRDefault="00D53336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</w:p>
        </w:tc>
        <w:tc>
          <w:tcPr>
            <w:tcW w:w="805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53336" w:rsidRDefault="00D53336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 Pas përfundimit të kësaj lënde,</w:t>
            </w:r>
            <w:r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 studenti do të jetë në gjendje</w:t>
            </w: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:</w:t>
            </w:r>
          </w:p>
          <w:p w:rsidR="00D53336" w:rsidRPr="00D53336" w:rsidRDefault="00D53336" w:rsidP="00D53336">
            <w:pPr>
              <w:pStyle w:val="NoSpacing"/>
              <w:numPr>
                <w:ilvl w:val="0"/>
                <w:numId w:val="1"/>
              </w:num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D53336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Të  përvetësojë  dhe dallon nocionet bazë të semantikës </w:t>
            </w:r>
          </w:p>
          <w:p w:rsidR="00D53336" w:rsidRPr="00D53336" w:rsidRDefault="00D53336" w:rsidP="00D53336">
            <w:pPr>
              <w:pStyle w:val="NoSpacing"/>
              <w:numPr>
                <w:ilvl w:val="0"/>
                <w:numId w:val="1"/>
              </w:num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D53336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T’i zbatojë për të zgjedhur probleme precise; </w:t>
            </w:r>
          </w:p>
          <w:p w:rsidR="00D53336" w:rsidRPr="00D53336" w:rsidRDefault="00D53336" w:rsidP="00D53336">
            <w:pPr>
              <w:pStyle w:val="NoSpacing"/>
              <w:numPr>
                <w:ilvl w:val="0"/>
                <w:numId w:val="1"/>
              </w:num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D53336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lastRenderedPageBreak/>
              <w:t>Të analizojë semantikisht  fjalë, fjali, enonçime;</w:t>
            </w:r>
          </w:p>
          <w:p w:rsidR="00D53336" w:rsidRPr="00D53336" w:rsidRDefault="00D53336" w:rsidP="00D53336">
            <w:pPr>
              <w:pStyle w:val="NoSpacing"/>
              <w:numPr>
                <w:ilvl w:val="0"/>
                <w:numId w:val="1"/>
              </w:num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D53336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Të dallojë kuptimet e ndryshme të një fjale dhe ndryshimin e kuptimit</w:t>
            </w:r>
            <w:r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.</w:t>
            </w:r>
          </w:p>
        </w:tc>
      </w:tr>
      <w:tr w:rsidR="00D53336" w:rsidRPr="00D53336" w:rsidTr="00D53336">
        <w:trPr>
          <w:gridAfter w:val="1"/>
          <w:wAfter w:w="133" w:type="dxa"/>
          <w:trHeight w:val="320"/>
        </w:trPr>
        <w:tc>
          <w:tcPr>
            <w:tcW w:w="10750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D53336" w:rsidRPr="006510A2" w:rsidRDefault="00D53336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lastRenderedPageBreak/>
              <w:t>Ngarkesa e studentit (duhet të jetë në përputhje me rezultatet e nxënies së studentit)</w:t>
            </w:r>
          </w:p>
        </w:tc>
      </w:tr>
      <w:tr w:rsidR="00A83F14" w:rsidRPr="006510A2" w:rsidTr="00D53336">
        <w:trPr>
          <w:gridAfter w:val="1"/>
          <w:wAfter w:w="133" w:type="dxa"/>
          <w:trHeight w:val="320"/>
        </w:trPr>
        <w:tc>
          <w:tcPr>
            <w:tcW w:w="38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Aktiviteti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Orë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mësimore</w:t>
            </w:r>
            <w:proofErr w:type="spellEnd"/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83F14" w:rsidRPr="006510A2" w:rsidRDefault="00A83F14" w:rsidP="00D53336">
            <w:pPr>
              <w:pStyle w:val="NoSpacing"/>
              <w:spacing w:line="256" w:lineRule="auto"/>
              <w:ind w:left="89" w:firstLine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Ditë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Javë</w:t>
            </w:r>
            <w:proofErr w:type="spellEnd"/>
          </w:p>
        </w:tc>
        <w:tc>
          <w:tcPr>
            <w:tcW w:w="2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Gjithsej</w:t>
            </w:r>
            <w:proofErr w:type="spellEnd"/>
          </w:p>
        </w:tc>
      </w:tr>
      <w:tr w:rsidR="00A83F14" w:rsidRPr="006510A2" w:rsidTr="00D53336">
        <w:trPr>
          <w:gridAfter w:val="1"/>
          <w:wAfter w:w="133" w:type="dxa"/>
          <w:trHeight w:val="320"/>
        </w:trPr>
        <w:tc>
          <w:tcPr>
            <w:tcW w:w="38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Ligjëratat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2 (90min)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15</w:t>
            </w:r>
          </w:p>
        </w:tc>
        <w:tc>
          <w:tcPr>
            <w:tcW w:w="2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22,5</w:t>
            </w:r>
          </w:p>
        </w:tc>
      </w:tr>
      <w:tr w:rsidR="00A83F14" w:rsidRPr="006510A2" w:rsidTr="00D53336">
        <w:trPr>
          <w:gridAfter w:val="1"/>
          <w:wAfter w:w="133" w:type="dxa"/>
          <w:trHeight w:val="320"/>
        </w:trPr>
        <w:tc>
          <w:tcPr>
            <w:tcW w:w="38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Teori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laborator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Ushtrime</w:t>
            </w:r>
            <w:proofErr w:type="spellEnd"/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2   (90min)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83F14" w:rsidRPr="006510A2" w:rsidRDefault="00A83F14" w:rsidP="00D53336">
            <w:pPr>
              <w:pStyle w:val="NoSpacing"/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15</w:t>
            </w:r>
          </w:p>
        </w:tc>
        <w:tc>
          <w:tcPr>
            <w:tcW w:w="2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22.5</w:t>
            </w:r>
          </w:p>
        </w:tc>
      </w:tr>
      <w:tr w:rsidR="00A83F14" w:rsidRPr="006510A2" w:rsidTr="00D53336">
        <w:trPr>
          <w:gridAfter w:val="1"/>
          <w:wAfter w:w="133" w:type="dxa"/>
          <w:trHeight w:val="320"/>
        </w:trPr>
        <w:tc>
          <w:tcPr>
            <w:tcW w:w="38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Përgatitje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test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intermediar</w:t>
            </w:r>
            <w:proofErr w:type="spellEnd"/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</w:p>
        </w:tc>
        <w:tc>
          <w:tcPr>
            <w:tcW w:w="2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8</w:t>
            </w:r>
          </w:p>
        </w:tc>
      </w:tr>
      <w:tr w:rsidR="00A83F14" w:rsidRPr="006510A2" w:rsidTr="00D53336">
        <w:trPr>
          <w:trHeight w:val="320"/>
        </w:trPr>
        <w:tc>
          <w:tcPr>
            <w:tcW w:w="38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Konsultime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mësimdhënësin</w:t>
            </w:r>
            <w:proofErr w:type="spellEnd"/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10 min</w:t>
            </w: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ab/>
              <w:t xml:space="preserve"> 15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83F14" w:rsidRPr="006510A2" w:rsidRDefault="00D53336" w:rsidP="00D53336">
            <w:pPr>
              <w:pStyle w:val="NoSpacing"/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</w:p>
        </w:tc>
        <w:tc>
          <w:tcPr>
            <w:tcW w:w="2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2.5</w:t>
            </w:r>
          </w:p>
        </w:tc>
        <w:tc>
          <w:tcPr>
            <w:tcW w:w="133" w:type="dxa"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A83F14" w:rsidRPr="006510A2" w:rsidTr="00D53336">
        <w:trPr>
          <w:gridAfter w:val="1"/>
          <w:wAfter w:w="133" w:type="dxa"/>
          <w:trHeight w:val="320"/>
        </w:trPr>
        <w:tc>
          <w:tcPr>
            <w:tcW w:w="38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Puna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terren</w:t>
            </w:r>
            <w:proofErr w:type="spellEnd"/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A83F14" w:rsidRPr="006510A2" w:rsidTr="00D53336">
        <w:trPr>
          <w:gridAfter w:val="1"/>
          <w:wAfter w:w="133" w:type="dxa"/>
          <w:trHeight w:val="320"/>
        </w:trPr>
        <w:tc>
          <w:tcPr>
            <w:tcW w:w="38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Testi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punimi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seminarit</w:t>
            </w:r>
            <w:proofErr w:type="spellEnd"/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</w:p>
        </w:tc>
        <w:tc>
          <w:tcPr>
            <w:tcW w:w="2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8</w:t>
            </w:r>
          </w:p>
        </w:tc>
      </w:tr>
      <w:tr w:rsidR="00A83F14" w:rsidRPr="006510A2" w:rsidTr="00D53336">
        <w:trPr>
          <w:gridAfter w:val="1"/>
          <w:wAfter w:w="133" w:type="dxa"/>
          <w:trHeight w:val="320"/>
        </w:trPr>
        <w:tc>
          <w:tcPr>
            <w:tcW w:w="38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Detyrë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shtëpie</w:t>
            </w:r>
            <w:proofErr w:type="spellEnd"/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ab/>
              <w:t>1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15</w:t>
            </w:r>
          </w:p>
        </w:tc>
        <w:tc>
          <w:tcPr>
            <w:tcW w:w="2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15</w:t>
            </w:r>
          </w:p>
        </w:tc>
      </w:tr>
      <w:tr w:rsidR="00A83F14" w:rsidRPr="006510A2" w:rsidTr="00D53336">
        <w:trPr>
          <w:gridAfter w:val="1"/>
          <w:wAfter w:w="133" w:type="dxa"/>
          <w:trHeight w:val="67"/>
        </w:trPr>
        <w:tc>
          <w:tcPr>
            <w:tcW w:w="38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Mësimi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individual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(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bibliotekë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apo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shtëpi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)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2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15</w:t>
            </w:r>
          </w:p>
        </w:tc>
        <w:tc>
          <w:tcPr>
            <w:tcW w:w="2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30</w:t>
            </w:r>
          </w:p>
        </w:tc>
      </w:tr>
      <w:tr w:rsidR="00A83F14" w:rsidRPr="006510A2" w:rsidTr="00D53336">
        <w:trPr>
          <w:gridAfter w:val="1"/>
          <w:wAfter w:w="133" w:type="dxa"/>
          <w:trHeight w:val="320"/>
        </w:trPr>
        <w:tc>
          <w:tcPr>
            <w:tcW w:w="38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Përgatitja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provimin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final 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</w:p>
        </w:tc>
        <w:tc>
          <w:tcPr>
            <w:tcW w:w="2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16</w:t>
            </w:r>
          </w:p>
        </w:tc>
      </w:tr>
      <w:tr w:rsidR="00A83F14" w:rsidRPr="006510A2" w:rsidTr="00D53336">
        <w:trPr>
          <w:gridAfter w:val="1"/>
          <w:wAfter w:w="133" w:type="dxa"/>
          <w:trHeight w:val="367"/>
        </w:trPr>
        <w:tc>
          <w:tcPr>
            <w:tcW w:w="38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Koha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vlerësimit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testi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kuizi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provimi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final)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</w:p>
        </w:tc>
        <w:tc>
          <w:tcPr>
            <w:tcW w:w="2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</w:p>
        </w:tc>
      </w:tr>
      <w:tr w:rsidR="00A83F14" w:rsidRPr="006510A2" w:rsidTr="00D53336">
        <w:trPr>
          <w:gridAfter w:val="1"/>
          <w:wAfter w:w="133" w:type="dxa"/>
          <w:trHeight w:val="25"/>
        </w:trPr>
        <w:tc>
          <w:tcPr>
            <w:tcW w:w="38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Projektet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prezantimet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etj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18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</w:p>
        </w:tc>
        <w:tc>
          <w:tcPr>
            <w:tcW w:w="2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</w:p>
        </w:tc>
      </w:tr>
      <w:tr w:rsidR="00A83F14" w:rsidRPr="006510A2" w:rsidTr="00D53336">
        <w:trPr>
          <w:gridAfter w:val="1"/>
          <w:wAfter w:w="133" w:type="dxa"/>
          <w:trHeight w:val="25"/>
        </w:trPr>
        <w:tc>
          <w:tcPr>
            <w:tcW w:w="8081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Total</w:t>
            </w:r>
          </w:p>
        </w:tc>
        <w:tc>
          <w:tcPr>
            <w:tcW w:w="26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eastAsia="Times New Roman" w:hAnsi="Times New Roman" w:cs="Times New Roman"/>
                <w:color w:val="auto"/>
                <w:szCs w:val="24"/>
              </w:rPr>
              <w:t>127.5/25=5ECTS</w:t>
            </w:r>
          </w:p>
        </w:tc>
      </w:tr>
      <w:tr w:rsidR="00A83F14" w:rsidRPr="006510A2" w:rsidTr="00D53336">
        <w:trPr>
          <w:gridAfter w:val="1"/>
          <w:wAfter w:w="133" w:type="dxa"/>
          <w:trHeight w:val="320"/>
        </w:trPr>
        <w:tc>
          <w:tcPr>
            <w:tcW w:w="152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0598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A83F14" w:rsidRPr="006510A2" w:rsidRDefault="00A83F14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D53336" w:rsidRPr="006510A2" w:rsidTr="00D53336">
        <w:trPr>
          <w:gridAfter w:val="1"/>
          <w:wAfter w:w="133" w:type="dxa"/>
          <w:trHeight w:val="861"/>
        </w:trPr>
        <w:tc>
          <w:tcPr>
            <w:tcW w:w="2694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D53336" w:rsidRPr="006510A2" w:rsidRDefault="00D53336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Metodat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mësimdhënies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:  </w:t>
            </w:r>
          </w:p>
        </w:tc>
        <w:tc>
          <w:tcPr>
            <w:tcW w:w="805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53336" w:rsidRPr="006510A2" w:rsidRDefault="00D53336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Ligjëratat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ushtrimet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gjatë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mësimit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duke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përdorur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materiale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ndryshme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grup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prej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2-3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studentësh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projekt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pavarur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),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detyrë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shtëpie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individuale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</w:tr>
      <w:tr w:rsidR="00D53336" w:rsidRPr="006510A2" w:rsidTr="00D53336">
        <w:trPr>
          <w:gridAfter w:val="1"/>
          <w:wAfter w:w="133" w:type="dxa"/>
          <w:trHeight w:val="1399"/>
        </w:trPr>
        <w:tc>
          <w:tcPr>
            <w:tcW w:w="2694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D53336" w:rsidRPr="006510A2" w:rsidRDefault="00D53336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Metodat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vlerësimit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805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53336" w:rsidRPr="006510A2" w:rsidRDefault="00D53336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Vijueshmëria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studentit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20%; </w:t>
            </w:r>
          </w:p>
          <w:p w:rsidR="00D53336" w:rsidRPr="006510A2" w:rsidRDefault="00D53336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Detyrat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individuale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kryera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klasë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5%;</w:t>
            </w:r>
          </w:p>
          <w:p w:rsidR="00D53336" w:rsidRPr="006510A2" w:rsidRDefault="00D53336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Detyrat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individuale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kryera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shtëpi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5%; </w:t>
            </w:r>
          </w:p>
          <w:p w:rsidR="00D53336" w:rsidRPr="006510A2" w:rsidRDefault="00D53336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Vlerësimi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nga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testet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30%; </w:t>
            </w:r>
          </w:p>
          <w:p w:rsidR="00D53336" w:rsidRPr="006510A2" w:rsidRDefault="00D53336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Provimi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final 40%.</w:t>
            </w:r>
          </w:p>
        </w:tc>
      </w:tr>
      <w:tr w:rsidR="00D53336" w:rsidRPr="00D53336" w:rsidTr="00D53336">
        <w:trPr>
          <w:gridAfter w:val="1"/>
          <w:wAfter w:w="133" w:type="dxa"/>
          <w:trHeight w:val="62"/>
        </w:trPr>
        <w:tc>
          <w:tcPr>
            <w:tcW w:w="2694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D53336" w:rsidRPr="006510A2" w:rsidRDefault="00D53336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Literatura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primare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</w:p>
        </w:tc>
        <w:tc>
          <w:tcPr>
            <w:tcW w:w="805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53336" w:rsidRPr="002732BA" w:rsidRDefault="00D53336" w:rsidP="00D53336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-</w:t>
            </w:r>
            <w:proofErr w:type="spellStart"/>
            <w:r w:rsidRPr="00D2428B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Nyckees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Vincent ,</w:t>
            </w:r>
            <w:r w:rsidRPr="00D2428B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La</w:t>
            </w:r>
            <w:proofErr w:type="gramEnd"/>
            <w:r w:rsidRPr="00D2428B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sémantiqu</w:t>
            </w:r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e (2022),1ere publication 1998, Paris : Belin</w:t>
            </w:r>
          </w:p>
          <w:p w:rsidR="00D53336" w:rsidRDefault="00D53336" w:rsidP="00D53336">
            <w:pPr>
              <w:pStyle w:val="NoSpacing"/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hyperlink r:id="rId5" w:history="1">
              <w:r w:rsidRPr="00EB297E">
                <w:rPr>
                  <w:rStyle w:val="Hyperlink"/>
                  <w:rFonts w:ascii="Times New Roman" w:hAnsi="Times New Roman" w:cs="Times New Roman"/>
                  <w:szCs w:val="24"/>
                  <w:lang w:val="fr-FR"/>
                </w:rPr>
                <w:t>https://archive.org/details/lasemantique0000nyck/mode/2up</w:t>
              </w:r>
            </w:hyperlink>
          </w:p>
          <w:p w:rsidR="00D53336" w:rsidRPr="006510A2" w:rsidRDefault="00D53336" w:rsidP="00D53336">
            <w:pPr>
              <w:pStyle w:val="NoSpacing"/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-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Baylon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et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Mignot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</w:t>
            </w:r>
            <w:r w:rsidRPr="006510A2">
              <w:rPr>
                <w:rFonts w:ascii="Times New Roman" w:hAnsi="Times New Roman" w:cs="Times New Roman"/>
                <w:i/>
                <w:color w:val="auto"/>
                <w:szCs w:val="24"/>
                <w:lang w:val="fr-FR"/>
              </w:rPr>
              <w:t>Initiation à la sémantique du langage</w:t>
            </w: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, Armand Colin, 2010</w:t>
            </w:r>
          </w:p>
          <w:p w:rsidR="00D53336" w:rsidRPr="006510A2" w:rsidRDefault="00D53336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-Guiraud P ., </w:t>
            </w:r>
            <w:r w:rsidRPr="006510A2">
              <w:rPr>
                <w:rFonts w:ascii="Times New Roman" w:hAnsi="Times New Roman" w:cs="Times New Roman"/>
                <w:i/>
                <w:color w:val="auto"/>
                <w:szCs w:val="24"/>
                <w:lang w:val="fr-FR"/>
              </w:rPr>
              <w:t>La sémantique</w:t>
            </w: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,Que sais-je, PUF, Paris, 1969</w:t>
            </w:r>
          </w:p>
        </w:tc>
      </w:tr>
      <w:tr w:rsidR="00D53336" w:rsidRPr="00D53336" w:rsidTr="00D53336">
        <w:trPr>
          <w:gridAfter w:val="1"/>
          <w:wAfter w:w="133" w:type="dxa"/>
          <w:trHeight w:val="25"/>
        </w:trPr>
        <w:tc>
          <w:tcPr>
            <w:tcW w:w="269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D53336" w:rsidRPr="006510A2" w:rsidRDefault="00D53336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Literatura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shtesë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:  </w:t>
            </w:r>
          </w:p>
        </w:tc>
        <w:tc>
          <w:tcPr>
            <w:tcW w:w="805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53336" w:rsidRPr="006510A2" w:rsidRDefault="00D53336" w:rsidP="00D53336">
            <w:pPr>
              <w:pStyle w:val="NoSpacing"/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-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Tamba-Mecz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I. , </w:t>
            </w:r>
            <w:r w:rsidRPr="006510A2">
              <w:rPr>
                <w:rFonts w:ascii="Times New Roman" w:hAnsi="Times New Roman" w:cs="Times New Roman"/>
                <w:i/>
                <w:color w:val="auto"/>
                <w:szCs w:val="24"/>
                <w:lang w:val="fr-FR"/>
              </w:rPr>
              <w:t>La sémantique</w:t>
            </w:r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, que sais-je, PUF, Paris, 1988</w:t>
            </w:r>
          </w:p>
        </w:tc>
      </w:tr>
    </w:tbl>
    <w:p w:rsidR="00C53A5E" w:rsidRPr="006510A2" w:rsidRDefault="00C53A5E" w:rsidP="00D53336">
      <w:pPr>
        <w:pStyle w:val="NoSpacing"/>
        <w:ind w:left="0" w:firstLine="0"/>
        <w:jc w:val="both"/>
        <w:rPr>
          <w:rFonts w:ascii="Times New Roman" w:hAnsi="Times New Roman" w:cs="Times New Roman"/>
          <w:color w:val="auto"/>
          <w:szCs w:val="24"/>
          <w:lang w:val="fr-FR"/>
        </w:rPr>
      </w:pPr>
    </w:p>
    <w:tbl>
      <w:tblPr>
        <w:tblW w:w="10888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674"/>
        <w:gridCol w:w="9214"/>
      </w:tblGrid>
      <w:tr w:rsidR="002732BA" w:rsidRPr="006510A2" w:rsidTr="00A83F14">
        <w:trPr>
          <w:trHeight w:val="340"/>
        </w:trPr>
        <w:tc>
          <w:tcPr>
            <w:tcW w:w="10888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  <w:hideMark/>
          </w:tcPr>
          <w:p w:rsidR="002732BA" w:rsidRPr="006510A2" w:rsidRDefault="002732BA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Hartimi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planit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mësimor</w:t>
            </w:r>
            <w:proofErr w:type="spellEnd"/>
          </w:p>
        </w:tc>
      </w:tr>
      <w:tr w:rsidR="006510A2" w:rsidRPr="006510A2" w:rsidTr="00A83F14">
        <w:trPr>
          <w:trHeight w:val="340"/>
        </w:trPr>
        <w:tc>
          <w:tcPr>
            <w:tcW w:w="1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Titulli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ligjëratës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6510A2" w:rsidRPr="006510A2" w:rsidTr="00A83F14">
        <w:trPr>
          <w:trHeight w:val="25"/>
        </w:trPr>
        <w:tc>
          <w:tcPr>
            <w:tcW w:w="1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Java 1: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Komunikimi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shenja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domethenia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</w:p>
        </w:tc>
      </w:tr>
      <w:tr w:rsidR="006510A2" w:rsidRPr="00D53336" w:rsidTr="00A83F14">
        <w:trPr>
          <w:trHeight w:val="340"/>
        </w:trPr>
        <w:tc>
          <w:tcPr>
            <w:tcW w:w="1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2: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Nga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referenti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(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sendi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)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deri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te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kuptimi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</w:p>
        </w:tc>
      </w:tr>
      <w:tr w:rsidR="006510A2" w:rsidRPr="006510A2" w:rsidTr="00A83F14">
        <w:trPr>
          <w:trHeight w:val="340"/>
        </w:trPr>
        <w:tc>
          <w:tcPr>
            <w:tcW w:w="1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3: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Kuptim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referencial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kuptim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enonçues</w:t>
            </w:r>
            <w:proofErr w:type="spellEnd"/>
          </w:p>
        </w:tc>
      </w:tr>
      <w:tr w:rsidR="006510A2" w:rsidRPr="006510A2" w:rsidTr="00A83F14">
        <w:trPr>
          <w:trHeight w:val="340"/>
        </w:trPr>
        <w:tc>
          <w:tcPr>
            <w:tcW w:w="1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4: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Njësitë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domethënese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referues</w:t>
            </w:r>
            <w:proofErr w:type="spellEnd"/>
          </w:p>
        </w:tc>
      </w:tr>
      <w:tr w:rsidR="006510A2" w:rsidRPr="006510A2" w:rsidTr="00A83F14">
        <w:trPr>
          <w:trHeight w:val="340"/>
        </w:trPr>
        <w:tc>
          <w:tcPr>
            <w:tcW w:w="1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5: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Përshkrimi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semantik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tradicional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I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fjalës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6510A2" w:rsidRPr="00D53336" w:rsidTr="00A83F14">
        <w:trPr>
          <w:trHeight w:val="340"/>
        </w:trPr>
        <w:tc>
          <w:tcPr>
            <w:tcW w:w="1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6: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Relacionet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paradigmatike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kuptimit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mes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fjalëve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</w:p>
        </w:tc>
      </w:tr>
      <w:tr w:rsidR="006510A2" w:rsidRPr="00D53336" w:rsidTr="00A83F14">
        <w:trPr>
          <w:trHeight w:val="340"/>
        </w:trPr>
        <w:tc>
          <w:tcPr>
            <w:tcW w:w="1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7: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Teoritë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kuptimit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leksikor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  (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semantika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prototipit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)</w:t>
            </w:r>
          </w:p>
        </w:tc>
      </w:tr>
      <w:tr w:rsidR="006510A2" w:rsidRPr="006510A2" w:rsidTr="00A83F14">
        <w:trPr>
          <w:trHeight w:val="340"/>
        </w:trPr>
        <w:tc>
          <w:tcPr>
            <w:tcW w:w="1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8: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Vlerësim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parë</w:t>
            </w:r>
            <w:proofErr w:type="spellEnd"/>
          </w:p>
        </w:tc>
      </w:tr>
      <w:tr w:rsidR="006510A2" w:rsidRPr="006510A2" w:rsidTr="00A83F14">
        <w:trPr>
          <w:trHeight w:val="340"/>
        </w:trPr>
        <w:tc>
          <w:tcPr>
            <w:tcW w:w="1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9: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Koncepti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fushave</w:t>
            </w:r>
            <w:proofErr w:type="spellEnd"/>
          </w:p>
        </w:tc>
      </w:tr>
      <w:tr w:rsidR="006510A2" w:rsidRPr="006510A2" w:rsidTr="00A83F14">
        <w:trPr>
          <w:trHeight w:val="31"/>
        </w:trPr>
        <w:tc>
          <w:tcPr>
            <w:tcW w:w="1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10: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Kuptimi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sintaksa</w:t>
            </w:r>
            <w:proofErr w:type="spellEnd"/>
          </w:p>
        </w:tc>
      </w:tr>
      <w:tr w:rsidR="006510A2" w:rsidRPr="006510A2" w:rsidTr="00A83F14">
        <w:trPr>
          <w:trHeight w:val="340"/>
        </w:trPr>
        <w:tc>
          <w:tcPr>
            <w:tcW w:w="1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Java 11: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Kombinatorika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semantike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6510A2" w:rsidRPr="006510A2" w:rsidTr="00A83F14">
        <w:trPr>
          <w:trHeight w:val="340"/>
        </w:trPr>
        <w:tc>
          <w:tcPr>
            <w:tcW w:w="1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Java 12:  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Kuptimi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implicit</w:t>
            </w:r>
            <w:proofErr w:type="spellEnd"/>
          </w:p>
        </w:tc>
      </w:tr>
      <w:tr w:rsidR="006510A2" w:rsidRPr="006510A2" w:rsidTr="00A83F14">
        <w:trPr>
          <w:trHeight w:val="340"/>
        </w:trPr>
        <w:tc>
          <w:tcPr>
            <w:tcW w:w="1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Java 13:    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Kuptimi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enonçuesin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kuptimi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marrësin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6510A2" w:rsidRPr="006510A2" w:rsidTr="00A83F14">
        <w:trPr>
          <w:trHeight w:val="340"/>
        </w:trPr>
        <w:tc>
          <w:tcPr>
            <w:tcW w:w="1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Java 14:  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Zhvillimi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i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kuptimit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</w:p>
        </w:tc>
      </w:tr>
      <w:tr w:rsidR="006510A2" w:rsidRPr="006510A2" w:rsidTr="00A83F14">
        <w:trPr>
          <w:trHeight w:val="25"/>
        </w:trPr>
        <w:tc>
          <w:tcPr>
            <w:tcW w:w="16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Java 15:   </w:t>
            </w:r>
          </w:p>
        </w:tc>
        <w:tc>
          <w:tcPr>
            <w:tcW w:w="92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Vlerësim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dytë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6510A2" w:rsidRPr="006510A2" w:rsidTr="00A83F14">
        <w:trPr>
          <w:trHeight w:val="340"/>
        </w:trPr>
        <w:tc>
          <w:tcPr>
            <w:tcW w:w="10888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Politikat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akademike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kodi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sjelljes</w:t>
            </w:r>
            <w:proofErr w:type="spellEnd"/>
          </w:p>
        </w:tc>
      </w:tr>
      <w:tr w:rsidR="006510A2" w:rsidRPr="006510A2" w:rsidTr="00A83F14">
        <w:trPr>
          <w:trHeight w:val="1292"/>
        </w:trPr>
        <w:tc>
          <w:tcPr>
            <w:tcW w:w="1088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Mjetet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që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përdorën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gjatë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mësimit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duhet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pastrohen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ruhen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fund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orës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mësimore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Telefonat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mobil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mençur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pajisjet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tjera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elektronike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(p.sh. iPod-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ët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)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duhet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fikën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apo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kurdisen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vibrim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)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mos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ekspozohen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gjatë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mësimit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</w:p>
          <w:p w:rsidR="00C53A5E" w:rsidRPr="006510A2" w:rsidRDefault="00C53A5E" w:rsidP="00D53336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Laptopët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kompjuterët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tabletë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lejohen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përdorën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vetëm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heshtje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;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aktivitetet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tjera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siç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kontrollimi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e-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mailit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personal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apo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shfletimi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ueb-faqeve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internet,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janë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>ndaluara</w:t>
            </w:r>
            <w:proofErr w:type="spellEnd"/>
            <w:r w:rsidRPr="006510A2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</w:p>
        </w:tc>
      </w:tr>
    </w:tbl>
    <w:p w:rsidR="00C53A5E" w:rsidRPr="006510A2" w:rsidRDefault="00C53A5E" w:rsidP="00D53336">
      <w:pPr>
        <w:pStyle w:val="NoSpacing"/>
        <w:jc w:val="both"/>
        <w:rPr>
          <w:rFonts w:ascii="Times New Roman" w:hAnsi="Times New Roman" w:cs="Times New Roman"/>
          <w:color w:val="auto"/>
          <w:szCs w:val="24"/>
        </w:rPr>
      </w:pPr>
    </w:p>
    <w:sectPr w:rsidR="00C53A5E" w:rsidRPr="00651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06AE7"/>
    <w:multiLevelType w:val="hybridMultilevel"/>
    <w:tmpl w:val="B0DEB9B0"/>
    <w:lvl w:ilvl="0" w:tplc="2C82FF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5E"/>
    <w:rsid w:val="00112480"/>
    <w:rsid w:val="0020325B"/>
    <w:rsid w:val="002732BA"/>
    <w:rsid w:val="00436EC7"/>
    <w:rsid w:val="0054691B"/>
    <w:rsid w:val="006510A2"/>
    <w:rsid w:val="00A83F14"/>
    <w:rsid w:val="00C14643"/>
    <w:rsid w:val="00C53A5E"/>
    <w:rsid w:val="00C774F4"/>
    <w:rsid w:val="00D2428B"/>
    <w:rsid w:val="00D53336"/>
    <w:rsid w:val="00E9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DD2D2"/>
  <w15:chartTrackingRefBased/>
  <w15:docId w15:val="{DC823E0B-83CE-4829-9EB3-EC85E92E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A5E"/>
    <w:pPr>
      <w:spacing w:after="12" w:line="247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C53A5E"/>
    <w:rPr>
      <w:rFonts w:ascii="Calibri" w:eastAsia="Calibri" w:hAnsi="Calibri" w:cs="Calibri"/>
      <w:color w:val="000000"/>
      <w:sz w:val="24"/>
    </w:rPr>
  </w:style>
  <w:style w:type="paragraph" w:styleId="NoSpacing">
    <w:name w:val="No Spacing"/>
    <w:link w:val="NoSpacingChar"/>
    <w:uiPriority w:val="1"/>
    <w:qFormat/>
    <w:rsid w:val="00C53A5E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styleId="BookTitle">
    <w:name w:val="Book Title"/>
    <w:basedOn w:val="DefaultParagraphFont"/>
    <w:uiPriority w:val="33"/>
    <w:qFormat/>
    <w:rsid w:val="00C53A5E"/>
    <w:rPr>
      <w:b/>
      <w:bCs/>
      <w:smallCaps/>
      <w:spacing w:val="5"/>
    </w:rPr>
  </w:style>
  <w:style w:type="table" w:customStyle="1" w:styleId="TableGrid">
    <w:name w:val="TableGrid"/>
    <w:rsid w:val="00C53A5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242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32B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chive.org/details/lasemantique0000nyck/mode/2u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2024-02-15T10:16:00Z</dcterms:created>
  <dcterms:modified xsi:type="dcterms:W3CDTF">2025-10-16T13:06:00Z</dcterms:modified>
</cp:coreProperties>
</file>