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04" w:rsidRDefault="00732704" w:rsidP="00732704">
      <w:pPr>
        <w:pStyle w:val="NoSpacing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732704" w:rsidRPr="00B00908" w:rsidRDefault="00732704" w:rsidP="00732704">
      <w:pPr>
        <w:pStyle w:val="Heading3"/>
        <w:spacing w:after="240"/>
        <w:rPr>
          <w:rFonts w:ascii="Times New Roman" w:hAnsi="Times New Roman" w:cs="Times New Roman"/>
          <w:color w:val="auto"/>
          <w:szCs w:val="28"/>
          <w:lang w:val="sq-AL"/>
        </w:rPr>
      </w:pPr>
      <w:proofErr w:type="spellStart"/>
      <w:r w:rsidRPr="00005467">
        <w:rPr>
          <w:rFonts w:ascii="Times New Roman" w:hAnsi="Times New Roman" w:cs="Times New Roman"/>
          <w:b w:val="0"/>
          <w:color w:val="auto"/>
          <w:szCs w:val="28"/>
        </w:rPr>
        <w:t>Titulli</w:t>
      </w:r>
      <w:proofErr w:type="spellEnd"/>
      <w:r w:rsidRPr="00005467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005467">
        <w:rPr>
          <w:rFonts w:ascii="Times New Roman" w:hAnsi="Times New Roman" w:cs="Times New Roman"/>
          <w:b w:val="0"/>
          <w:color w:val="auto"/>
          <w:szCs w:val="28"/>
        </w:rPr>
        <w:t>i</w:t>
      </w:r>
      <w:proofErr w:type="spellEnd"/>
      <w:r w:rsidRPr="00005467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005467">
        <w:rPr>
          <w:rFonts w:ascii="Times New Roman" w:hAnsi="Times New Roman" w:cs="Times New Roman"/>
          <w:b w:val="0"/>
          <w:color w:val="auto"/>
          <w:szCs w:val="28"/>
        </w:rPr>
        <w:t>lëndës</w:t>
      </w:r>
      <w:proofErr w:type="spellEnd"/>
      <w:r w:rsidRPr="00005467">
        <w:rPr>
          <w:rFonts w:ascii="Times New Roman" w:hAnsi="Times New Roman" w:cs="Times New Roman"/>
          <w:b w:val="0"/>
          <w:color w:val="auto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Cs w:val="28"/>
          <w:lang w:val="sq-AL"/>
        </w:rPr>
        <w:t>Gjuhë frënge VII</w:t>
      </w:r>
    </w:p>
    <w:tbl>
      <w:tblPr>
        <w:tblW w:w="10774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732704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lëndën</w:t>
            </w:r>
            <w:proofErr w:type="spellEnd"/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Fakulteti i Filologjisë 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Gjuhë Frënge 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VII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BA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Zgjedhore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4-të |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7-të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2+1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732704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732704" w:rsidTr="00324098">
        <w:trPr>
          <w:trHeight w:val="2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3404D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C3404D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C3404D">
              <w:rPr>
                <w:rFonts w:ascii="Times New Roman" w:hAnsi="Times New Roman" w:cs="Times New Roman"/>
                <w:color w:val="auto"/>
                <w:szCs w:val="24"/>
              </w:rPr>
              <w:t xml:space="preserve"> BLAKQORI-SALIHU</w:t>
            </w:r>
          </w:p>
        </w:tc>
      </w:tr>
      <w:tr w:rsidR="00732704" w:rsidTr="00324098">
        <w:trPr>
          <w:trHeight w:val="303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12</w:t>
            </w:r>
          </w:p>
        </w:tc>
      </w:tr>
      <w:tr w:rsidR="00732704" w:rsidRPr="00005467" w:rsidTr="00324098">
        <w:trPr>
          <w:trHeight w:val="1946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Ky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vazhdim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paraprak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6.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Lënda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qëllim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stimulojë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komunikimin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duke I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dhënë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rëndësi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madhe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cili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përforcimi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mundëson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përvetësimin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teknikave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manipulimin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 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ofrojë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mjete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shtjellimin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strukturave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përtej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thjeshtë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tëfjalive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periudhave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frëngjisht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qofshin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ato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bashkërenditje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nënrenditje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paplota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formalisht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Kjo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përmes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ushtrimeve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trajtojnë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pika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sqarojnë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gjithashtu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punohet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pasurimin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leksikut</w:t>
            </w:r>
            <w:proofErr w:type="spellEnd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..</w:t>
            </w:r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Moduli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përfshijë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artikuluesit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dituri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biografie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prezantimin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përdorur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shprehje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bukura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>nivelit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>lartë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>gjuhësor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Këtu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mësojnë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paraqitjen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zhvillimin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pikëpamjeve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Studentët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mësojnë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se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bëhet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analizimi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teksti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letrar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bërë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prezantim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shkëlqyer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.</w:t>
            </w:r>
          </w:p>
        </w:tc>
      </w:tr>
      <w:tr w:rsidR="00732704" w:rsidRPr="00005467" w:rsidTr="00324098">
        <w:trPr>
          <w:trHeight w:val="692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Kjo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siguron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teknike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akademike-shkencore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t'u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hyrëse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shkollim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shumë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lartë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universitetet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franceze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ciklit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(Master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Doktoratë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).</w:t>
            </w:r>
          </w:p>
        </w:tc>
      </w:tr>
      <w:tr w:rsidR="00732704" w:rsidRPr="00005467" w:rsidTr="00324098">
        <w:trPr>
          <w:trHeight w:val="42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732704" w:rsidRDefault="00732704" w:rsidP="00324098">
            <w:pPr>
              <w:pStyle w:val="NoSpacing"/>
              <w:spacing w:line="254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:</w:t>
            </w:r>
          </w:p>
          <w:p w:rsidR="00732704" w:rsidRPr="00E24244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32704" w:rsidRPr="00875EE1" w:rsidRDefault="00732704" w:rsidP="0032409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Pas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përfundimit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kësaj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lënde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studenti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: </w:t>
            </w:r>
          </w:p>
          <w:p w:rsidR="00732704" w:rsidRPr="00875EE1" w:rsidRDefault="00732704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kupton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rëndësinë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respetimit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strukturës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së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fjalisë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frënge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</w:p>
          <w:p w:rsidR="00732704" w:rsidRPr="00875EE1" w:rsidRDefault="00732704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njeh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sintaksën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dhe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funksionin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saj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brenda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fjalisë</w:t>
            </w:r>
            <w:proofErr w:type="spellEnd"/>
          </w:p>
          <w:p w:rsidR="00732704" w:rsidRPr="00875EE1" w:rsidRDefault="00732704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aplikon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regullat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gramatikore</w:t>
            </w:r>
            <w:proofErr w:type="spellEnd"/>
          </w:p>
          <w:p w:rsidR="00732704" w:rsidRPr="00875EE1" w:rsidRDefault="00732704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krahason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fjalitë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thjeshta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dhe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përbëra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frëngjisht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shqip</w:t>
            </w:r>
            <w:proofErr w:type="spellEnd"/>
          </w:p>
          <w:p w:rsidR="00732704" w:rsidRPr="00005467" w:rsidRDefault="00732704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analizon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mënyrat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përdorimit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875EE1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fr-FR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fr-FR"/>
              </w:rPr>
              <w:t>leksiku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fr-FR"/>
              </w:rPr>
              <w:t>liguistik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fr-FR"/>
              </w:rPr>
              <w:t>.</w:t>
            </w:r>
          </w:p>
        </w:tc>
      </w:tr>
    </w:tbl>
    <w:p w:rsidR="00732704" w:rsidRPr="00B00908" w:rsidRDefault="00732704" w:rsidP="00732704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750" w:type="dxa"/>
        <w:tblInd w:w="-436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701"/>
        <w:gridCol w:w="2386"/>
      </w:tblGrid>
      <w:tr w:rsidR="00732704" w:rsidRPr="00E24244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Default="00732704" w:rsidP="00324098">
            <w:pPr>
              <w:pStyle w:val="NoSpacing"/>
              <w:spacing w:line="254" w:lineRule="auto"/>
              <w:ind w:left="89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D73E85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D73E85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D73E85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min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92774D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92774D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732704" w:rsidTr="00324098">
        <w:trPr>
          <w:trHeight w:val="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92774D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val="fr-CH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Mësimi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individual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(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bibliotekë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apo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shtëpi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1E9B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732704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92774D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final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32704" w:rsidTr="00324098">
        <w:trPr>
          <w:trHeight w:val="3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92774D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2774D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2        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32704" w:rsidTr="00324098">
        <w:trPr>
          <w:trHeight w:val="25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92774D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D73E85" w:rsidRDefault="00732704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32704" w:rsidTr="00324098">
        <w:trPr>
          <w:trHeight w:val="25"/>
        </w:trPr>
        <w:tc>
          <w:tcPr>
            <w:tcW w:w="83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005467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005467">
              <w:rPr>
                <w:rFonts w:ascii="Times New Roman" w:hAnsi="Times New Roman" w:cs="Times New Roman"/>
                <w:color w:val="auto"/>
                <w:szCs w:val="24"/>
              </w:rPr>
              <w:t>Totali</w:t>
            </w:r>
            <w:proofErr w:type="spellEnd"/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732704" w:rsidRPr="00005467" w:rsidRDefault="00732704" w:rsidP="00324098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005467">
              <w:rPr>
                <w:rFonts w:ascii="Times New Roman" w:eastAsia="Times New Roman" w:hAnsi="Times New Roman" w:cs="Times New Roman"/>
                <w:szCs w:val="24"/>
                <w:lang w:val="en-GB"/>
              </w:rPr>
              <w:t>105:25</w:t>
            </w:r>
          </w:p>
          <w:p w:rsidR="00732704" w:rsidRPr="00005467" w:rsidRDefault="00732704" w:rsidP="00324098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005467">
              <w:rPr>
                <w:rFonts w:ascii="Times New Roman" w:eastAsia="Times New Roman" w:hAnsi="Times New Roman" w:cs="Times New Roman"/>
                <w:szCs w:val="24"/>
                <w:lang w:val="en-GB"/>
              </w:rPr>
              <w:t>4ECTS</w:t>
            </w:r>
          </w:p>
        </w:tc>
      </w:tr>
      <w:tr w:rsidR="00732704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732704" w:rsidRPr="00005467" w:rsidTr="00324098">
        <w:trPr>
          <w:trHeight w:val="215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</w:p>
        </w:tc>
      </w:tr>
      <w:tr w:rsidR="00732704" w:rsidTr="00324098">
        <w:trPr>
          <w:trHeight w:val="1399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732704" w:rsidRPr="00E912D0" w:rsidRDefault="00732704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732704" w:rsidRPr="00E912D0" w:rsidRDefault="00732704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732704" w:rsidRPr="00E912D0" w:rsidRDefault="00732704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732704" w:rsidRPr="00E912D0" w:rsidRDefault="00732704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40 %.</w:t>
            </w:r>
          </w:p>
        </w:tc>
      </w:tr>
      <w:tr w:rsidR="00732704" w:rsidRPr="002E6A39" w:rsidTr="00324098">
        <w:trPr>
          <w:trHeight w:val="62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DA2E6C" w:rsidRDefault="00732704" w:rsidP="0032409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DA2E6C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Alter ego 5 - méthode de français + CD audio, Parcours digital - Hachette FLE, 2014 </w:t>
            </w:r>
          </w:p>
          <w:p w:rsidR="00732704" w:rsidRPr="00E912D0" w:rsidRDefault="00732704" w:rsidP="0032409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DA2E6C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Bescherelle, La conjugaison de 12000 verbes, Paris, Hatier, 2012.</w:t>
            </w:r>
          </w:p>
        </w:tc>
      </w:tr>
      <w:tr w:rsidR="00732704" w:rsidRPr="00E24244" w:rsidTr="00324098">
        <w:trPr>
          <w:trHeight w:val="281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Grammaire vivante du français. Exercices d'apprentissage : français langue étrangère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, </w:t>
            </w: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Parcours digital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Paris, Larousse, 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2022</w:t>
            </w:r>
          </w:p>
          <w:p w:rsidR="00732704" w:rsidRPr="00E912D0" w:rsidRDefault="00732704" w:rsidP="0032409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iCs/>
                <w:color w:val="auto"/>
                <w:szCs w:val="24"/>
                <w:lang w:val="fr-FR"/>
              </w:rPr>
              <w:t>Grammaire progressive du Français; CLE international</w:t>
            </w:r>
          </w:p>
        </w:tc>
      </w:tr>
    </w:tbl>
    <w:p w:rsidR="00732704" w:rsidRDefault="00732704" w:rsidP="00732704">
      <w:pPr>
        <w:pStyle w:val="NoSpacing"/>
        <w:ind w:left="0" w:firstLine="0"/>
        <w:jc w:val="both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774" w:type="dxa"/>
        <w:tblInd w:w="-436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9214"/>
      </w:tblGrid>
      <w:tr w:rsidR="00732704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iplanit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</w:p>
        </w:tc>
      </w:tr>
      <w:tr w:rsidR="00732704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</w:p>
        </w:tc>
      </w:tr>
      <w:tr w:rsidR="00732704" w:rsidRPr="00005467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shprehurit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shkëmbim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informacionesh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avancuar</w:t>
            </w:r>
            <w:proofErr w:type="spellEnd"/>
          </w:p>
        </w:tc>
      </w:tr>
      <w:tr w:rsidR="00732704" w:rsidRPr="00005467" w:rsidTr="00324098">
        <w:trPr>
          <w:trHeight w:val="163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Përshtatja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shkruarja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motivimi</w:t>
            </w:r>
            <w:proofErr w:type="spellEnd"/>
          </w:p>
        </w:tc>
      </w:tr>
      <w:tr w:rsidR="00732704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Artikuluesit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simultaniteti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anterioriteti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posterioriteti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Gjurmoni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historinë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karrierën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tuaj</w:t>
            </w:r>
            <w:proofErr w:type="spellEnd"/>
          </w:p>
        </w:tc>
      </w:tr>
      <w:tr w:rsidR="00732704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732704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biografie</w:t>
            </w:r>
            <w:proofErr w:type="spellEnd"/>
          </w:p>
        </w:tc>
      </w:tr>
      <w:tr w:rsidR="00732704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5: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mendim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problem</w:t>
            </w:r>
          </w:p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732704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41171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Kollokviumi</w:t>
            </w:r>
            <w:proofErr w:type="spellEnd"/>
            <w:r w:rsidRPr="00E41171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41171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parë</w:t>
            </w:r>
            <w:proofErr w:type="spellEnd"/>
          </w:p>
        </w:tc>
      </w:tr>
      <w:tr w:rsidR="00732704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732704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përmbledhjeje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tekstit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përemrave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lidhorë</w:t>
            </w:r>
            <w:proofErr w:type="spellEnd"/>
          </w:p>
        </w:tc>
      </w:tr>
      <w:tr w:rsidR="00732704" w:rsidRPr="00005467" w:rsidTr="00324098">
        <w:trPr>
          <w:trHeight w:val="14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zhvilluar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pikëpamjen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rreth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funksionimit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shkolle</w:t>
            </w:r>
            <w:proofErr w:type="spellEnd"/>
          </w:p>
        </w:tc>
      </w:tr>
      <w:tr w:rsidR="00732704" w:rsidRPr="00940900" w:rsidTr="00324098">
        <w:trPr>
          <w:trHeight w:val="349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raporti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mbledhje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</w:p>
        </w:tc>
      </w:tr>
      <w:tr w:rsidR="00732704" w:rsidRPr="00005467" w:rsidTr="00324098">
        <w:trPr>
          <w:trHeight w:val="287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kërkese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drejtuar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punëdhënësit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 </w:t>
            </w:r>
          </w:p>
        </w:tc>
      </w:tr>
      <w:tr w:rsidR="00732704" w:rsidRPr="00005467" w:rsidTr="00324098">
        <w:trPr>
          <w:trHeight w:val="17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Ndërtimet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mbiemërore</w:t>
            </w:r>
            <w:proofErr w:type="spellEnd"/>
          </w:p>
        </w:tc>
      </w:tr>
      <w:tr w:rsidR="00732704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Kollokviumi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dytë</w:t>
            </w:r>
            <w:proofErr w:type="spellEnd"/>
          </w:p>
        </w:tc>
      </w:tr>
      <w:tr w:rsidR="00732704" w:rsidRPr="00940900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hyrëse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raportuar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</w:t>
            </w:r>
          </w:p>
        </w:tc>
      </w:tr>
      <w:tr w:rsidR="00732704" w:rsidRPr="00940900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Analizimi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teksti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letrar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bërë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përmbajtje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posaçme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fiche de lecture)</w:t>
            </w:r>
          </w:p>
        </w:tc>
      </w:tr>
      <w:tr w:rsidR="00732704" w:rsidRPr="00940900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Default="00732704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32704" w:rsidRPr="00E912D0" w:rsidRDefault="00732704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sinteze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dokumenteve</w:t>
            </w:r>
            <w:proofErr w:type="spellEnd"/>
          </w:p>
        </w:tc>
      </w:tr>
      <w:tr w:rsidR="00732704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32704" w:rsidRPr="00E912D0" w:rsidRDefault="00732704" w:rsidP="00324098">
            <w:pPr>
              <w:spacing w:after="0" w:line="259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sjelljes</w:t>
            </w:r>
            <w:proofErr w:type="spellEnd"/>
          </w:p>
        </w:tc>
      </w:tr>
      <w:tr w:rsidR="00732704" w:rsidTr="00324098">
        <w:trPr>
          <w:trHeight w:val="930"/>
        </w:trPr>
        <w:tc>
          <w:tcPr>
            <w:tcW w:w="107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2704" w:rsidRPr="00A15402" w:rsidRDefault="00732704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Mjetet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gjatë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pastrohen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ruhen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fund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Telefonat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mobil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mençur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elektronike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(p.sh. iPod-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fikën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kurdisen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vibrim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ekspozohen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gjatë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732704" w:rsidRPr="00E912D0" w:rsidRDefault="00732704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Laptopët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kompjuterët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tabletë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lejohen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vetëm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heshtje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aktivitetet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siç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kontrollimi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mailit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personal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shfletimi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ueb-faqeve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internet,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ndaluara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732704" w:rsidRPr="00B00908" w:rsidRDefault="00732704" w:rsidP="00732704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p w:rsidR="00732704" w:rsidRDefault="00732704" w:rsidP="00732704"/>
    <w:p w:rsidR="00732704" w:rsidRPr="00B00908" w:rsidRDefault="00732704" w:rsidP="00732704"/>
    <w:p w:rsidR="00732704" w:rsidRPr="00E24244" w:rsidRDefault="00732704" w:rsidP="00732704"/>
    <w:p w:rsidR="0062067B" w:rsidRPr="00732704" w:rsidRDefault="0062067B" w:rsidP="00732704">
      <w:bookmarkStart w:id="0" w:name="_GoBack"/>
      <w:bookmarkEnd w:id="0"/>
    </w:p>
    <w:sectPr w:rsidR="0062067B" w:rsidRPr="0073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18"/>
    <w:rsid w:val="001E2F33"/>
    <w:rsid w:val="00263618"/>
    <w:rsid w:val="002A14FC"/>
    <w:rsid w:val="00446C41"/>
    <w:rsid w:val="005358D1"/>
    <w:rsid w:val="00604E69"/>
    <w:rsid w:val="0062067B"/>
    <w:rsid w:val="00732704"/>
    <w:rsid w:val="00805876"/>
    <w:rsid w:val="00875EE1"/>
    <w:rsid w:val="008B2A36"/>
    <w:rsid w:val="00C3404D"/>
    <w:rsid w:val="00C52020"/>
    <w:rsid w:val="00DA2E6C"/>
    <w:rsid w:val="00E03BED"/>
    <w:rsid w:val="00E4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B616"/>
  <w15:chartTrackingRefBased/>
  <w15:docId w15:val="{C088A195-9594-4DE2-8726-0042C026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71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E41171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1171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E4117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E41171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41171"/>
    <w:rPr>
      <w:rFonts w:ascii="Calibri" w:eastAsia="Calibri" w:hAnsi="Calibri" w:cs="Calibri"/>
      <w:color w:val="000000"/>
      <w:szCs w:val="22"/>
    </w:rPr>
  </w:style>
  <w:style w:type="table" w:customStyle="1" w:styleId="TableGrid1">
    <w:name w:val="TableGrid1"/>
    <w:rsid w:val="00875EE1"/>
    <w:pPr>
      <w:spacing w:after="0" w:line="240" w:lineRule="auto"/>
    </w:pPr>
    <w:rPr>
      <w:rFonts w:ascii="Calibri" w:eastAsia="Times New Roman" w:hAnsi="Calibr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Dell</cp:lastModifiedBy>
  <cp:revision>17</cp:revision>
  <dcterms:created xsi:type="dcterms:W3CDTF">2021-09-07T08:46:00Z</dcterms:created>
  <dcterms:modified xsi:type="dcterms:W3CDTF">2025-10-16T13:45:00Z</dcterms:modified>
</cp:coreProperties>
</file>