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8348C5" w:rsidRDefault="00F33383" w:rsidP="00652A6B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proofErr w:type="spellStart"/>
      <w:r w:rsidRPr="008348C5">
        <w:rPr>
          <w:rFonts w:asciiTheme="minorHAnsi" w:hAnsiTheme="minorHAnsi" w:cstheme="minorHAnsi"/>
          <w:sz w:val="22"/>
        </w:rPr>
        <w:t>Titulli</w:t>
      </w:r>
      <w:proofErr w:type="spellEnd"/>
      <w:r w:rsidR="00791DC4" w:rsidRPr="008348C5">
        <w:rPr>
          <w:rFonts w:asciiTheme="minorHAnsi" w:hAnsiTheme="minorHAnsi" w:cstheme="minorHAnsi"/>
          <w:sz w:val="22"/>
        </w:rPr>
        <w:t xml:space="preserve"> </w:t>
      </w:r>
      <w:r w:rsidRPr="008348C5">
        <w:rPr>
          <w:rFonts w:asciiTheme="minorHAnsi" w:hAnsiTheme="minorHAnsi" w:cstheme="minorHAnsi"/>
          <w:sz w:val="22"/>
        </w:rPr>
        <w:t xml:space="preserve">i </w:t>
      </w:r>
      <w:proofErr w:type="spellStart"/>
      <w:r w:rsidRPr="008348C5">
        <w:rPr>
          <w:rFonts w:asciiTheme="minorHAnsi" w:hAnsiTheme="minorHAnsi" w:cstheme="minorHAnsi"/>
          <w:sz w:val="22"/>
        </w:rPr>
        <w:t>lëndës</w:t>
      </w:r>
      <w:proofErr w:type="spellEnd"/>
      <w:r w:rsidRPr="008348C5">
        <w:rPr>
          <w:rFonts w:asciiTheme="minorHAnsi" w:hAnsiTheme="minorHAnsi" w:cstheme="minorHAnsi"/>
          <w:sz w:val="22"/>
        </w:rPr>
        <w:t xml:space="preserve">: </w:t>
      </w:r>
      <w:r w:rsidR="00364074" w:rsidRPr="008348C5">
        <w:rPr>
          <w:rFonts w:asciiTheme="minorHAnsi" w:hAnsiTheme="minorHAnsi" w:cstheme="minorHAnsi"/>
          <w:sz w:val="28"/>
          <w:szCs w:val="28"/>
        </w:rPr>
        <w:t>MODELET GRAMATIKORE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8348C5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8348C5" w:rsidRDefault="00F33383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>Informatat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>themelore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8348C5" w:rsidRDefault="00F33383" w:rsidP="001A4D2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Njësia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akademike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rPr>
                <w:rFonts w:asciiTheme="minorHAnsi" w:hAnsiTheme="minorHAnsi" w:cstheme="minorHAnsi"/>
                <w:sz w:val="22"/>
                <w:lang w:val="it-IT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it-IT"/>
              </w:rPr>
              <w:t>Fakulteti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it-IT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it-IT"/>
              </w:rPr>
              <w:t>Filologjisë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it-IT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it-IT"/>
              </w:rPr>
              <w:t>Departamenti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it-IT"/>
              </w:rPr>
              <w:t xml:space="preserve"> e</w:t>
            </w:r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Gjuhës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Letërsisë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Gjermane</w:t>
            </w:r>
            <w:proofErr w:type="spellEnd"/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Titulli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>Modelet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>gramatikore</w:t>
            </w:r>
            <w:proofErr w:type="spellEnd"/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Niveli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</w:rPr>
            </w:pPr>
            <w:r w:rsidRPr="008348C5">
              <w:rPr>
                <w:rFonts w:asciiTheme="minorHAnsi" w:hAnsiTheme="minorHAnsi" w:cstheme="minorHAnsi"/>
                <w:sz w:val="22"/>
                <w:szCs w:val="22"/>
              </w:rPr>
              <w:t xml:space="preserve">Master </w:t>
            </w:r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Statusi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</w:rPr>
            </w:pPr>
            <w:r w:rsidRPr="008348C5">
              <w:rPr>
                <w:rFonts w:asciiTheme="minorHAnsi" w:hAnsiTheme="minorHAnsi" w:cstheme="minorHAnsi"/>
                <w:sz w:val="22"/>
                <w:szCs w:val="22"/>
              </w:rPr>
              <w:t xml:space="preserve">Me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>zgjedhje</w:t>
            </w:r>
            <w:proofErr w:type="spellEnd"/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Viti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studimeve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8348C5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viti</w:t>
            </w:r>
            <w:proofErr w:type="gramEnd"/>
            <w:r w:rsidRPr="008348C5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 xml:space="preserve"> </w:t>
            </w:r>
            <w:r w:rsidRPr="008348C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 V-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semestri i</w:t>
            </w:r>
            <w:r w:rsidRPr="008348C5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 xml:space="preserve"> 10</w:t>
            </w:r>
            <w:r w:rsidRPr="008348C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-të</w:t>
            </w:r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Numri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orëve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javë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</w:rPr>
            </w:pPr>
            <w:r w:rsidRPr="008348C5">
              <w:rPr>
                <w:rFonts w:asciiTheme="minorHAnsi" w:hAnsiTheme="minorHAnsi" w:cstheme="minorHAnsi"/>
                <w:sz w:val="22"/>
                <w:szCs w:val="22"/>
              </w:rPr>
              <w:t>2 + 0</w:t>
            </w:r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Kreditë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</w:rPr>
            </w:pPr>
            <w:r w:rsidRPr="008348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Koha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/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Vendi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jc w:val="both"/>
              <w:rPr>
                <w:rFonts w:asciiTheme="minorHAnsi" w:hAnsiTheme="minorHAnsi" w:cstheme="minorHAnsi"/>
                <w:sz w:val="22"/>
                <w:lang w:val="de-DE"/>
              </w:rPr>
            </w:pPr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                   </w:t>
            </w:r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Mësimdhënësi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</w:rPr>
            </w:pPr>
            <w:r w:rsidRPr="008348C5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>asoc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 xml:space="preserve">. dr.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>Teuta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szCs w:val="22"/>
              </w:rPr>
              <w:t xml:space="preserve"> Abrashi</w:t>
            </w:r>
          </w:p>
        </w:tc>
      </w:tr>
      <w:tr w:rsidR="00364074" w:rsidRPr="008348C5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dhënat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kontaktuese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A46DFA" w:rsidP="00715375">
            <w:pPr>
              <w:pStyle w:val="NoSpacing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364074" w:rsidRPr="008348C5">
                <w:rPr>
                  <w:rStyle w:val="Hyperlink"/>
                  <w:rFonts w:asciiTheme="minorHAnsi" w:eastAsia="MS Mincho" w:hAnsiTheme="minorHAnsi" w:cstheme="minorHAnsi"/>
                  <w:sz w:val="22"/>
                  <w:szCs w:val="22"/>
                </w:rPr>
                <w:t>teuta.abrashi@uni-pr.edu</w:t>
              </w:r>
            </w:hyperlink>
            <w:r w:rsidR="00364074" w:rsidRPr="008348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64074" w:rsidRPr="008348C5" w:rsidTr="007B39F0">
        <w:trPr>
          <w:trHeight w:val="2962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Përshkrimi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715375">
            <w:pPr>
              <w:jc w:val="both"/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tentimet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shpjeguar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mirë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mënyrë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adekuate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dukuritë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gjuhësore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shkencëtarë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shkolla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institucione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ndryshme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kanë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zhvilluar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ndryshme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modeleve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Secila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prej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tyre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bërë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avancime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arritur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rezultate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konsiderueshme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Mirëpo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mësuar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këto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rezultate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shkak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kompleksitetit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tyre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siç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janë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rregullat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diagramet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formulat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etj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proofErr w:type="gramStart"/>
            <w:r w:rsidRPr="008348C5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proofErr w:type="gram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domosdoshme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që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hulumtues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ri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shkencor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ketë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njohuri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themelore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rreth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këtyre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modeleve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deshifruar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nxjerrë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thelbin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porosive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që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dalin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nga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artikuj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libra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kumtesa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shkencore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etj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Kjo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lëndë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qëllim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njoftoi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studentët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me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bazat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themelore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valencës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funksionale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gjenerative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dependenciale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optimalitetit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tjera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.  </w:t>
            </w:r>
          </w:p>
        </w:tc>
      </w:tr>
      <w:tr w:rsidR="00364074" w:rsidRPr="008348C5" w:rsidTr="007B39F0">
        <w:trPr>
          <w:trHeight w:val="15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Qëllimet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364074" w:rsidRPr="008348C5" w:rsidRDefault="00364074" w:rsidP="00364074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bookmarkStart w:id="0" w:name="_Toc415314882"/>
            <w:bookmarkStart w:id="1" w:name="_Toc415315243"/>
            <w:bookmarkStart w:id="2" w:name="_Toc415315598"/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t’i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njoftojë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studentët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me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bazat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themelore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valencës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funksionale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gjenerative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dependenciale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optimalitetit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tjera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gjuhës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gjermane</w:t>
            </w:r>
            <w:bookmarkEnd w:id="0"/>
            <w:bookmarkEnd w:id="1"/>
            <w:bookmarkEnd w:id="2"/>
            <w:proofErr w:type="spellEnd"/>
          </w:p>
          <w:p w:rsidR="00364074" w:rsidRPr="008348C5" w:rsidRDefault="00364074" w:rsidP="00364074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bookmarkStart w:id="3" w:name="_Toc415314883"/>
            <w:bookmarkStart w:id="4" w:name="_Toc415315244"/>
            <w:bookmarkStart w:id="5" w:name="_Toc415315599"/>
            <w:proofErr w:type="spellStart"/>
            <w:proofErr w:type="gramStart"/>
            <w:r w:rsidRPr="008348C5">
              <w:rPr>
                <w:rFonts w:asciiTheme="minorHAnsi" w:hAnsiTheme="minorHAnsi" w:cstheme="minorHAnsi"/>
                <w:sz w:val="22"/>
              </w:rPr>
              <w:t>t’i</w:t>
            </w:r>
            <w:proofErr w:type="spellEnd"/>
            <w:proofErr w:type="gram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vetëdijësojë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studentët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deshifruar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nxjerrë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thelbin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porosive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që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dalin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nga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artikuj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libra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kumtesa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shkencore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etj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.</w:t>
            </w:r>
            <w:bookmarkEnd w:id="3"/>
            <w:bookmarkEnd w:id="4"/>
            <w:bookmarkEnd w:id="5"/>
          </w:p>
          <w:p w:rsidR="00364074" w:rsidRPr="008348C5" w:rsidRDefault="00364074" w:rsidP="00364074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bookmarkStart w:id="6" w:name="_Toc415314884"/>
            <w:bookmarkStart w:id="7" w:name="_Toc415315245"/>
            <w:bookmarkStart w:id="8" w:name="_Toc415315600"/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t’ua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mundësojë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studentëve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lidhjen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midis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teorisë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praktikës</w:t>
            </w:r>
            <w:bookmarkEnd w:id="6"/>
            <w:bookmarkEnd w:id="7"/>
            <w:bookmarkEnd w:id="8"/>
            <w:proofErr w:type="spellEnd"/>
          </w:p>
          <w:p w:rsidR="00364074" w:rsidRPr="008348C5" w:rsidRDefault="00364074" w:rsidP="00364074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i/>
                <w:sz w:val="22"/>
              </w:rPr>
            </w:pPr>
            <w:bookmarkStart w:id="9" w:name="_Toc415314885"/>
            <w:bookmarkStart w:id="10" w:name="_Toc415315246"/>
            <w:bookmarkStart w:id="11" w:name="_Toc415315601"/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lastRenderedPageBreak/>
              <w:t>t’ua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mundësojë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zhvillojnë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njohuritë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aftësitë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tyre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modelet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gramatikore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gjuhës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gjermane</w:t>
            </w:r>
            <w:bookmarkEnd w:id="9"/>
            <w:bookmarkEnd w:id="10"/>
            <w:bookmarkEnd w:id="11"/>
            <w:proofErr w:type="spellEnd"/>
          </w:p>
        </w:tc>
      </w:tr>
    </w:tbl>
    <w:p w:rsidR="00F33383" w:rsidRPr="008348C5" w:rsidRDefault="00F33383" w:rsidP="00F33383">
      <w:pPr>
        <w:spacing w:after="0" w:line="259" w:lineRule="auto"/>
        <w:ind w:left="-718" w:right="11185" w:firstLine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12574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8"/>
        <w:gridCol w:w="1929"/>
        <w:gridCol w:w="324"/>
        <w:gridCol w:w="3580"/>
        <w:gridCol w:w="1642"/>
        <w:gridCol w:w="1961"/>
      </w:tblGrid>
      <w:tr w:rsidR="00F33383" w:rsidRPr="0080769B" w:rsidTr="00EE7CE2">
        <w:trPr>
          <w:gridAfter w:val="1"/>
          <w:wAfter w:w="1961" w:type="dxa"/>
          <w:trHeight w:val="628"/>
        </w:trPr>
        <w:tc>
          <w:tcPr>
            <w:tcW w:w="5067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8348C5" w:rsidRDefault="00F33383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Rezultatet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pritshme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nxënies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:</w:t>
            </w:r>
          </w:p>
        </w:tc>
        <w:tc>
          <w:tcPr>
            <w:tcW w:w="554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348C5" w:rsidRDefault="007016D5" w:rsidP="007016D5">
            <w:pPr>
              <w:rPr>
                <w:rFonts w:asciiTheme="minorHAnsi" w:hAnsiTheme="minorHAnsi" w:cstheme="minorHAnsi"/>
                <w:sz w:val="22"/>
                <w:lang w:val="it-IT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fund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këtij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kursi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studenti do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jetë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gjendje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që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:</w:t>
            </w:r>
          </w:p>
        </w:tc>
      </w:tr>
      <w:tr w:rsidR="00F33383" w:rsidRPr="0080769B" w:rsidTr="00EE7CE2">
        <w:trPr>
          <w:gridAfter w:val="1"/>
          <w:wAfter w:w="1961" w:type="dxa"/>
          <w:trHeight w:val="467"/>
        </w:trPr>
        <w:tc>
          <w:tcPr>
            <w:tcW w:w="506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8348C5" w:rsidRDefault="00F33383" w:rsidP="001A4D2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  <w:tc>
          <w:tcPr>
            <w:tcW w:w="554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348C5" w:rsidRDefault="00364074" w:rsidP="00364074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2"/>
                <w:lang w:val="it-IT"/>
              </w:rPr>
            </w:pPr>
            <w:proofErr w:type="gram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t’</w:t>
            </w:r>
            <w:proofErr w:type="gram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identifikojë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t’i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shpjegojë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nocionet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termat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që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kanë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bëjnë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me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modelet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gramatikore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përgjithësi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</w:p>
        </w:tc>
      </w:tr>
      <w:tr w:rsidR="00F33383" w:rsidRPr="0080769B" w:rsidTr="00EE7CE2">
        <w:trPr>
          <w:gridAfter w:val="1"/>
          <w:wAfter w:w="1961" w:type="dxa"/>
          <w:trHeight w:val="628"/>
        </w:trPr>
        <w:tc>
          <w:tcPr>
            <w:tcW w:w="506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8348C5" w:rsidRDefault="00F33383" w:rsidP="001A4D2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  <w:tc>
          <w:tcPr>
            <w:tcW w:w="554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348C5" w:rsidRDefault="00364074" w:rsidP="00364074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2"/>
                <w:lang w:val="it-IT"/>
              </w:rPr>
            </w:pPr>
            <w:proofErr w:type="gram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t’</w:t>
            </w:r>
            <w:proofErr w:type="gram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diskutojë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modelet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ndryshme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si: teoria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valencës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funktionale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gjenerative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gramatikës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dependenciale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teorisë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optimalitetit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>etj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/>
              </w:rPr>
              <w:t xml:space="preserve">. </w:t>
            </w:r>
          </w:p>
        </w:tc>
      </w:tr>
      <w:tr w:rsidR="00F33383" w:rsidRPr="0080769B" w:rsidTr="00EE7CE2">
        <w:trPr>
          <w:gridAfter w:val="1"/>
          <w:wAfter w:w="1961" w:type="dxa"/>
          <w:trHeight w:val="440"/>
        </w:trPr>
        <w:tc>
          <w:tcPr>
            <w:tcW w:w="506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8348C5" w:rsidRDefault="00F33383" w:rsidP="001A4D2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  <w:tc>
          <w:tcPr>
            <w:tcW w:w="554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348C5" w:rsidRDefault="00364074" w:rsidP="00364074">
            <w:pPr>
              <w:pStyle w:val="ListParagraph1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8348C5">
              <w:rPr>
                <w:rFonts w:asciiTheme="minorHAnsi" w:hAnsiTheme="minorHAnsi" w:cstheme="minorHAnsi"/>
              </w:rPr>
              <w:t>të krahasojnë teori të ndryshme dhe të inicojnë, kryejnë dhe finalizojnë hulumtim lidhur me temat që trajtohen në këtë lëndë.</w:t>
            </w:r>
          </w:p>
        </w:tc>
      </w:tr>
      <w:tr w:rsidR="00F33383" w:rsidRPr="0080769B" w:rsidTr="00EE7CE2">
        <w:trPr>
          <w:gridAfter w:val="1"/>
          <w:wAfter w:w="1961" w:type="dxa"/>
          <w:trHeight w:val="340"/>
        </w:trPr>
        <w:tc>
          <w:tcPr>
            <w:tcW w:w="1061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8348C5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Ngarkesa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studentit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(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duhet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jetë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përputhje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me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rezultatet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nxënies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studentit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  <w:lang w:val="de-DE"/>
              </w:rPr>
              <w:t>)</w:t>
            </w:r>
          </w:p>
        </w:tc>
      </w:tr>
      <w:tr w:rsidR="00F33383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8348C5" w:rsidRDefault="00F33383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Aktiviteti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8348C5" w:rsidRDefault="00F33383" w:rsidP="001A4D2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ab/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Orë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mësimore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ab/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Ditë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/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Javë</w:t>
            </w:r>
            <w:proofErr w:type="spellEnd"/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8348C5" w:rsidRDefault="00F33383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Gjithsej</w:t>
            </w:r>
            <w:proofErr w:type="spellEnd"/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Ligjëratat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1A4D2C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ab/>
              <w:t>2</w:t>
            </w:r>
            <w:r w:rsidRPr="008348C5">
              <w:rPr>
                <w:rFonts w:asciiTheme="minorHAnsi" w:hAnsiTheme="minorHAnsi" w:cstheme="minorHAnsi"/>
                <w:sz w:val="22"/>
              </w:rPr>
              <w:tab/>
              <w:t>15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715375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22,5</w:t>
            </w:r>
          </w:p>
        </w:tc>
      </w:tr>
      <w:tr w:rsidR="00652A6B" w:rsidRPr="008348C5" w:rsidTr="00EE7CE2">
        <w:trPr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1A4D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Konsultime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me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mësimdhënësin</w:t>
            </w:r>
            <w:proofErr w:type="spellEnd"/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7016D5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10 min                         15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652A6B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2,30</w:t>
            </w:r>
          </w:p>
        </w:tc>
        <w:tc>
          <w:tcPr>
            <w:tcW w:w="1961" w:type="dxa"/>
          </w:tcPr>
          <w:p w:rsidR="00652A6B" w:rsidRPr="008348C5" w:rsidRDefault="00652A6B" w:rsidP="007016D5">
            <w:pPr>
              <w:ind w:left="0" w:firstLine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Testi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punimi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seminarit</w:t>
            </w:r>
            <w:proofErr w:type="spellEnd"/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7016D5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1                                   2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715375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2</w:t>
            </w:r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1A4D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Detyrë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shtëpie</w:t>
            </w:r>
            <w:proofErr w:type="spellEnd"/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7016D5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1                                   15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715375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15</w:t>
            </w:r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1A4D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Mësimi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individual (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bibliotekë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apo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shtëpi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7016D5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2                                   15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715375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30</w:t>
            </w:r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1A4D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Përgatitja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për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provimin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final 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7016D5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4                                   7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715375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28</w:t>
            </w:r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1A4D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Koha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vlerësimit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testi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kuizi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provimi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final)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7016D5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2                                   2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715375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4</w:t>
            </w:r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2A6B" w:rsidRPr="008348C5" w:rsidRDefault="00652A6B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Projektet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prezantimet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etj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52A6B" w:rsidRPr="008348C5" w:rsidRDefault="00652A6B" w:rsidP="007016D5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1                                   1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52A6B" w:rsidRPr="008348C5" w:rsidRDefault="00652A6B" w:rsidP="00715375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sz w:val="22"/>
                <w:lang w:val="en-GB"/>
              </w:rPr>
              <w:t>1</w:t>
            </w:r>
          </w:p>
        </w:tc>
      </w:tr>
      <w:tr w:rsidR="00652A6B" w:rsidRPr="008348C5" w:rsidTr="00EE7CE2">
        <w:trPr>
          <w:gridAfter w:val="1"/>
          <w:wAfter w:w="1961" w:type="dxa"/>
          <w:trHeight w:val="340"/>
        </w:trPr>
        <w:tc>
          <w:tcPr>
            <w:tcW w:w="539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52A6B" w:rsidRPr="008348C5" w:rsidRDefault="00652A6B" w:rsidP="001A4D2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Total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52A6B" w:rsidRPr="008348C5" w:rsidRDefault="00652A6B" w:rsidP="001A4D2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652A6B" w:rsidRPr="008348C5" w:rsidRDefault="00652A6B" w:rsidP="00715375">
            <w:pPr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104,8:25=4.19</w:t>
            </w:r>
          </w:p>
          <w:p w:rsidR="00652A6B" w:rsidRPr="008348C5" w:rsidRDefault="00652A6B" w:rsidP="00715375">
            <w:pPr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8348C5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4 ECTS</w:t>
            </w:r>
          </w:p>
        </w:tc>
      </w:tr>
      <w:tr w:rsidR="00652A6B" w:rsidRPr="008348C5" w:rsidTr="00EE7CE2">
        <w:trPr>
          <w:gridAfter w:val="1"/>
          <w:wAfter w:w="1961" w:type="dxa"/>
          <w:trHeight w:val="916"/>
        </w:trPr>
        <w:tc>
          <w:tcPr>
            <w:tcW w:w="313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52A6B" w:rsidRPr="008348C5" w:rsidRDefault="00652A6B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Metodat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mësimdhënies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:  </w:t>
            </w:r>
          </w:p>
        </w:tc>
        <w:tc>
          <w:tcPr>
            <w:tcW w:w="747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52A6B" w:rsidRPr="008348C5" w:rsidRDefault="00652A6B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nb-NO"/>
              </w:rPr>
            </w:pPr>
            <w:r w:rsidRPr="008348C5">
              <w:rPr>
                <w:rFonts w:asciiTheme="minorHAnsi" w:hAnsiTheme="minorHAnsi" w:cstheme="minorHAnsi"/>
                <w:sz w:val="22"/>
                <w:lang w:val="nb-NO"/>
              </w:rPr>
              <w:t>Mësimi realizohet nëpërmjet ligjëratave  që ofrojnë bazën teorike, përgatitjes dhe prezantimit të punimeve seminarike dhe detyrave të vazhdueshme në shtëpi.</w:t>
            </w:r>
          </w:p>
        </w:tc>
      </w:tr>
      <w:tr w:rsidR="00652A6B" w:rsidRPr="008348C5" w:rsidTr="00EE7CE2">
        <w:trPr>
          <w:gridAfter w:val="1"/>
          <w:wAfter w:w="1961" w:type="dxa"/>
          <w:trHeight w:val="1486"/>
        </w:trPr>
        <w:tc>
          <w:tcPr>
            <w:tcW w:w="313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52A6B" w:rsidRPr="008348C5" w:rsidRDefault="00652A6B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lastRenderedPageBreak/>
              <w:t>Metodat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vlerësimit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747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52A6B" w:rsidRPr="008348C5" w:rsidRDefault="00652A6B" w:rsidP="00131FD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50%. </w:t>
            </w:r>
          </w:p>
          <w:p w:rsidR="00652A6B" w:rsidRPr="008348C5" w:rsidRDefault="0080769B" w:rsidP="00BD1547">
            <w:pPr>
              <w:pStyle w:val="Textkrper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Kollokvium i par</w:t>
            </w:r>
            <w:r w:rsidRPr="008348C5">
              <w:rPr>
                <w:rFonts w:asciiTheme="minorHAnsi" w:hAnsiTheme="minorHAnsi" w:cstheme="minorHAnsi"/>
                <w:sz w:val="22"/>
              </w:rPr>
              <w:t>ë</w:t>
            </w:r>
            <w:r>
              <w:rPr>
                <w:rFonts w:asciiTheme="minorHAnsi" w:hAnsiTheme="minorHAnsi" w:cstheme="minorHAnsi"/>
                <w:sz w:val="22"/>
              </w:rPr>
              <w:t xml:space="preserve"> (Zwischenprüfung)</w:t>
            </w:r>
          </w:p>
          <w:p w:rsidR="00652A6B" w:rsidRPr="0080769B" w:rsidRDefault="00FC0B81" w:rsidP="00B86F33">
            <w:pPr>
              <w:pStyle w:val="Textkrper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80769B" w:rsidRPr="0080769B">
              <w:rPr>
                <w:rFonts w:asciiTheme="minorHAnsi" w:eastAsia="Times New Roman" w:hAnsiTheme="minorHAnsi" w:cstheme="minorHAnsi"/>
                <w:sz w:val="22"/>
                <w:szCs w:val="22"/>
              </w:rPr>
              <w:t>Ko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ll</w:t>
            </w:r>
            <w:r w:rsidR="0080769B" w:rsidRPr="0080769B">
              <w:rPr>
                <w:rFonts w:asciiTheme="minorHAnsi" w:eastAsia="Times New Roman" w:hAnsiTheme="minorHAnsi" w:cstheme="minorHAnsi"/>
                <w:sz w:val="22"/>
                <w:szCs w:val="22"/>
              </w:rPr>
              <w:t>okvium i dyt</w:t>
            </w:r>
            <w:r w:rsidR="0080769B" w:rsidRPr="0080769B">
              <w:rPr>
                <w:rFonts w:asciiTheme="minorHAnsi" w:hAnsiTheme="minorHAnsi" w:cstheme="minorHAnsi"/>
                <w:sz w:val="22"/>
              </w:rPr>
              <w:t>ë</w:t>
            </w:r>
            <w:r w:rsidR="0080769B" w:rsidRPr="0080769B">
              <w:rPr>
                <w:rFonts w:asciiTheme="minorHAnsi" w:hAnsiTheme="minorHAnsi" w:cstheme="minorHAnsi"/>
                <w:sz w:val="22"/>
              </w:rPr>
              <w:t xml:space="preserve"> (Endprüfung)</w:t>
            </w:r>
          </w:p>
          <w:p w:rsidR="00652A6B" w:rsidRPr="008348C5" w:rsidRDefault="00652A6B" w:rsidP="00BD154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b/>
                <w:bCs/>
                <w:sz w:val="22"/>
              </w:rPr>
              <w:t>Provimi</w:t>
            </w:r>
            <w:proofErr w:type="spellEnd"/>
            <w:r w:rsidRPr="008348C5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  <w:p w:rsidR="00652A6B" w:rsidRPr="008348C5" w:rsidRDefault="0080769B" w:rsidP="00BD1547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0769B">
              <w:rPr>
                <w:sz w:val="22"/>
              </w:rPr>
              <w:t>Për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ata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që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nuk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tregojnë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sukses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në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kollokviume</w:t>
            </w:r>
            <w:proofErr w:type="spellEnd"/>
            <w:r w:rsidRPr="0080769B">
              <w:rPr>
                <w:sz w:val="22"/>
              </w:rPr>
              <w:t xml:space="preserve">, do </w:t>
            </w:r>
            <w:proofErr w:type="spellStart"/>
            <w:r w:rsidRPr="0080769B">
              <w:rPr>
                <w:sz w:val="22"/>
              </w:rPr>
              <w:t>të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mbahet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provimi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përmbledhës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në</w:t>
            </w:r>
            <w:proofErr w:type="spellEnd"/>
            <w:r w:rsidRPr="0080769B">
              <w:rPr>
                <w:sz w:val="22"/>
              </w:rPr>
              <w:t xml:space="preserve"> </w:t>
            </w:r>
            <w:proofErr w:type="spellStart"/>
            <w:r w:rsidRPr="0080769B">
              <w:rPr>
                <w:sz w:val="22"/>
              </w:rPr>
              <w:t>afatin</w:t>
            </w:r>
            <w:proofErr w:type="spellEnd"/>
            <w:r w:rsidRPr="0080769B">
              <w:rPr>
                <w:sz w:val="22"/>
              </w:rPr>
              <w:t xml:space="preserve"> e </w:t>
            </w:r>
            <w:proofErr w:type="spellStart"/>
            <w:r w:rsidRPr="0080769B">
              <w:rPr>
                <w:sz w:val="22"/>
              </w:rPr>
              <w:t>provimeve</w:t>
            </w:r>
            <w:proofErr w:type="spellEnd"/>
            <w:r w:rsidRPr="0080769B">
              <w:rPr>
                <w:sz w:val="22"/>
              </w:rPr>
              <w:t xml:space="preserve">. </w:t>
            </w:r>
            <w:proofErr w:type="spellStart"/>
            <w:r w:rsidRPr="00E725B3">
              <w:rPr>
                <w:sz w:val="22"/>
              </w:rPr>
              <w:t>Provimi</w:t>
            </w:r>
            <w:proofErr w:type="spellEnd"/>
            <w:r w:rsidRPr="00E725B3">
              <w:rPr>
                <w:sz w:val="22"/>
              </w:rPr>
              <w:t xml:space="preserve"> </w:t>
            </w:r>
            <w:proofErr w:type="spellStart"/>
            <w:r w:rsidRPr="00E725B3">
              <w:rPr>
                <w:sz w:val="22"/>
              </w:rPr>
              <w:t>është</w:t>
            </w:r>
            <w:proofErr w:type="spellEnd"/>
            <w:r w:rsidRPr="00E725B3">
              <w:rPr>
                <w:sz w:val="22"/>
              </w:rPr>
              <w:t xml:space="preserve"> </w:t>
            </w:r>
            <w:proofErr w:type="spellStart"/>
            <w:r w:rsidRPr="00E725B3">
              <w:rPr>
                <w:sz w:val="22"/>
              </w:rPr>
              <w:t>vetëm</w:t>
            </w:r>
            <w:proofErr w:type="spellEnd"/>
            <w:r w:rsidRPr="00E725B3">
              <w:rPr>
                <w:sz w:val="22"/>
              </w:rPr>
              <w:t xml:space="preserve"> me </w:t>
            </w:r>
            <w:proofErr w:type="spellStart"/>
            <w:r w:rsidRPr="00E725B3">
              <w:rPr>
                <w:sz w:val="22"/>
              </w:rPr>
              <w:t>shkrim</w:t>
            </w:r>
            <w:proofErr w:type="spellEnd"/>
            <w:r w:rsidRPr="00E725B3">
              <w:rPr>
                <w:sz w:val="22"/>
              </w:rPr>
              <w:t>.</w:t>
            </w:r>
          </w:p>
        </w:tc>
      </w:tr>
      <w:tr w:rsidR="00364074" w:rsidRPr="0080769B" w:rsidTr="00CB3ADB">
        <w:trPr>
          <w:gridAfter w:val="1"/>
          <w:wAfter w:w="1961" w:type="dxa"/>
          <w:trHeight w:val="3880"/>
        </w:trPr>
        <w:tc>
          <w:tcPr>
            <w:tcW w:w="313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Literatura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primare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747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F0F95" w:rsidRPr="00FC0B81" w:rsidRDefault="002F0F95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ind w:right="288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Heringer</w:t>
            </w:r>
            <w:proofErr w:type="spellEnd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, H.J. (2016): Linguistik nach Saussure. UTB Franke: Tübingen</w:t>
            </w:r>
          </w:p>
          <w:p w:rsidR="002F0F95" w:rsidRPr="00FC0B81" w:rsidRDefault="002F0F95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Elsen, Hilke (2014): Linguistische Theorien. Narr Franke: Tübingen</w:t>
            </w:r>
            <w:r w:rsidRPr="00FC0B81">
              <w:rPr>
                <w:rFonts w:asciiTheme="minorHAnsi" w:hAnsiTheme="minorHAnsi" w:cstheme="minorHAnsi"/>
                <w:sz w:val="22"/>
                <w:lang w:val="de-DE" w:eastAsia="de-DE"/>
              </w:rPr>
              <w:t xml:space="preserve"> </w:t>
            </w:r>
          </w:p>
          <w:p w:rsidR="002F0F95" w:rsidRPr="00FC0B81" w:rsidRDefault="002F0F95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ind w:right="288"/>
              <w:rPr>
                <w:rFonts w:asciiTheme="minorHAnsi" w:hAnsiTheme="minorHAnsi" w:cstheme="minorHAnsi"/>
                <w:sz w:val="22"/>
                <w:lang w:val="de-DE"/>
              </w:rPr>
            </w:pPr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Auer, P. (Hrsg.) (2013): Sprachwissenschaft. Metzler: Stuttgart</w:t>
            </w:r>
          </w:p>
          <w:p w:rsidR="00CB3ADB" w:rsidRPr="00FC0B81" w:rsidRDefault="002F0F95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ind w:right="288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Graefen</w:t>
            </w:r>
            <w:proofErr w:type="spellEnd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 xml:space="preserve">, G./ </w:t>
            </w:r>
            <w:proofErr w:type="spellStart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Liedke</w:t>
            </w:r>
            <w:proofErr w:type="spellEnd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, M. (2012): Germanistische Sprachwissenschaft 2. Auflage. UTB Francke: Tübingen</w:t>
            </w:r>
          </w:p>
          <w:p w:rsidR="00A5793C" w:rsidRPr="00FC0B81" w:rsidRDefault="002F0F95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r w:rsidRPr="00FC0B81">
              <w:rPr>
                <w:rFonts w:asciiTheme="minorHAnsi" w:hAnsiTheme="minorHAnsi" w:cstheme="minorHAnsi"/>
                <w:sz w:val="22"/>
                <w:lang w:val="de-DE" w:eastAsia="de-DE"/>
              </w:rPr>
              <w:t xml:space="preserve">Welke, </w:t>
            </w:r>
            <w:r w:rsidR="00A5793C" w:rsidRPr="00FC0B81">
              <w:rPr>
                <w:rFonts w:asciiTheme="minorHAnsi" w:hAnsiTheme="minorHAnsi" w:cstheme="minorHAnsi"/>
                <w:sz w:val="22"/>
                <w:lang w:val="de-DE" w:eastAsia="de-DE"/>
              </w:rPr>
              <w:t xml:space="preserve">Klaus (2011): Valenzgrammatik des Deutschen, de </w:t>
            </w:r>
            <w:proofErr w:type="spellStart"/>
            <w:r w:rsidR="00A5793C" w:rsidRPr="00FC0B81">
              <w:rPr>
                <w:rFonts w:asciiTheme="minorHAnsi" w:hAnsiTheme="minorHAnsi" w:cstheme="minorHAnsi"/>
                <w:sz w:val="22"/>
                <w:lang w:val="de-DE" w:eastAsia="de-DE"/>
              </w:rPr>
              <w:t>Gruyter</w:t>
            </w:r>
            <w:proofErr w:type="spellEnd"/>
            <w:r w:rsidR="00A5793C" w:rsidRPr="00FC0B81">
              <w:rPr>
                <w:rFonts w:asciiTheme="minorHAnsi" w:hAnsiTheme="minorHAnsi" w:cstheme="minorHAnsi"/>
                <w:sz w:val="22"/>
                <w:lang w:val="de-DE" w:eastAsia="de-DE"/>
              </w:rPr>
              <w:t>, Berlin</w:t>
            </w:r>
          </w:p>
          <w:p w:rsidR="00A5793C" w:rsidRPr="00FC0B81" w:rsidRDefault="00A5793C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Müller, Stefan (2010): Grammatiktheorien- Einführ</w:t>
            </w:r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u</w:t>
            </w:r>
            <w:r w:rsidR="00CB3ADB" w:rsidRPr="00FC0B81">
              <w:rPr>
                <w:rFonts w:asciiTheme="minorHAnsi" w:hAnsiTheme="minorHAnsi" w:cstheme="minorHAnsi"/>
                <w:sz w:val="22"/>
                <w:lang w:val="de-DE"/>
              </w:rPr>
              <w:t xml:space="preserve">ngen. Staufenberg: </w:t>
            </w:r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Tübingen</w:t>
            </w:r>
          </w:p>
          <w:p w:rsidR="00A5793C" w:rsidRPr="00FC0B81" w:rsidRDefault="00A5793C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Dürscheid</w:t>
            </w:r>
            <w:proofErr w:type="spellEnd"/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>, Christa (2010): Synt</w:t>
            </w:r>
            <w:r w:rsidR="00CB3ADB" w:rsidRPr="00FC0B81">
              <w:rPr>
                <w:rFonts w:asciiTheme="minorHAnsi" w:hAnsiTheme="minorHAnsi" w:cstheme="minorHAnsi"/>
                <w:sz w:val="22"/>
                <w:lang w:val="de-DE"/>
              </w:rPr>
              <w:t>ax-Grundlagen und Theorien, UTB:</w:t>
            </w:r>
            <w:r w:rsidRPr="00FC0B81">
              <w:rPr>
                <w:rFonts w:asciiTheme="minorHAnsi" w:hAnsiTheme="minorHAnsi" w:cstheme="minorHAnsi"/>
                <w:sz w:val="22"/>
                <w:lang w:val="de-DE"/>
              </w:rPr>
              <w:t xml:space="preserve"> Göttingen</w:t>
            </w:r>
          </w:p>
          <w:p w:rsidR="00A5793C" w:rsidRPr="00CB3ADB" w:rsidRDefault="00A5793C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Jungen, Oliver/Lohnstein, Horst (2007): Geschichte der Grammatiktheorie- von Dionysios </w:t>
            </w:r>
            <w:proofErr w:type="spellStart"/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>Thrax</w:t>
            </w:r>
            <w:proofErr w:type="spellEnd"/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 bis Noam Chomsky. </w:t>
            </w:r>
            <w:r w:rsidR="00CB3ADB"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Fink: </w:t>
            </w:r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 Münch</w:t>
            </w:r>
            <w:r w:rsidR="00CB3ADB" w:rsidRPr="00CB3ADB">
              <w:rPr>
                <w:rFonts w:asciiTheme="minorHAnsi" w:hAnsiTheme="minorHAnsi" w:cstheme="minorHAnsi"/>
                <w:sz w:val="22"/>
                <w:lang w:val="de-DE"/>
              </w:rPr>
              <w:t>en</w:t>
            </w:r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bookmarkStart w:id="12" w:name="_GoBack"/>
            <w:bookmarkEnd w:id="12"/>
          </w:p>
          <w:p w:rsidR="00364074" w:rsidRPr="00CB3ADB" w:rsidRDefault="00364074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Jungen, Oliver/Lohnstein, Horst (2006): Einführung in die Grammatiktheorie. </w:t>
            </w:r>
            <w:r w:rsidR="00CB3ADB"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UTB, W. Fink: </w:t>
            </w:r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>München</w:t>
            </w:r>
          </w:p>
          <w:p w:rsidR="00364074" w:rsidRPr="00CB3ADB" w:rsidRDefault="00364074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>Agel</w:t>
            </w:r>
            <w:proofErr w:type="spellEnd"/>
            <w:r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>, Vilmo</w:t>
            </w:r>
            <w:r w:rsidR="00CB3ADB"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 xml:space="preserve">s (2000): Valenztheorie, </w:t>
            </w:r>
            <w:r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 xml:space="preserve"> Narr</w:t>
            </w:r>
            <w:r w:rsidR="00CB3ADB"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 xml:space="preserve">: </w:t>
            </w:r>
            <w:r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>Tübingen</w:t>
            </w:r>
          </w:p>
          <w:p w:rsidR="00A5793C" w:rsidRPr="008348C5" w:rsidRDefault="00A5793C" w:rsidP="002F0F95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  <w:r w:rsidRPr="00CB3ADB">
              <w:rPr>
                <w:rFonts w:asciiTheme="minorHAnsi" w:hAnsiTheme="minorHAnsi" w:cstheme="minorHAnsi"/>
                <w:sz w:val="22"/>
                <w:lang w:val="de-DE"/>
              </w:rPr>
              <w:t xml:space="preserve">Helbig, Gerhard (1989): </w:t>
            </w:r>
            <w:r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>Geschichte der neueren Sprachwis</w:t>
            </w:r>
            <w:r w:rsidR="00CB3ADB"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>senschaft, Westdeutscher Verlag:</w:t>
            </w:r>
            <w:r w:rsidRPr="00CB3ADB">
              <w:rPr>
                <w:rFonts w:asciiTheme="minorHAnsi" w:hAnsiTheme="minorHAnsi" w:cstheme="minorHAnsi"/>
                <w:sz w:val="22"/>
                <w:lang w:val="de-DE" w:eastAsia="de-DE"/>
              </w:rPr>
              <w:t xml:space="preserve"> Opladen</w:t>
            </w:r>
          </w:p>
          <w:p w:rsidR="00364074" w:rsidRPr="008348C5" w:rsidRDefault="00364074" w:rsidP="00CB3ADB">
            <w:pPr>
              <w:pStyle w:val="Listenabsatz"/>
              <w:spacing w:after="0" w:line="240" w:lineRule="auto"/>
              <w:ind w:firstLine="0"/>
              <w:contextualSpacing w:val="0"/>
              <w:rPr>
                <w:rFonts w:asciiTheme="minorHAnsi" w:hAnsiTheme="minorHAnsi" w:cstheme="minorHAnsi"/>
                <w:sz w:val="22"/>
                <w:lang w:val="de-DE"/>
              </w:rPr>
            </w:pPr>
          </w:p>
        </w:tc>
      </w:tr>
      <w:tr w:rsidR="00364074" w:rsidRPr="0080769B" w:rsidTr="00EE7CE2">
        <w:trPr>
          <w:gridAfter w:val="1"/>
          <w:wAfter w:w="1961" w:type="dxa"/>
          <w:trHeight w:val="1492"/>
        </w:trPr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64074" w:rsidRPr="008348C5" w:rsidRDefault="00364074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Literatura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shtesë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:  </w:t>
            </w:r>
          </w:p>
        </w:tc>
        <w:tc>
          <w:tcPr>
            <w:tcW w:w="74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769B" w:rsidRDefault="0080769B" w:rsidP="0080769B">
            <w:pPr>
              <w:pStyle w:val="Listenabsatz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lang w:val="de-DE"/>
              </w:rPr>
            </w:pPr>
            <w:r w:rsidRPr="0080769B">
              <w:rPr>
                <w:rFonts w:asciiTheme="minorHAnsi" w:hAnsiTheme="minorHAnsi" w:cstheme="minorHAnsi"/>
                <w:sz w:val="22"/>
                <w:lang w:val="de-DE"/>
              </w:rPr>
              <w:t>Duden Grammatik (2022). (10. Aufl.) Struktur und Verwendung der deutschen Sprache. Sätze – Wortgruppen – Wörter, Mannheim</w:t>
            </w:r>
          </w:p>
          <w:p w:rsidR="00364074" w:rsidRPr="0080769B" w:rsidRDefault="00364074" w:rsidP="0080769B">
            <w:pPr>
              <w:pStyle w:val="Listenabsatz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80769B">
              <w:rPr>
                <w:rFonts w:asciiTheme="minorHAnsi" w:hAnsiTheme="minorHAnsi" w:cstheme="minorHAnsi"/>
                <w:sz w:val="22"/>
                <w:lang w:val="de-DE"/>
              </w:rPr>
              <w:t>Busch,A</w:t>
            </w:r>
            <w:proofErr w:type="spellEnd"/>
            <w:r w:rsidRPr="0080769B">
              <w:rPr>
                <w:rFonts w:asciiTheme="minorHAnsi" w:hAnsiTheme="minorHAnsi" w:cstheme="minorHAnsi"/>
                <w:sz w:val="22"/>
                <w:lang w:val="de-DE"/>
              </w:rPr>
              <w:t>./</w:t>
            </w:r>
            <w:proofErr w:type="spellStart"/>
            <w:r w:rsidRPr="0080769B">
              <w:rPr>
                <w:rFonts w:asciiTheme="minorHAnsi" w:hAnsiTheme="minorHAnsi" w:cstheme="minorHAnsi"/>
                <w:sz w:val="22"/>
                <w:lang w:val="de-DE"/>
              </w:rPr>
              <w:t>Stenschke,O</w:t>
            </w:r>
            <w:proofErr w:type="spellEnd"/>
            <w:r w:rsidRPr="0080769B">
              <w:rPr>
                <w:rFonts w:asciiTheme="minorHAnsi" w:hAnsiTheme="minorHAnsi" w:cstheme="minorHAnsi"/>
                <w:sz w:val="22"/>
                <w:lang w:val="de-DE"/>
              </w:rPr>
              <w:t>.(2007): Germ</w:t>
            </w:r>
            <w:r w:rsidR="00CB3ADB">
              <w:rPr>
                <w:rFonts w:asciiTheme="minorHAnsi" w:hAnsiTheme="minorHAnsi" w:cstheme="minorHAnsi"/>
                <w:sz w:val="22"/>
                <w:lang w:val="de-DE"/>
              </w:rPr>
              <w:t>anistische Linguistik,</w:t>
            </w:r>
            <w:r w:rsidRPr="0080769B">
              <w:rPr>
                <w:rFonts w:asciiTheme="minorHAnsi" w:hAnsiTheme="minorHAnsi" w:cstheme="minorHAnsi"/>
                <w:sz w:val="22"/>
                <w:lang w:val="de-DE"/>
              </w:rPr>
              <w:t xml:space="preserve"> Narr Franke</w:t>
            </w:r>
            <w:r w:rsidR="00CB3ADB">
              <w:rPr>
                <w:rFonts w:asciiTheme="minorHAnsi" w:hAnsiTheme="minorHAnsi" w:cstheme="minorHAnsi"/>
                <w:sz w:val="22"/>
                <w:lang w:val="de-DE"/>
              </w:rPr>
              <w:t>: Tübingen</w:t>
            </w:r>
            <w:r w:rsidRPr="0080769B">
              <w:rPr>
                <w:rFonts w:asciiTheme="minorHAnsi" w:hAnsiTheme="minorHAnsi" w:cstheme="minorHAnsi"/>
                <w:sz w:val="22"/>
                <w:lang w:val="de-DE"/>
              </w:rPr>
              <w:t xml:space="preserve">  (S.75-114)</w:t>
            </w:r>
          </w:p>
          <w:p w:rsidR="00364074" w:rsidRPr="008348C5" w:rsidRDefault="00364074" w:rsidP="0080769B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lang w:val="de-DE"/>
              </w:rPr>
            </w:pPr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Engel U (2004): Deutsche Grammatik, München </w:t>
            </w:r>
          </w:p>
          <w:p w:rsidR="00364074" w:rsidRPr="008348C5" w:rsidRDefault="00364074" w:rsidP="0080769B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Meibauer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, J. (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et.all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) (2002): Einführung in die germanistische Linguistik, Stuttgart: Metzler  (S.15-67) </w:t>
            </w:r>
          </w:p>
          <w:p w:rsidR="00364074" w:rsidRPr="008348C5" w:rsidRDefault="00364074" w:rsidP="0080769B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lang w:val="de-DE"/>
              </w:rPr>
            </w:pPr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Vater, H. (1996): Einführung in die Sprachwissenschaft, München: Fink (S.68-103)</w:t>
            </w:r>
          </w:p>
        </w:tc>
      </w:tr>
    </w:tbl>
    <w:p w:rsidR="00F33383" w:rsidRPr="008348C5" w:rsidRDefault="00F33383" w:rsidP="00F33383">
      <w:pPr>
        <w:pStyle w:val="KeinLeerraum"/>
        <w:rPr>
          <w:rFonts w:asciiTheme="minorHAnsi" w:hAnsiTheme="minorHAnsi" w:cstheme="minorHAnsi"/>
          <w:sz w:val="22"/>
          <w:lang w:val="de-DE"/>
        </w:rPr>
      </w:pPr>
      <w:r w:rsidRPr="008348C5">
        <w:rPr>
          <w:rFonts w:asciiTheme="minorHAnsi" w:hAnsiTheme="minorHAnsi" w:cstheme="minorHAnsi"/>
          <w:sz w:val="22"/>
          <w:lang w:val="de-DE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8348C5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8348C5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>Hartimi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>planit</w:t>
            </w:r>
            <w:proofErr w:type="spellEnd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8348C5" w:rsidRDefault="00F33383" w:rsidP="001A4D2C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33383" w:rsidRPr="008348C5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8348C5" w:rsidRDefault="00F33383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8348C5" w:rsidRDefault="00F33383" w:rsidP="001A4D2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Titulli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ligjëratës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466EF" w:rsidRPr="008348C5" w:rsidTr="002D1714">
        <w:trPr>
          <w:trHeight w:val="46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E466EF" w:rsidP="00E466EF">
            <w:pPr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Hyrje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qëllimi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lëndës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elementet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modeleve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gramatikore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zhvillimet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modeleve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gramatikore</w:t>
            </w:r>
            <w:proofErr w:type="spellEnd"/>
            <w:proofErr w:type="gram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)</w:t>
            </w:r>
            <w:proofErr w:type="gramEnd"/>
          </w:p>
        </w:tc>
      </w:tr>
      <w:tr w:rsidR="00E466EF" w:rsidRPr="008348C5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66EF" w:rsidRPr="008348C5" w:rsidRDefault="00E466EF" w:rsidP="00E466EF">
            <w:pPr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Modelet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hershme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gramatikore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modeli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grek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modeli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romak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)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E466EF" w:rsidP="00E466EF">
            <w:pPr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vjetër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 xml:space="preserve">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logjike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përgjithshme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historike</w:t>
            </w:r>
            <w:proofErr w:type="spellEnd"/>
            <w:r w:rsidRPr="008348C5">
              <w:rPr>
                <w:rFonts w:asciiTheme="minorHAnsi" w:hAnsiTheme="minorHAnsi" w:cstheme="minorHAnsi"/>
                <w:bCs/>
                <w:sz w:val="22"/>
                <w:lang w:val="de-DE" w:eastAsia="zh-CN"/>
              </w:rPr>
              <w:t>)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66EF" w:rsidRPr="008348C5" w:rsidRDefault="00E466EF" w:rsidP="00E46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lang w:val="de-DE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Strukturalizmi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I (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themelimi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strukturalizmit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nga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Sosuri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shkolla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Pragës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shkolla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lastRenderedPageBreak/>
              <w:t>Kopenhagenit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)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E466EF" w:rsidP="00E46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>Strukturalizmi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 xml:space="preserve"> II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>strukturalizmi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>Amerikë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/>
              </w:rPr>
              <w:t>)</w:t>
            </w:r>
          </w:p>
        </w:tc>
      </w:tr>
      <w:tr w:rsidR="00E466EF" w:rsidRPr="008348C5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66EF" w:rsidRPr="008348C5" w:rsidRDefault="00E466EF" w:rsidP="00E466E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</w:pPr>
            <w:proofErr w:type="spellStart"/>
            <w:proofErr w:type="gram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Grammat</w:t>
            </w:r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ika</w:t>
            </w:r>
            <w:proofErr w:type="spellEnd"/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</w:t>
            </w:r>
            <w:proofErr w:type="spellStart"/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depedenciale</w:t>
            </w:r>
            <w:proofErr w:type="spellEnd"/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</w:t>
            </w:r>
            <w:proofErr w:type="spellStart"/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dhe</w:t>
            </w:r>
            <w:proofErr w:type="spellEnd"/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</w:t>
            </w:r>
            <w:proofErr w:type="spellStart"/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Valentore</w:t>
            </w:r>
            <w:proofErr w:type="spellEnd"/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I</w:t>
            </w:r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depedenca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valenca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argumentet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struktura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argumenteve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>)</w:t>
            </w:r>
            <w:r w:rsidR="00CB3ADB">
              <w:rPr>
                <w:rFonts w:asciiTheme="minorHAnsi" w:hAnsiTheme="minorHAnsi" w:cstheme="minorHAnsi"/>
                <w:bCs/>
                <w:iCs/>
                <w:sz w:val="22"/>
                <w:lang w:val="it-IT"/>
              </w:rPr>
              <w:t xml:space="preserve"> </w:t>
            </w:r>
            <w:proofErr w:type="spellStart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Gramatika</w:t>
            </w:r>
            <w:proofErr w:type="spell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depedenciale</w:t>
            </w:r>
            <w:proofErr w:type="spell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dhe</w:t>
            </w:r>
            <w:proofErr w:type="spell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Valentore</w:t>
            </w:r>
            <w:proofErr w:type="spell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 I</w:t>
            </w:r>
            <w:proofErr w:type="gram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I (teoria e </w:t>
            </w:r>
            <w:proofErr w:type="spellStart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valences</w:t>
            </w:r>
            <w:proofErr w:type="spell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, </w:t>
            </w:r>
            <w:proofErr w:type="spellStart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gramatika</w:t>
            </w:r>
            <w:proofErr w:type="spell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 e </w:t>
            </w:r>
            <w:proofErr w:type="spellStart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rasës</w:t>
            </w:r>
            <w:proofErr w:type="spellEnd"/>
            <w:r w:rsidR="00CB3ADB" w:rsidRPr="008348C5"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)</w:t>
            </w:r>
          </w:p>
        </w:tc>
      </w:tr>
      <w:tr w:rsidR="00E466EF" w:rsidRPr="008348C5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CB3ADB" w:rsidP="00E46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>Kollokviumi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lang w:val="it-IT" w:eastAsia="zh-CN"/>
              </w:rPr>
              <w:t xml:space="preserve"> i par</w:t>
            </w:r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ë</w:t>
            </w:r>
            <w:r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(Zwischenprüfung)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66EF" w:rsidRPr="008348C5" w:rsidRDefault="00E466EF" w:rsidP="00E46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funksionale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konceptet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themelore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struktura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informative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fjalisë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)</w:t>
            </w:r>
          </w:p>
        </w:tc>
      </w:tr>
      <w:tr w:rsidR="00E466EF" w:rsidRPr="008348C5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E466EF" w:rsidP="00E46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gjenerative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 xml:space="preserve"> I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fillimet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konceptet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themelore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transformimet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)</w:t>
            </w:r>
          </w:p>
        </w:tc>
      </w:tr>
      <w:tr w:rsidR="00E466EF" w:rsidRPr="008348C5" w:rsidTr="00234AAF">
        <w:trPr>
          <w:trHeight w:val="33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66EF" w:rsidRPr="008348C5" w:rsidRDefault="00E466EF" w:rsidP="00E46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lang w:val="it-IT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>gjenerative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 xml:space="preserve"> II (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>principet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>parametrat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it-IT" w:eastAsia="zh-CN"/>
              </w:rPr>
              <w:t>)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 xml:space="preserve">Java 11: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E466EF" w:rsidP="00E466EF">
            <w:pPr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gjenerative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III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programi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>minimalist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it-IT" w:eastAsia="zh-CN"/>
              </w:rPr>
              <w:t xml:space="preserve">) 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66EF" w:rsidRPr="008348C5" w:rsidRDefault="00E466EF" w:rsidP="00E466EF">
            <w:pPr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unifikuese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I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funksionale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leksikore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LFG)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E466EF" w:rsidP="00E466EF">
            <w:pPr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unifikuese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II (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gramatika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përgjthshme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frazave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GPSG)</w:t>
            </w:r>
            <w:r w:rsidR="002F0F9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/</w:t>
            </w:r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Gramatika</w:t>
            </w:r>
            <w:proofErr w:type="spellEnd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unifikuese</w:t>
            </w:r>
            <w:proofErr w:type="spellEnd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III (</w:t>
            </w:r>
            <w:proofErr w:type="spellStart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gramatika</w:t>
            </w:r>
            <w:proofErr w:type="spellEnd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e </w:t>
            </w:r>
            <w:proofErr w:type="spellStart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frazave</w:t>
            </w:r>
            <w:proofErr w:type="spellEnd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drejtuar</w:t>
            </w:r>
            <w:proofErr w:type="spellEnd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nga</w:t>
            </w:r>
            <w:proofErr w:type="spellEnd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</w:t>
            </w:r>
            <w:proofErr w:type="spellStart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>koka</w:t>
            </w:r>
            <w:proofErr w:type="spellEnd"/>
            <w:r w:rsidR="002F0F95" w:rsidRPr="008348C5"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  <w:t xml:space="preserve"> HPSG)</w:t>
            </w:r>
          </w:p>
        </w:tc>
      </w:tr>
      <w:tr w:rsidR="00E466EF" w:rsidRPr="008076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66EF" w:rsidRPr="008348C5" w:rsidRDefault="002F0F95" w:rsidP="00E466EF">
            <w:pPr>
              <w:rPr>
                <w:rFonts w:asciiTheme="minorHAnsi" w:hAnsiTheme="minorHAnsi" w:cstheme="minorHAnsi"/>
                <w:bCs/>
                <w:iCs/>
                <w:sz w:val="22"/>
                <w:lang w:val="de-DE" w:eastAsia="zh-CN"/>
              </w:rPr>
            </w:pP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Teoria</w:t>
            </w:r>
            <w:proofErr w:type="spellEnd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optimalitetit</w:t>
            </w:r>
            <w:proofErr w:type="spellEnd"/>
          </w:p>
        </w:tc>
      </w:tr>
      <w:tr w:rsidR="00E466EF" w:rsidRPr="008348C5" w:rsidTr="007B39F0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348C5">
              <w:rPr>
                <w:rFonts w:asciiTheme="minorHAnsi" w:hAnsiTheme="minorHAnsi" w:cstheme="minorHAnsi"/>
                <w:sz w:val="22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66EF" w:rsidRPr="008348C5" w:rsidRDefault="002F0F95" w:rsidP="00E466EF">
            <w:pPr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Kollokviumi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lang w:eastAsia="zh-CN"/>
              </w:rPr>
              <w:t>dyt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 w:eastAsia="zh-CN"/>
              </w:rPr>
              <w:t>ë</w:t>
            </w:r>
            <w:r>
              <w:rPr>
                <w:rFonts w:asciiTheme="minorHAnsi" w:hAnsiTheme="minorHAnsi" w:cstheme="minorHAnsi"/>
                <w:sz w:val="22"/>
                <w:lang w:val="de-DE" w:eastAsia="zh-CN"/>
              </w:rPr>
              <w:t xml:space="preserve"> (Endprüfung)</w:t>
            </w:r>
          </w:p>
        </w:tc>
      </w:tr>
      <w:tr w:rsidR="00E466EF" w:rsidRPr="0080769B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lang w:val="de-DE"/>
              </w:rPr>
            </w:pPr>
            <w:proofErr w:type="spellStart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>Politikat</w:t>
            </w:r>
            <w:proofErr w:type="spellEnd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>akademike</w:t>
            </w:r>
            <w:proofErr w:type="spellEnd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>kodi</w:t>
            </w:r>
            <w:proofErr w:type="spellEnd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b/>
                <w:sz w:val="22"/>
                <w:lang w:val="de-DE"/>
              </w:rPr>
              <w:t>sjelljes</w:t>
            </w:r>
            <w:proofErr w:type="spellEnd"/>
          </w:p>
        </w:tc>
      </w:tr>
      <w:tr w:rsidR="00E466EF" w:rsidRPr="008348C5" w:rsidTr="007B39F0">
        <w:trPr>
          <w:trHeight w:val="134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66EF" w:rsidRPr="008348C5" w:rsidRDefault="00E466EF" w:rsidP="00E466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Studentët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janë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obliguar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t’i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vijojnë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ligjërata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nuk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tolerohen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më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shumë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se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tri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mungesa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gjatë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semestrit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Detyrat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që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dalin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nga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këto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orë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mësimi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janë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obligueshme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pjesë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vlerësimit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përgjithshëm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studentit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Plagjiatura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kopjimi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provime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dhe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punimet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tjera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shkrim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janë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të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>dënueshme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  <w:lang w:val="de-DE"/>
              </w:rPr>
              <w:t xml:space="preserve">.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rastet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tilla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studenti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nënshtrohet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masave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disiplinore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siç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parashihet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me 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rregulloret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 xml:space="preserve"> e UP-</w:t>
            </w:r>
            <w:proofErr w:type="spellStart"/>
            <w:r w:rsidRPr="008348C5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8348C5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:rsidR="00F33383" w:rsidRPr="008348C5" w:rsidRDefault="00F33383" w:rsidP="00F33383">
      <w:pPr>
        <w:spacing w:after="3"/>
        <w:ind w:left="-3"/>
        <w:rPr>
          <w:rFonts w:asciiTheme="minorHAnsi" w:hAnsiTheme="minorHAnsi" w:cstheme="minorHAnsi"/>
          <w:b/>
          <w:sz w:val="22"/>
        </w:rPr>
      </w:pPr>
    </w:p>
    <w:p w:rsidR="004D4C48" w:rsidRPr="008348C5" w:rsidRDefault="004D4C48">
      <w:pPr>
        <w:rPr>
          <w:rFonts w:asciiTheme="minorHAnsi" w:hAnsiTheme="minorHAnsi" w:cstheme="minorHAnsi"/>
          <w:sz w:val="22"/>
        </w:rPr>
      </w:pPr>
    </w:p>
    <w:sectPr w:rsidR="004D4C48" w:rsidRPr="008348C5" w:rsidSect="005C6D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FA" w:rsidRDefault="00A46DFA" w:rsidP="00F33383">
      <w:pPr>
        <w:spacing w:after="0" w:line="240" w:lineRule="auto"/>
      </w:pPr>
      <w:r>
        <w:separator/>
      </w:r>
    </w:p>
  </w:endnote>
  <w:endnote w:type="continuationSeparator" w:id="0">
    <w:p w:rsidR="00A46DFA" w:rsidRDefault="00A46DFA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04056" w:rsidRDefault="00A04056">
            <w:pPr>
              <w:pStyle w:val="Fuzeile"/>
              <w:jc w:val="center"/>
            </w:pPr>
            <w:r>
              <w:t xml:space="preserve">Page </w:t>
            </w:r>
            <w:r w:rsidR="005B3C0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B3C0F">
              <w:rPr>
                <w:b/>
                <w:bCs/>
                <w:szCs w:val="24"/>
              </w:rPr>
              <w:fldChar w:fldCharType="separate"/>
            </w:r>
            <w:r w:rsidR="00FC0B81">
              <w:rPr>
                <w:b/>
                <w:bCs/>
                <w:noProof/>
              </w:rPr>
              <w:t>3</w:t>
            </w:r>
            <w:r w:rsidR="005B3C0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B3C0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B3C0F">
              <w:rPr>
                <w:b/>
                <w:bCs/>
                <w:szCs w:val="24"/>
              </w:rPr>
              <w:fldChar w:fldCharType="separate"/>
            </w:r>
            <w:r w:rsidR="00FC0B81">
              <w:rPr>
                <w:b/>
                <w:bCs/>
                <w:noProof/>
              </w:rPr>
              <w:t>4</w:t>
            </w:r>
            <w:r w:rsidR="005B3C0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04056" w:rsidRDefault="00A040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FA" w:rsidRDefault="00A46DFA" w:rsidP="00F33383">
      <w:pPr>
        <w:spacing w:after="0" w:line="240" w:lineRule="auto"/>
      </w:pPr>
      <w:r>
        <w:separator/>
      </w:r>
    </w:p>
  </w:footnote>
  <w:footnote w:type="continuationSeparator" w:id="0">
    <w:p w:rsidR="00A46DFA" w:rsidRDefault="00A46DFA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84E"/>
    <w:multiLevelType w:val="hybridMultilevel"/>
    <w:tmpl w:val="AE600720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C11E9"/>
    <w:multiLevelType w:val="hybridMultilevel"/>
    <w:tmpl w:val="C304E5D8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37251"/>
    <w:multiLevelType w:val="hybridMultilevel"/>
    <w:tmpl w:val="E3664F7E"/>
    <w:lvl w:ilvl="0" w:tplc="1618FFCC">
      <w:start w:val="1"/>
      <w:numFmt w:val="decimal"/>
      <w:lvlText w:val="%1."/>
      <w:lvlJc w:val="left"/>
      <w:pPr>
        <w:ind w:left="826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>
    <w:nsid w:val="133055DE"/>
    <w:multiLevelType w:val="hybridMultilevel"/>
    <w:tmpl w:val="D9FAE5BA"/>
    <w:lvl w:ilvl="0" w:tplc="F8A2FD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091AA1"/>
    <w:multiLevelType w:val="hybridMultilevel"/>
    <w:tmpl w:val="6E784C3C"/>
    <w:lvl w:ilvl="0" w:tplc="FC087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5C49FF"/>
    <w:multiLevelType w:val="hybridMultilevel"/>
    <w:tmpl w:val="D9FAE5BA"/>
    <w:lvl w:ilvl="0" w:tplc="F8A2FD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FB7D84"/>
    <w:multiLevelType w:val="hybridMultilevel"/>
    <w:tmpl w:val="E7D6871A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903060"/>
    <w:multiLevelType w:val="hybridMultilevel"/>
    <w:tmpl w:val="A9385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147BE9"/>
    <w:multiLevelType w:val="hybridMultilevel"/>
    <w:tmpl w:val="5A748392"/>
    <w:lvl w:ilvl="0" w:tplc="E1B800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7D51D0"/>
    <w:multiLevelType w:val="hybridMultilevel"/>
    <w:tmpl w:val="A044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76AD6"/>
    <w:multiLevelType w:val="hybridMultilevel"/>
    <w:tmpl w:val="7C6E22F8"/>
    <w:lvl w:ilvl="0" w:tplc="0B982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50720"/>
    <w:multiLevelType w:val="hybridMultilevel"/>
    <w:tmpl w:val="1E44830A"/>
    <w:lvl w:ilvl="0" w:tplc="0B982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D4947"/>
    <w:multiLevelType w:val="hybridMultilevel"/>
    <w:tmpl w:val="C7B0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850F0"/>
    <w:multiLevelType w:val="hybridMultilevel"/>
    <w:tmpl w:val="1180AC56"/>
    <w:lvl w:ilvl="0" w:tplc="0B982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81E9C"/>
    <w:multiLevelType w:val="hybridMultilevel"/>
    <w:tmpl w:val="32F67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B01BD"/>
    <w:multiLevelType w:val="hybridMultilevel"/>
    <w:tmpl w:val="731EA1CA"/>
    <w:lvl w:ilvl="0" w:tplc="0B982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73C85"/>
    <w:multiLevelType w:val="hybridMultilevel"/>
    <w:tmpl w:val="0198A6B8"/>
    <w:lvl w:ilvl="0" w:tplc="447A7C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DC469A"/>
    <w:multiLevelType w:val="hybridMultilevel"/>
    <w:tmpl w:val="FCECB50E"/>
    <w:lvl w:ilvl="0" w:tplc="301E61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3C2770"/>
    <w:multiLevelType w:val="hybridMultilevel"/>
    <w:tmpl w:val="3DD815A6"/>
    <w:lvl w:ilvl="0" w:tplc="0B982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A0D29"/>
    <w:multiLevelType w:val="hybridMultilevel"/>
    <w:tmpl w:val="FB9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F42F6"/>
    <w:multiLevelType w:val="hybridMultilevel"/>
    <w:tmpl w:val="6E784C3C"/>
    <w:lvl w:ilvl="0" w:tplc="FC087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796B16"/>
    <w:multiLevelType w:val="hybridMultilevel"/>
    <w:tmpl w:val="E4BA6BE0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810C0"/>
    <w:multiLevelType w:val="hybridMultilevel"/>
    <w:tmpl w:val="A37E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E6516"/>
    <w:multiLevelType w:val="hybridMultilevel"/>
    <w:tmpl w:val="90406ABA"/>
    <w:lvl w:ilvl="0" w:tplc="8F6A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A7A60"/>
    <w:multiLevelType w:val="hybridMultilevel"/>
    <w:tmpl w:val="F70E9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23B92"/>
    <w:multiLevelType w:val="hybridMultilevel"/>
    <w:tmpl w:val="D0F8468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F16A9B"/>
    <w:multiLevelType w:val="hybridMultilevel"/>
    <w:tmpl w:val="A46C50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535E4"/>
    <w:multiLevelType w:val="hybridMultilevel"/>
    <w:tmpl w:val="3CD2CE82"/>
    <w:lvl w:ilvl="0" w:tplc="5E3CB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57200"/>
    <w:multiLevelType w:val="hybridMultilevel"/>
    <w:tmpl w:val="84DC8D64"/>
    <w:lvl w:ilvl="0" w:tplc="5E3CB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2022C"/>
    <w:multiLevelType w:val="hybridMultilevel"/>
    <w:tmpl w:val="00306946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7"/>
  </w:num>
  <w:num w:numId="4">
    <w:abstractNumId w:val="25"/>
  </w:num>
  <w:num w:numId="5">
    <w:abstractNumId w:val="5"/>
  </w:num>
  <w:num w:numId="6">
    <w:abstractNumId w:val="29"/>
  </w:num>
  <w:num w:numId="7">
    <w:abstractNumId w:val="19"/>
  </w:num>
  <w:num w:numId="8">
    <w:abstractNumId w:val="3"/>
  </w:num>
  <w:num w:numId="9">
    <w:abstractNumId w:val="22"/>
  </w:num>
  <w:num w:numId="10">
    <w:abstractNumId w:val="13"/>
  </w:num>
  <w:num w:numId="11">
    <w:abstractNumId w:val="10"/>
  </w:num>
  <w:num w:numId="12">
    <w:abstractNumId w:val="14"/>
  </w:num>
  <w:num w:numId="13">
    <w:abstractNumId w:val="9"/>
  </w:num>
  <w:num w:numId="14">
    <w:abstractNumId w:val="21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27"/>
  </w:num>
  <w:num w:numId="20">
    <w:abstractNumId w:val="15"/>
  </w:num>
  <w:num w:numId="21">
    <w:abstractNumId w:val="17"/>
  </w:num>
  <w:num w:numId="22">
    <w:abstractNumId w:val="8"/>
  </w:num>
  <w:num w:numId="23">
    <w:abstractNumId w:val="12"/>
  </w:num>
  <w:num w:numId="24">
    <w:abstractNumId w:val="18"/>
  </w:num>
  <w:num w:numId="25">
    <w:abstractNumId w:val="20"/>
  </w:num>
  <w:num w:numId="26">
    <w:abstractNumId w:val="28"/>
  </w:num>
  <w:num w:numId="27">
    <w:abstractNumId w:val="11"/>
  </w:num>
  <w:num w:numId="28">
    <w:abstractNumId w:val="16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1068C"/>
    <w:rsid w:val="00013495"/>
    <w:rsid w:val="00030B13"/>
    <w:rsid w:val="00051974"/>
    <w:rsid w:val="00082707"/>
    <w:rsid w:val="000E20BF"/>
    <w:rsid w:val="000E3A82"/>
    <w:rsid w:val="001170AB"/>
    <w:rsid w:val="00131FD1"/>
    <w:rsid w:val="00186948"/>
    <w:rsid w:val="00186EAD"/>
    <w:rsid w:val="00187DB7"/>
    <w:rsid w:val="001A4D2C"/>
    <w:rsid w:val="001C184F"/>
    <w:rsid w:val="001F5BC1"/>
    <w:rsid w:val="002122FC"/>
    <w:rsid w:val="00234AAF"/>
    <w:rsid w:val="002638D5"/>
    <w:rsid w:val="00280511"/>
    <w:rsid w:val="002A388B"/>
    <w:rsid w:val="002D1714"/>
    <w:rsid w:val="002F0F95"/>
    <w:rsid w:val="002F3581"/>
    <w:rsid w:val="003276E5"/>
    <w:rsid w:val="00343BFD"/>
    <w:rsid w:val="00364074"/>
    <w:rsid w:val="003A2E65"/>
    <w:rsid w:val="0041642F"/>
    <w:rsid w:val="004A342E"/>
    <w:rsid w:val="004C6BD2"/>
    <w:rsid w:val="004D4C48"/>
    <w:rsid w:val="00510ABF"/>
    <w:rsid w:val="005509D1"/>
    <w:rsid w:val="005B3C0F"/>
    <w:rsid w:val="005C6D26"/>
    <w:rsid w:val="0060254C"/>
    <w:rsid w:val="006129C0"/>
    <w:rsid w:val="0065064B"/>
    <w:rsid w:val="00652A6B"/>
    <w:rsid w:val="006704B3"/>
    <w:rsid w:val="006E2813"/>
    <w:rsid w:val="007016D5"/>
    <w:rsid w:val="0072207D"/>
    <w:rsid w:val="00791DC4"/>
    <w:rsid w:val="007B39F0"/>
    <w:rsid w:val="0080769B"/>
    <w:rsid w:val="008348C5"/>
    <w:rsid w:val="00911AB1"/>
    <w:rsid w:val="00915A48"/>
    <w:rsid w:val="00915FF5"/>
    <w:rsid w:val="0097720C"/>
    <w:rsid w:val="00A04056"/>
    <w:rsid w:val="00A049AC"/>
    <w:rsid w:val="00A22E39"/>
    <w:rsid w:val="00A46DFA"/>
    <w:rsid w:val="00A5793C"/>
    <w:rsid w:val="00AD30C6"/>
    <w:rsid w:val="00B21B67"/>
    <w:rsid w:val="00B508FE"/>
    <w:rsid w:val="00B66333"/>
    <w:rsid w:val="00B73E56"/>
    <w:rsid w:val="00B86F33"/>
    <w:rsid w:val="00BA7CBF"/>
    <w:rsid w:val="00BD1547"/>
    <w:rsid w:val="00BD7BA7"/>
    <w:rsid w:val="00C071A7"/>
    <w:rsid w:val="00CB3ADB"/>
    <w:rsid w:val="00D10D1A"/>
    <w:rsid w:val="00D74EC4"/>
    <w:rsid w:val="00DA20FF"/>
    <w:rsid w:val="00DD28B7"/>
    <w:rsid w:val="00E466EF"/>
    <w:rsid w:val="00EC6285"/>
    <w:rsid w:val="00EE7CE2"/>
    <w:rsid w:val="00F33383"/>
    <w:rsid w:val="00F5217C"/>
    <w:rsid w:val="00F5403F"/>
    <w:rsid w:val="00FB3E34"/>
    <w:rsid w:val="00FB777E"/>
    <w:rsid w:val="00F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A04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link w:val="KeinLeerraumZchn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F333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33383"/>
    <w:rPr>
      <w:rFonts w:ascii="Calibri" w:eastAsia="Calibri" w:hAnsi="Calibri" w:cs="Calibri"/>
      <w:color w:val="000000"/>
      <w:sz w:val="24"/>
    </w:rPr>
  </w:style>
  <w:style w:type="paragraph" w:customStyle="1" w:styleId="ListParagraph1">
    <w:name w:val="List Paragraph1"/>
    <w:basedOn w:val="Standard"/>
    <w:rsid w:val="002122FC"/>
    <w:pPr>
      <w:spacing w:after="200" w:line="276" w:lineRule="auto"/>
      <w:ind w:left="720" w:firstLine="0"/>
    </w:pPr>
    <w:rPr>
      <w:color w:val="auto"/>
      <w:sz w:val="22"/>
      <w:lang w:val="sq-AL"/>
    </w:rPr>
  </w:style>
  <w:style w:type="character" w:customStyle="1" w:styleId="hps">
    <w:name w:val="hps"/>
    <w:basedOn w:val="Absatz-Standardschriftart"/>
    <w:rsid w:val="002122FC"/>
    <w:rPr>
      <w:rFonts w:cs="Times New Roman"/>
    </w:rPr>
  </w:style>
  <w:style w:type="paragraph" w:styleId="Textkrper">
    <w:name w:val="Body Text"/>
    <w:basedOn w:val="Standard"/>
    <w:link w:val="TextkrperZchn"/>
    <w:rsid w:val="00234AAF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TextkrperZchn">
    <w:name w:val="Textkörper Zchn"/>
    <w:basedOn w:val="Absatz-Standardschriftart"/>
    <w:link w:val="Textkrper"/>
    <w:rsid w:val="00234AAF"/>
    <w:rPr>
      <w:rFonts w:ascii="Times New Roman" w:eastAsia="MS Mincho" w:hAnsi="Times New Roman" w:cs="Times New Roman"/>
      <w:sz w:val="24"/>
      <w:szCs w:val="20"/>
      <w:lang w:val="sq-AL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einLeerraumZchn">
    <w:name w:val="Kein Leerraum Zchn"/>
    <w:basedOn w:val="Absatz-Standardschriftart"/>
    <w:link w:val="KeinLeerraum"/>
    <w:locked/>
    <w:rsid w:val="007016D5"/>
    <w:rPr>
      <w:rFonts w:ascii="Calibri" w:eastAsia="Calibri" w:hAnsi="Calibri" w:cs="Calibri"/>
      <w:color w:val="000000"/>
      <w:sz w:val="24"/>
    </w:rPr>
  </w:style>
  <w:style w:type="paragraph" w:customStyle="1" w:styleId="NoSpacing1">
    <w:name w:val="No Spacing1"/>
    <w:rsid w:val="0070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rsid w:val="007016D5"/>
    <w:rPr>
      <w:color w:val="0000FF"/>
      <w:u w:val="single"/>
    </w:rPr>
  </w:style>
  <w:style w:type="paragraph" w:customStyle="1" w:styleId="Listenabsatz1">
    <w:name w:val="Listenabsatz1"/>
    <w:basedOn w:val="Standard"/>
    <w:qFormat/>
    <w:rsid w:val="00BA7CBF"/>
    <w:pPr>
      <w:spacing w:after="200" w:line="276" w:lineRule="auto"/>
      <w:ind w:left="720" w:firstLine="0"/>
    </w:pPr>
    <w:rPr>
      <w:color w:val="auto"/>
      <w:sz w:val="22"/>
      <w:lang w:val="sq-AL"/>
    </w:rPr>
  </w:style>
  <w:style w:type="paragraph" w:customStyle="1" w:styleId="TabellenText">
    <w:name w:val="Tabellen Text"/>
    <w:basedOn w:val="Standard"/>
    <w:autoRedefine/>
    <w:uiPriority w:val="99"/>
    <w:rsid w:val="00BA7CBF"/>
    <w:pPr>
      <w:framePr w:hSpace="180" w:wrap="around" w:vAnchor="text" w:hAnchor="margin" w:y="4"/>
      <w:overflowPunct w:val="0"/>
      <w:autoSpaceDE w:val="0"/>
      <w:autoSpaceDN w:val="0"/>
      <w:adjustRightInd w:val="0"/>
      <w:spacing w:after="60" w:line="240" w:lineRule="auto"/>
      <w:ind w:left="360" w:hanging="360"/>
      <w:textAlignment w:val="baseline"/>
    </w:pPr>
    <w:rPr>
      <w:i/>
      <w:sz w:val="22"/>
      <w:lang w:val="de-DE" w:eastAsia="de-DE"/>
    </w:rPr>
  </w:style>
  <w:style w:type="character" w:customStyle="1" w:styleId="stil9">
    <w:name w:val="stil9"/>
    <w:rsid w:val="00EE7CE2"/>
  </w:style>
  <w:style w:type="character" w:customStyle="1" w:styleId="lrg">
    <w:name w:val="lrg"/>
    <w:rsid w:val="00EE7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A04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link w:val="KeinLeerraumZchn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F333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33383"/>
    <w:rPr>
      <w:rFonts w:ascii="Calibri" w:eastAsia="Calibri" w:hAnsi="Calibri" w:cs="Calibri"/>
      <w:color w:val="000000"/>
      <w:sz w:val="24"/>
    </w:rPr>
  </w:style>
  <w:style w:type="paragraph" w:customStyle="1" w:styleId="ListParagraph1">
    <w:name w:val="List Paragraph1"/>
    <w:basedOn w:val="Standard"/>
    <w:rsid w:val="002122FC"/>
    <w:pPr>
      <w:spacing w:after="200" w:line="276" w:lineRule="auto"/>
      <w:ind w:left="720" w:firstLine="0"/>
    </w:pPr>
    <w:rPr>
      <w:color w:val="auto"/>
      <w:sz w:val="22"/>
      <w:lang w:val="sq-AL"/>
    </w:rPr>
  </w:style>
  <w:style w:type="character" w:customStyle="1" w:styleId="hps">
    <w:name w:val="hps"/>
    <w:basedOn w:val="Absatz-Standardschriftart"/>
    <w:rsid w:val="002122FC"/>
    <w:rPr>
      <w:rFonts w:cs="Times New Roman"/>
    </w:rPr>
  </w:style>
  <w:style w:type="paragraph" w:styleId="Textkrper">
    <w:name w:val="Body Text"/>
    <w:basedOn w:val="Standard"/>
    <w:link w:val="TextkrperZchn"/>
    <w:rsid w:val="00234AAF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TextkrperZchn">
    <w:name w:val="Textkörper Zchn"/>
    <w:basedOn w:val="Absatz-Standardschriftart"/>
    <w:link w:val="Textkrper"/>
    <w:rsid w:val="00234AAF"/>
    <w:rPr>
      <w:rFonts w:ascii="Times New Roman" w:eastAsia="MS Mincho" w:hAnsi="Times New Roman" w:cs="Times New Roman"/>
      <w:sz w:val="24"/>
      <w:szCs w:val="20"/>
      <w:lang w:val="sq-AL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einLeerraumZchn">
    <w:name w:val="Kein Leerraum Zchn"/>
    <w:basedOn w:val="Absatz-Standardschriftart"/>
    <w:link w:val="KeinLeerraum"/>
    <w:locked/>
    <w:rsid w:val="007016D5"/>
    <w:rPr>
      <w:rFonts w:ascii="Calibri" w:eastAsia="Calibri" w:hAnsi="Calibri" w:cs="Calibri"/>
      <w:color w:val="000000"/>
      <w:sz w:val="24"/>
    </w:rPr>
  </w:style>
  <w:style w:type="paragraph" w:customStyle="1" w:styleId="NoSpacing1">
    <w:name w:val="No Spacing1"/>
    <w:rsid w:val="0070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rsid w:val="007016D5"/>
    <w:rPr>
      <w:color w:val="0000FF"/>
      <w:u w:val="single"/>
    </w:rPr>
  </w:style>
  <w:style w:type="paragraph" w:customStyle="1" w:styleId="Listenabsatz1">
    <w:name w:val="Listenabsatz1"/>
    <w:basedOn w:val="Standard"/>
    <w:qFormat/>
    <w:rsid w:val="00BA7CBF"/>
    <w:pPr>
      <w:spacing w:after="200" w:line="276" w:lineRule="auto"/>
      <w:ind w:left="720" w:firstLine="0"/>
    </w:pPr>
    <w:rPr>
      <w:color w:val="auto"/>
      <w:sz w:val="22"/>
      <w:lang w:val="sq-AL"/>
    </w:rPr>
  </w:style>
  <w:style w:type="paragraph" w:customStyle="1" w:styleId="TabellenText">
    <w:name w:val="Tabellen Text"/>
    <w:basedOn w:val="Standard"/>
    <w:autoRedefine/>
    <w:uiPriority w:val="99"/>
    <w:rsid w:val="00BA7CBF"/>
    <w:pPr>
      <w:framePr w:hSpace="180" w:wrap="around" w:vAnchor="text" w:hAnchor="margin" w:y="4"/>
      <w:overflowPunct w:val="0"/>
      <w:autoSpaceDE w:val="0"/>
      <w:autoSpaceDN w:val="0"/>
      <w:adjustRightInd w:val="0"/>
      <w:spacing w:after="60" w:line="240" w:lineRule="auto"/>
      <w:ind w:left="360" w:hanging="360"/>
      <w:textAlignment w:val="baseline"/>
    </w:pPr>
    <w:rPr>
      <w:i/>
      <w:sz w:val="22"/>
      <w:lang w:val="de-DE" w:eastAsia="de-DE"/>
    </w:rPr>
  </w:style>
  <w:style w:type="character" w:customStyle="1" w:styleId="stil9">
    <w:name w:val="stil9"/>
    <w:rsid w:val="00EE7CE2"/>
  </w:style>
  <w:style w:type="character" w:customStyle="1" w:styleId="lrg">
    <w:name w:val="lrg"/>
    <w:rsid w:val="00E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ta.abr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Valon Abrashi</dc:creator>
  <cp:lastModifiedBy>K</cp:lastModifiedBy>
  <cp:revision>4</cp:revision>
  <dcterms:created xsi:type="dcterms:W3CDTF">2020-05-05T20:18:00Z</dcterms:created>
  <dcterms:modified xsi:type="dcterms:W3CDTF">2025-03-04T20:21:00Z</dcterms:modified>
</cp:coreProperties>
</file>