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63B94" w14:textId="57C2A595" w:rsidR="00606844" w:rsidRDefault="005D7B83">
      <w:r>
        <w:t>SYLLABUS</w:t>
      </w:r>
      <w:r w:rsidR="00C74E10">
        <w:t>I</w:t>
      </w:r>
      <w:r>
        <w:t xml:space="preserve"> </w:t>
      </w:r>
      <w:r w:rsidR="00C74E10">
        <w:t>i</w:t>
      </w:r>
      <w:r w:rsidR="00285CC2">
        <w:t xml:space="preserve"> </w:t>
      </w:r>
      <w:r w:rsidR="00C74E10">
        <w:t>l</w:t>
      </w:r>
      <w:r>
        <w:t>ëndës</w:t>
      </w:r>
      <w:r>
        <w:rPr>
          <w:u w:val="none"/>
        </w:rPr>
        <w:t xml:space="preserve"> </w:t>
      </w:r>
      <w:r>
        <w:rPr>
          <w:sz w:val="28"/>
          <w:u w:val="none"/>
        </w:rPr>
        <w:t xml:space="preserve"> </w:t>
      </w:r>
    </w:p>
    <w:p w14:paraId="50985064" w14:textId="77777777" w:rsidR="00606844" w:rsidRDefault="005D7B83">
      <w:r>
        <w:rPr>
          <w:b w:val="0"/>
          <w:sz w:val="24"/>
          <w:u w:val="none"/>
        </w:rPr>
        <w:t xml:space="preserve"> </w:t>
      </w:r>
    </w:p>
    <w:tbl>
      <w:tblPr>
        <w:tblStyle w:val="TableGrid"/>
        <w:tblW w:w="8855" w:type="dxa"/>
        <w:tblInd w:w="-107" w:type="dxa"/>
        <w:tblCellMar>
          <w:top w:w="45" w:type="dxa"/>
          <w:left w:w="0" w:type="dxa"/>
          <w:bottom w:w="0" w:type="dxa"/>
          <w:right w:w="57" w:type="dxa"/>
        </w:tblCellMar>
        <w:tblLook w:val="04A0" w:firstRow="1" w:lastRow="0" w:firstColumn="1" w:lastColumn="0" w:noHBand="0" w:noVBand="1"/>
      </w:tblPr>
      <w:tblGrid>
        <w:gridCol w:w="3616"/>
        <w:gridCol w:w="5239"/>
      </w:tblGrid>
      <w:tr w:rsidR="00606844" w14:paraId="01782757" w14:textId="77777777">
        <w:trPr>
          <w:trHeight w:val="300"/>
        </w:trPr>
        <w:tc>
          <w:tcPr>
            <w:tcW w:w="8855" w:type="dxa"/>
            <w:gridSpan w:val="2"/>
            <w:tcBorders>
              <w:top w:val="single" w:sz="4" w:space="0" w:color="000000"/>
              <w:left w:val="single" w:sz="4" w:space="0" w:color="000000"/>
              <w:bottom w:val="single" w:sz="4" w:space="0" w:color="000000"/>
              <w:right w:val="single" w:sz="4" w:space="0" w:color="000000"/>
            </w:tcBorders>
            <w:shd w:val="clear" w:color="auto" w:fill="B8CCE4"/>
          </w:tcPr>
          <w:p w14:paraId="7E50EBEF" w14:textId="77777777" w:rsidR="00606844" w:rsidRDefault="005D7B83">
            <w:pPr>
              <w:ind w:left="107"/>
            </w:pPr>
            <w:r>
              <w:rPr>
                <w:sz w:val="24"/>
                <w:u w:val="none"/>
              </w:rPr>
              <w:t xml:space="preserve">Të dhëna bazike të lëndës </w:t>
            </w:r>
          </w:p>
        </w:tc>
      </w:tr>
      <w:tr w:rsidR="00606844" w14:paraId="1C82C1A6"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7989DD4A" w14:textId="77777777" w:rsidR="00606844" w:rsidRDefault="005D7B83">
            <w:pPr>
              <w:ind w:left="107"/>
            </w:pPr>
            <w:r>
              <w:rPr>
                <w:sz w:val="24"/>
                <w:u w:val="none"/>
              </w:rPr>
              <w:t xml:space="preserve">Njësia akademike:  </w:t>
            </w:r>
          </w:p>
        </w:tc>
        <w:tc>
          <w:tcPr>
            <w:tcW w:w="5239" w:type="dxa"/>
            <w:tcBorders>
              <w:top w:val="single" w:sz="4" w:space="0" w:color="000000"/>
              <w:left w:val="single" w:sz="4" w:space="0" w:color="000000"/>
              <w:bottom w:val="single" w:sz="4" w:space="0" w:color="000000"/>
              <w:right w:val="single" w:sz="4" w:space="0" w:color="000000"/>
            </w:tcBorders>
          </w:tcPr>
          <w:p w14:paraId="38FB51ED" w14:textId="6790EB23" w:rsidR="00606844" w:rsidRPr="00285CC2" w:rsidRDefault="005D7B83" w:rsidP="00285CC2">
            <w:pPr>
              <w:spacing w:line="276" w:lineRule="auto"/>
              <w:ind w:left="108"/>
              <w:rPr>
                <w:sz w:val="24"/>
                <w:szCs w:val="24"/>
              </w:rPr>
            </w:pPr>
            <w:r w:rsidRPr="00285CC2">
              <w:rPr>
                <w:sz w:val="24"/>
                <w:szCs w:val="24"/>
                <w:u w:val="none"/>
              </w:rPr>
              <w:t>F</w:t>
            </w:r>
            <w:r w:rsidR="00285CC2" w:rsidRPr="00285CC2">
              <w:rPr>
                <w:sz w:val="24"/>
                <w:szCs w:val="24"/>
                <w:u w:val="none"/>
              </w:rPr>
              <w:t>SHMN</w:t>
            </w:r>
          </w:p>
        </w:tc>
      </w:tr>
      <w:tr w:rsidR="00606844" w14:paraId="7E1FD924"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5F4BBAE5" w14:textId="77777777" w:rsidR="00606844" w:rsidRDefault="005D7B83">
            <w:pPr>
              <w:ind w:left="107"/>
            </w:pPr>
            <w:r>
              <w:rPr>
                <w:sz w:val="24"/>
                <w:u w:val="none"/>
              </w:rPr>
              <w:t xml:space="preserve">Titulli i lëndës: </w:t>
            </w:r>
          </w:p>
        </w:tc>
        <w:tc>
          <w:tcPr>
            <w:tcW w:w="5239" w:type="dxa"/>
            <w:tcBorders>
              <w:top w:val="single" w:sz="4" w:space="0" w:color="000000"/>
              <w:left w:val="single" w:sz="4" w:space="0" w:color="000000"/>
              <w:bottom w:val="single" w:sz="4" w:space="0" w:color="000000"/>
              <w:right w:val="single" w:sz="4" w:space="0" w:color="000000"/>
            </w:tcBorders>
          </w:tcPr>
          <w:p w14:paraId="774DC8DE" w14:textId="77777777" w:rsidR="00606844" w:rsidRPr="00285CC2" w:rsidRDefault="005D7B83" w:rsidP="00285CC2">
            <w:pPr>
              <w:spacing w:line="276" w:lineRule="auto"/>
              <w:ind w:left="108"/>
              <w:rPr>
                <w:sz w:val="24"/>
                <w:szCs w:val="24"/>
              </w:rPr>
            </w:pPr>
            <w:r w:rsidRPr="00285CC2">
              <w:rPr>
                <w:sz w:val="24"/>
                <w:szCs w:val="24"/>
                <w:u w:val="none"/>
              </w:rPr>
              <w:t xml:space="preserve">Kontabiliteti </w:t>
            </w:r>
          </w:p>
        </w:tc>
      </w:tr>
      <w:tr w:rsidR="00606844" w14:paraId="4A21A667"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26DA3AE2" w14:textId="77777777" w:rsidR="00606844" w:rsidRDefault="005D7B83">
            <w:pPr>
              <w:ind w:left="107"/>
            </w:pPr>
            <w:r>
              <w:rPr>
                <w:sz w:val="24"/>
                <w:u w:val="none"/>
              </w:rPr>
              <w:t xml:space="preserve">Niveli: </w:t>
            </w:r>
          </w:p>
        </w:tc>
        <w:tc>
          <w:tcPr>
            <w:tcW w:w="5239" w:type="dxa"/>
            <w:tcBorders>
              <w:top w:val="single" w:sz="4" w:space="0" w:color="000000"/>
              <w:left w:val="single" w:sz="4" w:space="0" w:color="000000"/>
              <w:bottom w:val="single" w:sz="4" w:space="0" w:color="000000"/>
              <w:right w:val="single" w:sz="4" w:space="0" w:color="000000"/>
            </w:tcBorders>
          </w:tcPr>
          <w:p w14:paraId="1D11ACDF" w14:textId="77777777" w:rsidR="00606844" w:rsidRPr="00285CC2" w:rsidRDefault="005D7B83" w:rsidP="00285CC2">
            <w:pPr>
              <w:spacing w:line="276" w:lineRule="auto"/>
              <w:ind w:left="108"/>
              <w:rPr>
                <w:sz w:val="24"/>
                <w:szCs w:val="24"/>
              </w:rPr>
            </w:pPr>
            <w:r w:rsidRPr="00285CC2">
              <w:rPr>
                <w:sz w:val="24"/>
                <w:szCs w:val="24"/>
                <w:u w:val="none"/>
              </w:rPr>
              <w:t xml:space="preserve">BA </w:t>
            </w:r>
          </w:p>
        </w:tc>
      </w:tr>
      <w:tr w:rsidR="00606844" w14:paraId="46F3B848"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07F98A86" w14:textId="77777777" w:rsidR="00606844" w:rsidRDefault="005D7B83">
            <w:pPr>
              <w:ind w:left="107"/>
            </w:pPr>
            <w:r>
              <w:rPr>
                <w:sz w:val="24"/>
                <w:u w:val="none"/>
              </w:rPr>
              <w:t xml:space="preserve">Statusi lëndës: </w:t>
            </w:r>
          </w:p>
        </w:tc>
        <w:tc>
          <w:tcPr>
            <w:tcW w:w="5239" w:type="dxa"/>
            <w:tcBorders>
              <w:top w:val="single" w:sz="4" w:space="0" w:color="000000"/>
              <w:left w:val="single" w:sz="4" w:space="0" w:color="000000"/>
              <w:bottom w:val="single" w:sz="4" w:space="0" w:color="000000"/>
              <w:right w:val="single" w:sz="4" w:space="0" w:color="000000"/>
            </w:tcBorders>
          </w:tcPr>
          <w:p w14:paraId="0B43E6A3" w14:textId="3090FAFC" w:rsidR="00606844" w:rsidRPr="00285CC2" w:rsidRDefault="00285CC2" w:rsidP="00285CC2">
            <w:pPr>
              <w:spacing w:line="276" w:lineRule="auto"/>
              <w:ind w:left="108"/>
              <w:rPr>
                <w:sz w:val="24"/>
                <w:szCs w:val="24"/>
              </w:rPr>
            </w:pPr>
            <w:r w:rsidRPr="00285CC2">
              <w:rPr>
                <w:sz w:val="24"/>
                <w:szCs w:val="24"/>
                <w:u w:val="none"/>
              </w:rPr>
              <w:t>Zgjedhore</w:t>
            </w:r>
            <w:r w:rsidR="005D7B83" w:rsidRPr="00285CC2">
              <w:rPr>
                <w:sz w:val="24"/>
                <w:szCs w:val="24"/>
                <w:u w:val="none"/>
              </w:rPr>
              <w:t xml:space="preserve"> </w:t>
            </w:r>
          </w:p>
        </w:tc>
      </w:tr>
      <w:tr w:rsidR="00606844" w14:paraId="07750704"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0EF17D6C" w14:textId="77777777" w:rsidR="00606844" w:rsidRDefault="005D7B83">
            <w:pPr>
              <w:ind w:left="107"/>
            </w:pPr>
            <w:r>
              <w:rPr>
                <w:sz w:val="24"/>
                <w:u w:val="none"/>
              </w:rPr>
              <w:t xml:space="preserve">Viti i studimeve: </w:t>
            </w:r>
          </w:p>
        </w:tc>
        <w:tc>
          <w:tcPr>
            <w:tcW w:w="5239" w:type="dxa"/>
            <w:tcBorders>
              <w:top w:val="single" w:sz="4" w:space="0" w:color="000000"/>
              <w:left w:val="single" w:sz="4" w:space="0" w:color="000000"/>
              <w:bottom w:val="single" w:sz="4" w:space="0" w:color="000000"/>
              <w:right w:val="single" w:sz="4" w:space="0" w:color="000000"/>
            </w:tcBorders>
          </w:tcPr>
          <w:p w14:paraId="616554DA" w14:textId="4F31D6D7" w:rsidR="00606844" w:rsidRPr="00285CC2" w:rsidRDefault="005D7B83" w:rsidP="00285CC2">
            <w:pPr>
              <w:spacing w:line="276" w:lineRule="auto"/>
              <w:ind w:left="108"/>
              <w:rPr>
                <w:sz w:val="24"/>
                <w:szCs w:val="24"/>
              </w:rPr>
            </w:pPr>
            <w:r w:rsidRPr="00285CC2">
              <w:rPr>
                <w:sz w:val="24"/>
                <w:szCs w:val="24"/>
                <w:u w:val="none"/>
              </w:rPr>
              <w:t>20</w:t>
            </w:r>
            <w:r w:rsidR="00285CC2" w:rsidRPr="00285CC2">
              <w:rPr>
                <w:sz w:val="24"/>
                <w:szCs w:val="24"/>
                <w:u w:val="none"/>
              </w:rPr>
              <w:t>20</w:t>
            </w:r>
            <w:r w:rsidRPr="00285CC2">
              <w:rPr>
                <w:sz w:val="24"/>
                <w:szCs w:val="24"/>
                <w:u w:val="none"/>
              </w:rPr>
              <w:t>/</w:t>
            </w:r>
            <w:r w:rsidR="00285CC2" w:rsidRPr="00285CC2">
              <w:rPr>
                <w:sz w:val="24"/>
                <w:szCs w:val="24"/>
                <w:u w:val="none"/>
              </w:rPr>
              <w:t>21</w:t>
            </w:r>
            <w:r w:rsidRPr="00285CC2">
              <w:rPr>
                <w:sz w:val="24"/>
                <w:szCs w:val="24"/>
                <w:u w:val="none"/>
              </w:rPr>
              <w:t xml:space="preserve"> </w:t>
            </w:r>
          </w:p>
        </w:tc>
      </w:tr>
      <w:tr w:rsidR="00606844" w14:paraId="6FE3FB4C"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2F9AD36F" w14:textId="77777777" w:rsidR="00606844" w:rsidRDefault="005D7B83">
            <w:pPr>
              <w:ind w:left="107"/>
            </w:pPr>
            <w:r>
              <w:rPr>
                <w:sz w:val="24"/>
                <w:u w:val="none"/>
              </w:rPr>
              <w:t xml:space="preserve">Numri i orëve në javë: </w:t>
            </w:r>
          </w:p>
        </w:tc>
        <w:tc>
          <w:tcPr>
            <w:tcW w:w="5239" w:type="dxa"/>
            <w:tcBorders>
              <w:top w:val="single" w:sz="4" w:space="0" w:color="000000"/>
              <w:left w:val="single" w:sz="4" w:space="0" w:color="000000"/>
              <w:bottom w:val="single" w:sz="4" w:space="0" w:color="000000"/>
              <w:right w:val="single" w:sz="4" w:space="0" w:color="000000"/>
            </w:tcBorders>
          </w:tcPr>
          <w:p w14:paraId="61AE1EE4" w14:textId="4E0FEA44" w:rsidR="00606844" w:rsidRPr="00285CC2" w:rsidRDefault="00285CC2" w:rsidP="00285CC2">
            <w:pPr>
              <w:spacing w:line="276" w:lineRule="auto"/>
              <w:ind w:left="108"/>
              <w:rPr>
                <w:sz w:val="24"/>
                <w:szCs w:val="24"/>
              </w:rPr>
            </w:pPr>
            <w:r w:rsidRPr="00285CC2">
              <w:rPr>
                <w:sz w:val="24"/>
                <w:szCs w:val="24"/>
                <w:u w:val="none"/>
              </w:rPr>
              <w:t>1</w:t>
            </w:r>
            <w:r w:rsidR="005D7B83" w:rsidRPr="00285CC2">
              <w:rPr>
                <w:sz w:val="24"/>
                <w:szCs w:val="24"/>
                <w:u w:val="none"/>
              </w:rPr>
              <w:t xml:space="preserve">+2 </w:t>
            </w:r>
          </w:p>
        </w:tc>
      </w:tr>
      <w:tr w:rsidR="00606844" w14:paraId="6014F5F4"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182C9716" w14:textId="77777777" w:rsidR="00606844" w:rsidRDefault="005D7B83">
            <w:pPr>
              <w:ind w:left="107"/>
            </w:pPr>
            <w:r>
              <w:rPr>
                <w:sz w:val="24"/>
                <w:u w:val="none"/>
              </w:rPr>
              <w:t xml:space="preserve">Vlera në kredi – ECTS: </w:t>
            </w:r>
          </w:p>
        </w:tc>
        <w:tc>
          <w:tcPr>
            <w:tcW w:w="5239" w:type="dxa"/>
            <w:tcBorders>
              <w:top w:val="single" w:sz="4" w:space="0" w:color="000000"/>
              <w:left w:val="single" w:sz="4" w:space="0" w:color="000000"/>
              <w:bottom w:val="single" w:sz="4" w:space="0" w:color="000000"/>
              <w:right w:val="single" w:sz="4" w:space="0" w:color="000000"/>
            </w:tcBorders>
          </w:tcPr>
          <w:p w14:paraId="01ACDFDE" w14:textId="007348B2" w:rsidR="00606844" w:rsidRPr="00285CC2" w:rsidRDefault="00606844" w:rsidP="00285CC2">
            <w:pPr>
              <w:spacing w:line="276" w:lineRule="auto"/>
              <w:ind w:left="108"/>
              <w:rPr>
                <w:sz w:val="24"/>
                <w:szCs w:val="24"/>
              </w:rPr>
            </w:pPr>
          </w:p>
        </w:tc>
      </w:tr>
      <w:tr w:rsidR="00606844" w14:paraId="3607FD88"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1F2C753A" w14:textId="77777777" w:rsidR="00606844" w:rsidRDefault="005D7B83">
            <w:pPr>
              <w:ind w:left="107"/>
            </w:pPr>
            <w:r>
              <w:rPr>
                <w:sz w:val="24"/>
                <w:u w:val="none"/>
              </w:rPr>
              <w:t xml:space="preserve">Koha / lokacioni: </w:t>
            </w:r>
          </w:p>
        </w:tc>
        <w:tc>
          <w:tcPr>
            <w:tcW w:w="5239" w:type="dxa"/>
            <w:tcBorders>
              <w:top w:val="single" w:sz="4" w:space="0" w:color="000000"/>
              <w:left w:val="single" w:sz="4" w:space="0" w:color="000000"/>
              <w:bottom w:val="single" w:sz="4" w:space="0" w:color="000000"/>
              <w:right w:val="single" w:sz="4" w:space="0" w:color="000000"/>
            </w:tcBorders>
          </w:tcPr>
          <w:p w14:paraId="0799E58D" w14:textId="077981DB" w:rsidR="00606844" w:rsidRPr="00285CC2" w:rsidRDefault="005D7B83" w:rsidP="00285CC2">
            <w:pPr>
              <w:spacing w:line="276" w:lineRule="auto"/>
              <w:ind w:left="108"/>
              <w:rPr>
                <w:sz w:val="24"/>
                <w:szCs w:val="24"/>
              </w:rPr>
            </w:pPr>
            <w:r w:rsidRPr="00285CC2">
              <w:rPr>
                <w:sz w:val="24"/>
                <w:szCs w:val="24"/>
                <w:u w:val="none"/>
              </w:rPr>
              <w:t xml:space="preserve">Semestri </w:t>
            </w:r>
            <w:r w:rsidR="00285CC2" w:rsidRPr="00285CC2">
              <w:rPr>
                <w:sz w:val="24"/>
                <w:szCs w:val="24"/>
                <w:u w:val="none"/>
              </w:rPr>
              <w:t>dimëror</w:t>
            </w:r>
            <w:r w:rsidRPr="00285CC2">
              <w:rPr>
                <w:sz w:val="24"/>
                <w:szCs w:val="24"/>
                <w:u w:val="none"/>
              </w:rPr>
              <w:t xml:space="preserve"> / Prishtinë </w:t>
            </w:r>
          </w:p>
        </w:tc>
      </w:tr>
      <w:tr w:rsidR="00606844" w14:paraId="5480516A"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6B9623CB" w14:textId="77777777" w:rsidR="00606844" w:rsidRDefault="005D7B83">
            <w:pPr>
              <w:ind w:left="107"/>
            </w:pPr>
            <w:r>
              <w:rPr>
                <w:sz w:val="24"/>
                <w:u w:val="none"/>
              </w:rPr>
              <w:t xml:space="preserve">Mësimëdhënësi i lëndës: </w:t>
            </w:r>
          </w:p>
        </w:tc>
        <w:tc>
          <w:tcPr>
            <w:tcW w:w="5239" w:type="dxa"/>
            <w:tcBorders>
              <w:top w:val="single" w:sz="4" w:space="0" w:color="000000"/>
              <w:left w:val="single" w:sz="4" w:space="0" w:color="000000"/>
              <w:bottom w:val="single" w:sz="4" w:space="0" w:color="000000"/>
              <w:right w:val="single" w:sz="4" w:space="0" w:color="000000"/>
            </w:tcBorders>
          </w:tcPr>
          <w:p w14:paraId="79E81755" w14:textId="0F76A575" w:rsidR="00606844" w:rsidRPr="00285CC2" w:rsidRDefault="005D7B83" w:rsidP="00285CC2">
            <w:pPr>
              <w:spacing w:line="276" w:lineRule="auto"/>
              <w:ind w:left="108"/>
              <w:rPr>
                <w:sz w:val="24"/>
                <w:szCs w:val="24"/>
              </w:rPr>
            </w:pPr>
            <w:r w:rsidRPr="00285CC2">
              <w:rPr>
                <w:sz w:val="24"/>
                <w:szCs w:val="24"/>
                <w:u w:val="none"/>
              </w:rPr>
              <w:t>Prof.</w:t>
            </w:r>
            <w:r w:rsidRPr="00285CC2">
              <w:rPr>
                <w:sz w:val="24"/>
                <w:szCs w:val="24"/>
                <w:u w:val="none"/>
              </w:rPr>
              <w:t xml:space="preserve"> dr. Skender Ahmeti, </w:t>
            </w:r>
          </w:p>
          <w:p w14:paraId="17AC9FEF" w14:textId="687579B2" w:rsidR="00606844" w:rsidRPr="00285CC2" w:rsidRDefault="005D7B83" w:rsidP="00285CC2">
            <w:pPr>
              <w:spacing w:line="276" w:lineRule="auto"/>
              <w:ind w:left="108"/>
              <w:rPr>
                <w:sz w:val="24"/>
                <w:szCs w:val="24"/>
              </w:rPr>
            </w:pPr>
            <w:r w:rsidRPr="00285CC2">
              <w:rPr>
                <w:sz w:val="24"/>
                <w:szCs w:val="24"/>
                <w:u w:val="none"/>
              </w:rPr>
              <w:t xml:space="preserve"> </w:t>
            </w:r>
          </w:p>
        </w:tc>
      </w:tr>
      <w:tr w:rsidR="00606844" w14:paraId="00B01261" w14:textId="77777777" w:rsidTr="000A6D87">
        <w:trPr>
          <w:trHeight w:val="57"/>
        </w:trPr>
        <w:tc>
          <w:tcPr>
            <w:tcW w:w="3616" w:type="dxa"/>
            <w:tcBorders>
              <w:top w:val="single" w:sz="4" w:space="0" w:color="000000"/>
              <w:left w:val="single" w:sz="4" w:space="0" w:color="000000"/>
              <w:bottom w:val="single" w:sz="4" w:space="0" w:color="000000"/>
              <w:right w:val="single" w:sz="4" w:space="0" w:color="000000"/>
            </w:tcBorders>
          </w:tcPr>
          <w:p w14:paraId="59C0352F" w14:textId="77777777" w:rsidR="00606844" w:rsidRDefault="005D7B83">
            <w:pPr>
              <w:ind w:left="107"/>
            </w:pPr>
            <w:r>
              <w:rPr>
                <w:sz w:val="24"/>
                <w:u w:val="none"/>
              </w:rPr>
              <w:t xml:space="preserve">Detajet kontaktuese:  </w:t>
            </w:r>
          </w:p>
        </w:tc>
        <w:tc>
          <w:tcPr>
            <w:tcW w:w="5239" w:type="dxa"/>
            <w:tcBorders>
              <w:top w:val="single" w:sz="4" w:space="0" w:color="000000"/>
              <w:left w:val="single" w:sz="4" w:space="0" w:color="000000"/>
              <w:bottom w:val="single" w:sz="4" w:space="0" w:color="000000"/>
              <w:right w:val="single" w:sz="4" w:space="0" w:color="000000"/>
            </w:tcBorders>
          </w:tcPr>
          <w:p w14:paraId="3DC53892" w14:textId="77777777" w:rsidR="00606844" w:rsidRPr="00285CC2" w:rsidRDefault="005D7B83" w:rsidP="00285CC2">
            <w:pPr>
              <w:spacing w:line="276" w:lineRule="auto"/>
              <w:ind w:left="108"/>
              <w:rPr>
                <w:sz w:val="24"/>
                <w:szCs w:val="24"/>
              </w:rPr>
            </w:pPr>
            <w:r w:rsidRPr="00285CC2">
              <w:rPr>
                <w:sz w:val="24"/>
                <w:szCs w:val="24"/>
                <w:u w:val="none"/>
              </w:rPr>
              <w:t xml:space="preserve">Të gjitha kontaktet me profesorë dhe asistentë studentët mund t’i kenë edhe përmes e-mailit zyrtar:  </w:t>
            </w:r>
          </w:p>
          <w:p w14:paraId="5218137A" w14:textId="77777777" w:rsidR="00606844" w:rsidRPr="00285CC2" w:rsidRDefault="005D7B83" w:rsidP="00285CC2">
            <w:pPr>
              <w:spacing w:line="276" w:lineRule="auto"/>
              <w:ind w:left="108"/>
              <w:rPr>
                <w:sz w:val="24"/>
                <w:szCs w:val="24"/>
              </w:rPr>
            </w:pPr>
            <w:r w:rsidRPr="00285CC2">
              <w:rPr>
                <w:color w:val="FF0000"/>
                <w:sz w:val="24"/>
                <w:szCs w:val="24"/>
                <w:u w:color="FF0000"/>
              </w:rPr>
              <w:t>emri.mbiemri@uni-pr.edu</w:t>
            </w:r>
            <w:r w:rsidRPr="00285CC2">
              <w:rPr>
                <w:color w:val="FF0000"/>
                <w:sz w:val="24"/>
                <w:szCs w:val="24"/>
                <w:u w:val="none"/>
              </w:rPr>
              <w:t xml:space="preserve"> </w:t>
            </w:r>
          </w:p>
        </w:tc>
      </w:tr>
      <w:tr w:rsidR="00606844" w14:paraId="753AE39D" w14:textId="77777777">
        <w:trPr>
          <w:trHeight w:val="301"/>
        </w:trPr>
        <w:tc>
          <w:tcPr>
            <w:tcW w:w="8855" w:type="dxa"/>
            <w:gridSpan w:val="2"/>
            <w:tcBorders>
              <w:top w:val="single" w:sz="4" w:space="0" w:color="000000"/>
              <w:left w:val="single" w:sz="4" w:space="0" w:color="000000"/>
              <w:bottom w:val="single" w:sz="4" w:space="0" w:color="000000"/>
              <w:right w:val="single" w:sz="4" w:space="0" w:color="000000"/>
            </w:tcBorders>
            <w:shd w:val="clear" w:color="auto" w:fill="B8CCE4"/>
          </w:tcPr>
          <w:p w14:paraId="7DBDCBA8" w14:textId="77777777" w:rsidR="00606844" w:rsidRDefault="005D7B83">
            <w:pPr>
              <w:ind w:left="107"/>
            </w:pPr>
            <w:r>
              <w:rPr>
                <w:b w:val="0"/>
                <w:sz w:val="24"/>
                <w:u w:val="none"/>
              </w:rPr>
              <w:t xml:space="preserve"> </w:t>
            </w:r>
          </w:p>
        </w:tc>
      </w:tr>
      <w:tr w:rsidR="00606844" w14:paraId="25F74B65" w14:textId="77777777">
        <w:trPr>
          <w:trHeight w:val="4049"/>
        </w:trPr>
        <w:tc>
          <w:tcPr>
            <w:tcW w:w="3616" w:type="dxa"/>
            <w:tcBorders>
              <w:top w:val="single" w:sz="4" w:space="0" w:color="000000"/>
              <w:left w:val="single" w:sz="4" w:space="0" w:color="000000"/>
              <w:bottom w:val="single" w:sz="4" w:space="0" w:color="000000"/>
              <w:right w:val="single" w:sz="4" w:space="0" w:color="000000"/>
            </w:tcBorders>
            <w:vAlign w:val="center"/>
          </w:tcPr>
          <w:p w14:paraId="6F3B05E1" w14:textId="77777777" w:rsidR="00606844" w:rsidRDefault="005D7B83">
            <w:pPr>
              <w:ind w:left="107"/>
            </w:pPr>
            <w:r>
              <w:rPr>
                <w:sz w:val="24"/>
                <w:u w:val="none"/>
              </w:rPr>
              <w:t xml:space="preserve">Përshkrimi i lëndës </w:t>
            </w:r>
          </w:p>
        </w:tc>
        <w:tc>
          <w:tcPr>
            <w:tcW w:w="5239" w:type="dxa"/>
            <w:tcBorders>
              <w:top w:val="single" w:sz="4" w:space="0" w:color="000000"/>
              <w:left w:val="single" w:sz="4" w:space="0" w:color="000000"/>
              <w:bottom w:val="single" w:sz="4" w:space="0" w:color="000000"/>
              <w:right w:val="single" w:sz="4" w:space="0" w:color="000000"/>
            </w:tcBorders>
          </w:tcPr>
          <w:p w14:paraId="465D6EB7" w14:textId="77777777" w:rsidR="00606844" w:rsidRDefault="005D7B83">
            <w:pPr>
              <w:spacing w:after="46" w:line="239" w:lineRule="auto"/>
              <w:ind w:left="108"/>
              <w:jc w:val="both"/>
            </w:pPr>
            <w:r>
              <w:rPr>
                <w:b w:val="0"/>
                <w:i/>
                <w:sz w:val="22"/>
                <w:u w:val="none"/>
              </w:rPr>
              <w:t xml:space="preserve">Kontabiliteti shtjellon,  si në aspektin teorik ashtu edhe në atë praktik:  </w:t>
            </w:r>
          </w:p>
          <w:p w14:paraId="096D4491" w14:textId="77777777" w:rsidR="00606844" w:rsidRDefault="005D7B83">
            <w:pPr>
              <w:numPr>
                <w:ilvl w:val="0"/>
                <w:numId w:val="1"/>
              </w:numPr>
              <w:spacing w:after="48" w:line="238" w:lineRule="auto"/>
              <w:ind w:hanging="252"/>
            </w:pPr>
            <w:r>
              <w:rPr>
                <w:b w:val="0"/>
                <w:i/>
                <w:sz w:val="22"/>
                <w:u w:val="none"/>
              </w:rPr>
              <w:t xml:space="preserve">njohuritë e përgjithshme mbi sistemin e kontabilitetit dhe procedurave për krijimin e informcionit kontabël, </w:t>
            </w:r>
          </w:p>
          <w:p w14:paraId="3FEC193C" w14:textId="77777777" w:rsidR="00606844" w:rsidRDefault="005D7B83">
            <w:pPr>
              <w:numPr>
                <w:ilvl w:val="0"/>
                <w:numId w:val="1"/>
              </w:numPr>
              <w:ind w:hanging="252"/>
            </w:pPr>
            <w:r>
              <w:rPr>
                <w:b w:val="0"/>
                <w:i/>
                <w:sz w:val="22"/>
                <w:u w:val="none"/>
              </w:rPr>
              <w:t xml:space="preserve">format e regjistrimit të transaksioneve,  </w:t>
            </w:r>
          </w:p>
          <w:p w14:paraId="5F90F33A" w14:textId="77777777" w:rsidR="00606844" w:rsidRDefault="005D7B83">
            <w:pPr>
              <w:numPr>
                <w:ilvl w:val="0"/>
                <w:numId w:val="1"/>
              </w:numPr>
              <w:ind w:hanging="252"/>
            </w:pPr>
            <w:r>
              <w:rPr>
                <w:b w:val="0"/>
                <w:i/>
                <w:sz w:val="22"/>
                <w:u w:val="none"/>
              </w:rPr>
              <w:t xml:space="preserve">aplikimin e kontabilitetit të dyfishtë,  </w:t>
            </w:r>
          </w:p>
          <w:p w14:paraId="56CFEF81" w14:textId="77777777" w:rsidR="00606844" w:rsidRDefault="005D7B83">
            <w:pPr>
              <w:numPr>
                <w:ilvl w:val="0"/>
                <w:numId w:val="1"/>
              </w:numPr>
              <w:spacing w:after="46" w:line="240" w:lineRule="auto"/>
              <w:ind w:hanging="252"/>
            </w:pPr>
            <w:r>
              <w:rPr>
                <w:b w:val="0"/>
                <w:i/>
                <w:sz w:val="22"/>
                <w:u w:val="none"/>
              </w:rPr>
              <w:t xml:space="preserve">parimet përgjithësisht të pranuara të kontabilitetit dhe aplikimin e SNK, </w:t>
            </w:r>
          </w:p>
          <w:p w14:paraId="0224163D" w14:textId="77777777" w:rsidR="00606844" w:rsidRDefault="005D7B83">
            <w:pPr>
              <w:numPr>
                <w:ilvl w:val="0"/>
                <w:numId w:val="1"/>
              </w:numPr>
              <w:ind w:hanging="252"/>
            </w:pPr>
            <w:r>
              <w:rPr>
                <w:b w:val="0"/>
                <w:i/>
                <w:sz w:val="22"/>
                <w:u w:val="none"/>
              </w:rPr>
              <w:t xml:space="preserve">elemente e pasqyrave financiare,  </w:t>
            </w:r>
          </w:p>
          <w:p w14:paraId="3D75C4A1" w14:textId="77777777" w:rsidR="00606844" w:rsidRDefault="005D7B83">
            <w:pPr>
              <w:numPr>
                <w:ilvl w:val="0"/>
                <w:numId w:val="1"/>
              </w:numPr>
              <w:ind w:hanging="252"/>
            </w:pPr>
            <w:r>
              <w:rPr>
                <w:b w:val="0"/>
                <w:i/>
                <w:sz w:val="22"/>
                <w:u w:val="none"/>
              </w:rPr>
              <w:t xml:space="preserve">kompletimi i ciklit të kontabilitetit,  </w:t>
            </w:r>
          </w:p>
          <w:p w14:paraId="6A051D3E" w14:textId="77777777" w:rsidR="00606844" w:rsidRDefault="005D7B83">
            <w:pPr>
              <w:numPr>
                <w:ilvl w:val="0"/>
                <w:numId w:val="1"/>
              </w:numPr>
              <w:ind w:hanging="252"/>
            </w:pPr>
            <w:r>
              <w:rPr>
                <w:b w:val="0"/>
                <w:i/>
                <w:sz w:val="22"/>
                <w:u w:val="none"/>
              </w:rPr>
              <w:t>njohjen e të ardhura</w:t>
            </w:r>
            <w:r>
              <w:rPr>
                <w:b w:val="0"/>
                <w:i/>
                <w:sz w:val="22"/>
                <w:u w:val="none"/>
              </w:rPr>
              <w:t xml:space="preserve">ve, shpenzimeve, </w:t>
            </w:r>
          </w:p>
          <w:p w14:paraId="68821A0D" w14:textId="734C9FE7" w:rsidR="00606844" w:rsidRDefault="005D7B83" w:rsidP="00285CC2">
            <w:pPr>
              <w:numPr>
                <w:ilvl w:val="0"/>
                <w:numId w:val="1"/>
              </w:numPr>
              <w:spacing w:after="46" w:line="240" w:lineRule="auto"/>
              <w:ind w:hanging="252"/>
            </w:pPr>
            <w:r>
              <w:rPr>
                <w:b w:val="0"/>
                <w:i/>
                <w:sz w:val="22"/>
                <w:u w:val="none"/>
              </w:rPr>
              <w:t>kontabilitetin e kompanive tregtare, gjendjen e mallrave dhe regjistrimi i tyre</w:t>
            </w:r>
            <w:r w:rsidR="00285CC2">
              <w:rPr>
                <w:b w:val="0"/>
                <w:i/>
                <w:sz w:val="22"/>
                <w:u w:val="none"/>
              </w:rPr>
              <w:t xml:space="preserve"> </w:t>
            </w:r>
            <w:r w:rsidRPr="00285CC2">
              <w:rPr>
                <w:b w:val="0"/>
                <w:i/>
                <w:sz w:val="22"/>
                <w:u w:val="none"/>
              </w:rPr>
              <w:t xml:space="preserve">etj. </w:t>
            </w:r>
          </w:p>
          <w:p w14:paraId="622E5171" w14:textId="77777777" w:rsidR="00606844" w:rsidRDefault="005D7B83">
            <w:pPr>
              <w:ind w:left="360"/>
            </w:pPr>
            <w:r>
              <w:rPr>
                <w:b w:val="0"/>
                <w:i/>
                <w:sz w:val="14"/>
                <w:u w:val="none"/>
              </w:rPr>
              <w:t xml:space="preserve"> </w:t>
            </w:r>
          </w:p>
        </w:tc>
      </w:tr>
      <w:tr w:rsidR="00606844" w14:paraId="56BE61BB" w14:textId="77777777">
        <w:trPr>
          <w:trHeight w:val="2724"/>
        </w:trPr>
        <w:tc>
          <w:tcPr>
            <w:tcW w:w="3616" w:type="dxa"/>
            <w:tcBorders>
              <w:top w:val="single" w:sz="4" w:space="0" w:color="000000"/>
              <w:left w:val="single" w:sz="4" w:space="0" w:color="000000"/>
              <w:bottom w:val="single" w:sz="4" w:space="0" w:color="000000"/>
              <w:right w:val="single" w:sz="4" w:space="0" w:color="000000"/>
            </w:tcBorders>
            <w:vAlign w:val="center"/>
          </w:tcPr>
          <w:p w14:paraId="1B143863" w14:textId="77777777" w:rsidR="00606844" w:rsidRDefault="005D7B83">
            <w:pPr>
              <w:ind w:left="107"/>
            </w:pPr>
            <w:r>
              <w:rPr>
                <w:sz w:val="24"/>
                <w:u w:val="none"/>
              </w:rPr>
              <w:lastRenderedPageBreak/>
              <w:t xml:space="preserve">Qëllimet e lëndës </w:t>
            </w:r>
          </w:p>
        </w:tc>
        <w:tc>
          <w:tcPr>
            <w:tcW w:w="5239" w:type="dxa"/>
            <w:tcBorders>
              <w:top w:val="single" w:sz="4" w:space="0" w:color="000000"/>
              <w:left w:val="single" w:sz="4" w:space="0" w:color="000000"/>
              <w:bottom w:val="single" w:sz="4" w:space="0" w:color="000000"/>
              <w:right w:val="single" w:sz="4" w:space="0" w:color="000000"/>
            </w:tcBorders>
          </w:tcPr>
          <w:p w14:paraId="71C3E782" w14:textId="77777777" w:rsidR="00606844" w:rsidRDefault="005D7B83">
            <w:pPr>
              <w:numPr>
                <w:ilvl w:val="0"/>
                <w:numId w:val="2"/>
              </w:numPr>
              <w:spacing w:after="33" w:line="240" w:lineRule="auto"/>
              <w:ind w:hanging="360"/>
              <w:jc w:val="both"/>
            </w:pPr>
            <w:r>
              <w:rPr>
                <w:b w:val="0"/>
                <w:i/>
                <w:sz w:val="22"/>
                <w:u w:val="none"/>
              </w:rPr>
              <w:t xml:space="preserve">Fitimi i njohurive të reja të natyrës teorike dhe praktike, nga fusha e kontabilitetit.   </w:t>
            </w:r>
          </w:p>
          <w:p w14:paraId="03955340" w14:textId="77777777" w:rsidR="00606844" w:rsidRDefault="005D7B83">
            <w:pPr>
              <w:numPr>
                <w:ilvl w:val="0"/>
                <w:numId w:val="2"/>
              </w:numPr>
              <w:spacing w:after="35" w:line="239" w:lineRule="auto"/>
              <w:ind w:hanging="360"/>
              <w:jc w:val="both"/>
            </w:pPr>
            <w:r>
              <w:rPr>
                <w:b w:val="0"/>
                <w:i/>
                <w:sz w:val="22"/>
                <w:u w:val="none"/>
              </w:rPr>
              <w:t>Ofrimi i mundësive reale për krijimin e kuadrit profesional për zbatimin e njohurive të fituara kontabile, për njohjen, përpunimin, regjistrimin e transaksioneve fin</w:t>
            </w:r>
            <w:r>
              <w:rPr>
                <w:b w:val="0"/>
                <w:i/>
                <w:sz w:val="22"/>
                <w:u w:val="none"/>
              </w:rPr>
              <w:t xml:space="preserve">anciare te subjektet afariste në veprimtaritë prodhuese dhe shërbyese si dhe  </w:t>
            </w:r>
          </w:p>
          <w:p w14:paraId="12A77CD1" w14:textId="77777777" w:rsidR="00606844" w:rsidRDefault="005D7B83">
            <w:pPr>
              <w:numPr>
                <w:ilvl w:val="0"/>
                <w:numId w:val="2"/>
              </w:numPr>
              <w:spacing w:line="292" w:lineRule="auto"/>
              <w:ind w:hanging="360"/>
              <w:jc w:val="both"/>
            </w:pPr>
            <w:r>
              <w:rPr>
                <w:b w:val="0"/>
                <w:i/>
                <w:sz w:val="22"/>
                <w:u w:val="none"/>
              </w:rPr>
              <w:t>krijimin e pasqyrave financiare dhe dokumenteve përcjellëse</w:t>
            </w:r>
            <w:r>
              <w:rPr>
                <w:rFonts w:ascii="Times New Roman" w:eastAsia="Times New Roman" w:hAnsi="Times New Roman" w:cs="Times New Roman"/>
                <w:b w:val="0"/>
                <w:sz w:val="28"/>
                <w:u w:val="none"/>
              </w:rPr>
              <w:t>.</w:t>
            </w:r>
            <w:r>
              <w:rPr>
                <w:b w:val="0"/>
                <w:i/>
                <w:sz w:val="22"/>
                <w:u w:val="none"/>
              </w:rPr>
              <w:t xml:space="preserve"> </w:t>
            </w:r>
          </w:p>
          <w:p w14:paraId="3E6C2B1A" w14:textId="77777777" w:rsidR="00606844" w:rsidRDefault="005D7B83">
            <w:pPr>
              <w:ind w:left="360"/>
            </w:pPr>
            <w:r>
              <w:rPr>
                <w:b w:val="0"/>
                <w:i/>
                <w:sz w:val="20"/>
                <w:u w:val="none"/>
              </w:rPr>
              <w:t xml:space="preserve"> </w:t>
            </w:r>
          </w:p>
        </w:tc>
      </w:tr>
    </w:tbl>
    <w:p w14:paraId="60B8223E" w14:textId="77777777" w:rsidR="00606844" w:rsidRDefault="00606844">
      <w:pPr>
        <w:ind w:left="-1800" w:right="6272"/>
      </w:pPr>
    </w:p>
    <w:tbl>
      <w:tblPr>
        <w:tblStyle w:val="TableGrid"/>
        <w:tblW w:w="8875" w:type="dxa"/>
        <w:tblInd w:w="-107" w:type="dxa"/>
        <w:tblCellMar>
          <w:top w:w="46" w:type="dxa"/>
          <w:left w:w="91" w:type="dxa"/>
          <w:bottom w:w="0" w:type="dxa"/>
          <w:right w:w="57" w:type="dxa"/>
        </w:tblCellMar>
        <w:tblLook w:val="04A0" w:firstRow="1" w:lastRow="0" w:firstColumn="1" w:lastColumn="0" w:noHBand="0" w:noVBand="1"/>
      </w:tblPr>
      <w:tblGrid>
        <w:gridCol w:w="2528"/>
        <w:gridCol w:w="950"/>
        <w:gridCol w:w="447"/>
        <w:gridCol w:w="4930"/>
        <w:gridCol w:w="20"/>
      </w:tblGrid>
      <w:tr w:rsidR="00606844" w14:paraId="274E1C1D" w14:textId="77777777" w:rsidTr="000A6D87">
        <w:trPr>
          <w:gridAfter w:val="1"/>
          <w:wAfter w:w="20" w:type="dxa"/>
          <w:trHeight w:val="4578"/>
        </w:trPr>
        <w:tc>
          <w:tcPr>
            <w:tcW w:w="3478" w:type="dxa"/>
            <w:gridSpan w:val="2"/>
            <w:tcBorders>
              <w:top w:val="single" w:sz="4" w:space="0" w:color="000000"/>
              <w:left w:val="single" w:sz="4" w:space="0" w:color="000000"/>
              <w:bottom w:val="single" w:sz="4" w:space="0" w:color="000000"/>
              <w:right w:val="single" w:sz="4" w:space="0" w:color="000000"/>
            </w:tcBorders>
            <w:vAlign w:val="center"/>
          </w:tcPr>
          <w:p w14:paraId="1306802A" w14:textId="77777777" w:rsidR="00606844" w:rsidRDefault="005D7B83">
            <w:pPr>
              <w:ind w:left="16"/>
            </w:pPr>
            <w:r>
              <w:rPr>
                <w:sz w:val="24"/>
                <w:u w:val="none"/>
              </w:rPr>
              <w:t xml:space="preserve">Rezultatet e pritura të nxënies </w:t>
            </w:r>
          </w:p>
        </w:tc>
        <w:tc>
          <w:tcPr>
            <w:tcW w:w="5377" w:type="dxa"/>
            <w:gridSpan w:val="2"/>
            <w:tcBorders>
              <w:top w:val="single" w:sz="4" w:space="0" w:color="000000"/>
              <w:left w:val="single" w:sz="4" w:space="0" w:color="000000"/>
              <w:bottom w:val="single" w:sz="4" w:space="0" w:color="000000"/>
              <w:right w:val="single" w:sz="4" w:space="0" w:color="000000"/>
            </w:tcBorders>
          </w:tcPr>
          <w:p w14:paraId="7B6F845A" w14:textId="77777777" w:rsidR="00606844" w:rsidRDefault="005D7B83">
            <w:pPr>
              <w:spacing w:after="34" w:line="239" w:lineRule="auto"/>
              <w:ind w:left="17"/>
              <w:jc w:val="both"/>
            </w:pPr>
            <w:r>
              <w:rPr>
                <w:b w:val="0"/>
                <w:i/>
                <w:sz w:val="22"/>
                <w:u w:val="none"/>
              </w:rPr>
              <w:t xml:space="preserve">Pas përfundimit të kësaj lënde, studentët do të jetë në gjendje që të: </w:t>
            </w:r>
          </w:p>
          <w:p w14:paraId="00355A46" w14:textId="77777777" w:rsidR="00606844" w:rsidRDefault="005D7B83" w:rsidP="00285CC2">
            <w:pPr>
              <w:numPr>
                <w:ilvl w:val="0"/>
                <w:numId w:val="3"/>
              </w:numPr>
              <w:tabs>
                <w:tab w:val="left" w:pos="218"/>
              </w:tabs>
              <w:spacing w:after="34" w:line="239" w:lineRule="auto"/>
              <w:ind w:right="47" w:hanging="155"/>
              <w:jc w:val="both"/>
            </w:pPr>
            <w:r>
              <w:rPr>
                <w:b w:val="0"/>
                <w:i/>
                <w:sz w:val="22"/>
                <w:u w:val="none"/>
              </w:rPr>
              <w:t xml:space="preserve">Krijojnë informacionin kontabël  për marrjen e vendimeve afariste, </w:t>
            </w:r>
          </w:p>
          <w:p w14:paraId="19D4E05C" w14:textId="77777777" w:rsidR="00606844" w:rsidRDefault="005D7B83" w:rsidP="00285CC2">
            <w:pPr>
              <w:numPr>
                <w:ilvl w:val="0"/>
                <w:numId w:val="3"/>
              </w:numPr>
              <w:tabs>
                <w:tab w:val="left" w:pos="218"/>
              </w:tabs>
              <w:spacing w:after="31" w:line="239" w:lineRule="auto"/>
              <w:ind w:right="47" w:hanging="155"/>
              <w:jc w:val="both"/>
            </w:pPr>
            <w:r>
              <w:rPr>
                <w:b w:val="0"/>
                <w:i/>
                <w:sz w:val="22"/>
                <w:u w:val="none"/>
              </w:rPr>
              <w:t xml:space="preserve">Njohin dhe regjistrojnë  transaksionet  </w:t>
            </w:r>
            <w:r>
              <w:rPr>
                <w:b w:val="0"/>
                <w:i/>
                <w:sz w:val="22"/>
                <w:u w:val="none"/>
              </w:rPr>
              <w:t xml:space="preserve">financiare si dhe përpilimin e pasqyrave financiare dhe dokumenteve përcjellëse, </w:t>
            </w:r>
          </w:p>
          <w:p w14:paraId="16AFF45B" w14:textId="77777777" w:rsidR="00606844" w:rsidRDefault="005D7B83" w:rsidP="00285CC2">
            <w:pPr>
              <w:numPr>
                <w:ilvl w:val="0"/>
                <w:numId w:val="3"/>
              </w:numPr>
              <w:tabs>
                <w:tab w:val="left" w:pos="218"/>
              </w:tabs>
              <w:spacing w:after="34" w:line="240" w:lineRule="auto"/>
              <w:ind w:right="47" w:hanging="155"/>
              <w:jc w:val="both"/>
            </w:pPr>
            <w:r>
              <w:rPr>
                <w:b w:val="0"/>
                <w:i/>
                <w:sz w:val="22"/>
                <w:u w:val="none"/>
              </w:rPr>
              <w:t>Njohin dhe kontabilizojnë shpenzimet, të ardhurat dhe rezultatin financiar të subjekteve, varësisht nga niveli i biznesit duke u mbështetur në Standardet Ndërkombëtare të Kon</w:t>
            </w:r>
            <w:r>
              <w:rPr>
                <w:b w:val="0"/>
                <w:i/>
                <w:sz w:val="22"/>
                <w:u w:val="none"/>
              </w:rPr>
              <w:t xml:space="preserve">tabilitetit (SNK) dhe Standardeve Kosovare të Kontabilitetit (SKK), </w:t>
            </w:r>
          </w:p>
          <w:p w14:paraId="773DFB1D" w14:textId="77777777" w:rsidR="00606844" w:rsidRDefault="005D7B83" w:rsidP="00285CC2">
            <w:pPr>
              <w:numPr>
                <w:ilvl w:val="0"/>
                <w:numId w:val="3"/>
              </w:numPr>
              <w:tabs>
                <w:tab w:val="left" w:pos="218"/>
              </w:tabs>
              <w:spacing w:after="34" w:line="239" w:lineRule="auto"/>
              <w:ind w:right="47" w:hanging="155"/>
              <w:jc w:val="both"/>
            </w:pPr>
            <w:r>
              <w:rPr>
                <w:b w:val="0"/>
                <w:i/>
                <w:sz w:val="22"/>
                <w:u w:val="none"/>
              </w:rPr>
              <w:t xml:space="preserve">Thellojnë njohuritë për përcjelljen kontabël të mjeteve dhe burimeve të mjeteve, </w:t>
            </w:r>
          </w:p>
          <w:p w14:paraId="1FD77271" w14:textId="77777777" w:rsidR="00606844" w:rsidRDefault="005D7B83" w:rsidP="00285CC2">
            <w:pPr>
              <w:numPr>
                <w:ilvl w:val="0"/>
                <w:numId w:val="3"/>
              </w:numPr>
              <w:tabs>
                <w:tab w:val="left" w:pos="218"/>
              </w:tabs>
              <w:ind w:right="47" w:hanging="155"/>
              <w:jc w:val="both"/>
            </w:pPr>
            <w:r>
              <w:rPr>
                <w:b w:val="0"/>
                <w:i/>
                <w:sz w:val="22"/>
                <w:u w:val="none"/>
              </w:rPr>
              <w:t>Thellojnë njohuritë për mënyrën e financimit të subjektit, ruajtjes së substancës së subjektit dhe raport</w:t>
            </w:r>
            <w:r>
              <w:rPr>
                <w:b w:val="0"/>
                <w:i/>
                <w:sz w:val="22"/>
                <w:u w:val="none"/>
              </w:rPr>
              <w:t xml:space="preserve">imit të ndryshimeve në ekuitet, etj. </w:t>
            </w:r>
          </w:p>
        </w:tc>
      </w:tr>
      <w:tr w:rsidR="00606844" w14:paraId="44978734" w14:textId="77777777" w:rsidTr="000A6D87">
        <w:trPr>
          <w:gridAfter w:val="1"/>
          <w:wAfter w:w="20" w:type="dxa"/>
          <w:trHeight w:val="3772"/>
        </w:trPr>
        <w:tc>
          <w:tcPr>
            <w:tcW w:w="3478" w:type="dxa"/>
            <w:gridSpan w:val="2"/>
            <w:tcBorders>
              <w:top w:val="single" w:sz="4" w:space="0" w:color="000000"/>
              <w:left w:val="single" w:sz="4" w:space="0" w:color="000000"/>
              <w:bottom w:val="single" w:sz="4" w:space="0" w:color="000000"/>
              <w:right w:val="single" w:sz="4" w:space="0" w:color="000000"/>
            </w:tcBorders>
            <w:vAlign w:val="center"/>
          </w:tcPr>
          <w:p w14:paraId="5F9EF9AD" w14:textId="77777777" w:rsidR="00606844" w:rsidRDefault="005D7B83">
            <w:pPr>
              <w:ind w:left="16"/>
            </w:pPr>
            <w:r>
              <w:rPr>
                <w:sz w:val="24"/>
                <w:u w:val="none"/>
              </w:rPr>
              <w:t xml:space="preserve">Metodologjia e mësimëdhënies  </w:t>
            </w:r>
          </w:p>
        </w:tc>
        <w:tc>
          <w:tcPr>
            <w:tcW w:w="5377" w:type="dxa"/>
            <w:gridSpan w:val="2"/>
            <w:tcBorders>
              <w:top w:val="single" w:sz="4" w:space="0" w:color="000000"/>
              <w:left w:val="single" w:sz="4" w:space="0" w:color="000000"/>
              <w:bottom w:val="single" w:sz="4" w:space="0" w:color="000000"/>
              <w:right w:val="single" w:sz="4" w:space="0" w:color="000000"/>
            </w:tcBorders>
          </w:tcPr>
          <w:p w14:paraId="70DD40F7" w14:textId="77777777" w:rsidR="00606844" w:rsidRDefault="005D7B83">
            <w:pPr>
              <w:spacing w:line="239" w:lineRule="auto"/>
              <w:ind w:left="17" w:right="47"/>
              <w:jc w:val="both"/>
            </w:pPr>
            <w:r>
              <w:rPr>
                <w:b w:val="0"/>
                <w:i/>
                <w:sz w:val="22"/>
                <w:u w:val="none"/>
              </w:rPr>
              <w:t>Mësimdhënia do të zhvillohet përmes ligjëratës, detyrave praktike,  interpretimeve individuale e grupore, , vetëvlerësimeve periodike, etj. Të gjitha këto do të realizohen</w:t>
            </w:r>
            <w:r>
              <w:rPr>
                <w:i/>
                <w:sz w:val="22"/>
                <w:u w:val="none"/>
              </w:rPr>
              <w:t xml:space="preserve"> </w:t>
            </w:r>
            <w:r>
              <w:rPr>
                <w:b w:val="0"/>
                <w:i/>
                <w:sz w:val="22"/>
                <w:u w:val="none"/>
              </w:rPr>
              <w:t>në aspektin teorik dhe praktik duke i prezantuar materialet në formën audio-vizule p</w:t>
            </w:r>
            <w:r>
              <w:rPr>
                <w:b w:val="0"/>
                <w:i/>
                <w:sz w:val="22"/>
                <w:u w:val="none"/>
              </w:rPr>
              <w:t xml:space="preserve">ërmes teknologjisë elektronike me programet e Windows Office. Në aspektin teorik do të ofrohen njohuri të përgjithshme shkencore, bazuar në literaturën bashkëkohore. </w:t>
            </w:r>
          </w:p>
          <w:p w14:paraId="73124774" w14:textId="77777777" w:rsidR="00606844" w:rsidRDefault="005D7B83">
            <w:pPr>
              <w:spacing w:line="239" w:lineRule="auto"/>
              <w:ind w:left="17" w:right="48"/>
              <w:jc w:val="both"/>
            </w:pPr>
            <w:r>
              <w:rPr>
                <w:b w:val="0"/>
                <w:i/>
                <w:sz w:val="22"/>
                <w:u w:val="none"/>
              </w:rPr>
              <w:t xml:space="preserve"> Pjesa praktike kryesisht do të realizohet përmes shembujve konkret nga literatura dhe ng</w:t>
            </w:r>
            <w:r>
              <w:rPr>
                <w:b w:val="0"/>
                <w:i/>
                <w:sz w:val="22"/>
                <w:u w:val="none"/>
              </w:rPr>
              <w:t xml:space="preserve">a njohuritë praktike te ndërmarrjet prodhuese private e publike dhe te organizatat fitim prurëse.  </w:t>
            </w:r>
          </w:p>
          <w:p w14:paraId="1F4C1392" w14:textId="77777777" w:rsidR="00606844" w:rsidRDefault="005D7B83">
            <w:pPr>
              <w:ind w:left="17"/>
              <w:jc w:val="both"/>
            </w:pPr>
            <w:r>
              <w:rPr>
                <w:b w:val="0"/>
                <w:i/>
                <w:sz w:val="22"/>
                <w:u w:val="none"/>
              </w:rPr>
              <w:t xml:space="preserve">Në këtë mënyrë do të synohet krijimi i raporteve ndërvepruese profesor–student si dhe ai student-student.  </w:t>
            </w:r>
          </w:p>
        </w:tc>
      </w:tr>
      <w:tr w:rsidR="00606844" w14:paraId="4F32703B" w14:textId="77777777" w:rsidTr="000A6D87">
        <w:tblPrEx>
          <w:tblCellMar>
            <w:top w:w="5" w:type="dxa"/>
            <w:left w:w="0" w:type="dxa"/>
            <w:bottom w:w="3" w:type="dxa"/>
            <w:right w:w="0" w:type="dxa"/>
          </w:tblCellMar>
        </w:tblPrEx>
        <w:trPr>
          <w:trHeight w:val="836"/>
        </w:trPr>
        <w:tc>
          <w:tcPr>
            <w:tcW w:w="3478" w:type="dxa"/>
            <w:gridSpan w:val="2"/>
            <w:tcBorders>
              <w:top w:val="single" w:sz="4" w:space="0" w:color="000000"/>
              <w:left w:val="single" w:sz="4" w:space="0" w:color="000000"/>
              <w:bottom w:val="nil"/>
              <w:right w:val="single" w:sz="4" w:space="0" w:color="000000"/>
            </w:tcBorders>
            <w:vAlign w:val="bottom"/>
          </w:tcPr>
          <w:p w14:paraId="042AB474" w14:textId="77777777" w:rsidR="00606844" w:rsidRDefault="005D7B83">
            <w:pPr>
              <w:ind w:left="107"/>
            </w:pPr>
            <w:r>
              <w:rPr>
                <w:sz w:val="24"/>
                <w:u w:val="none"/>
              </w:rPr>
              <w:lastRenderedPageBreak/>
              <w:t xml:space="preserve">Metodat e vlerësimit: </w:t>
            </w:r>
          </w:p>
        </w:tc>
        <w:tc>
          <w:tcPr>
            <w:tcW w:w="447" w:type="dxa"/>
            <w:tcBorders>
              <w:top w:val="single" w:sz="4" w:space="0" w:color="000000"/>
              <w:left w:val="single" w:sz="4" w:space="0" w:color="000000"/>
              <w:bottom w:val="nil"/>
              <w:right w:val="nil"/>
            </w:tcBorders>
          </w:tcPr>
          <w:p w14:paraId="75598274" w14:textId="77777777" w:rsidR="00606844" w:rsidRDefault="005D7B83">
            <w:pPr>
              <w:spacing w:line="275" w:lineRule="auto"/>
              <w:ind w:left="91" w:firstLine="17"/>
            </w:pPr>
            <w:r>
              <w:rPr>
                <w:b w:val="0"/>
                <w:i/>
                <w:sz w:val="22"/>
                <w:u w:val="none"/>
              </w:rPr>
              <w:t xml:space="preserve">Vle </w:t>
            </w:r>
            <w:r>
              <w:rPr>
                <w:rFonts w:ascii="Wingdings" w:eastAsia="Wingdings" w:hAnsi="Wingdings" w:cs="Wingdings"/>
                <w:b w:val="0"/>
                <w:sz w:val="22"/>
                <w:u w:val="none"/>
              </w:rPr>
              <w:t></w:t>
            </w:r>
            <w:r>
              <w:rPr>
                <w:rFonts w:ascii="Arial" w:eastAsia="Arial" w:hAnsi="Arial" w:cs="Arial"/>
                <w:b w:val="0"/>
                <w:sz w:val="22"/>
                <w:u w:val="none"/>
              </w:rPr>
              <w:t xml:space="preserve"> </w:t>
            </w:r>
          </w:p>
          <w:p w14:paraId="05EEA4D0" w14:textId="77777777" w:rsidR="00606844" w:rsidRDefault="005D7B83">
            <w:pPr>
              <w:ind w:left="91"/>
            </w:pPr>
            <w:r>
              <w:rPr>
                <w:rFonts w:ascii="Wingdings" w:eastAsia="Wingdings" w:hAnsi="Wingdings" w:cs="Wingdings"/>
                <w:b w:val="0"/>
                <w:sz w:val="22"/>
                <w:u w:val="none"/>
              </w:rPr>
              <w:t></w:t>
            </w:r>
            <w:r>
              <w:rPr>
                <w:rFonts w:ascii="Arial" w:eastAsia="Arial" w:hAnsi="Arial" w:cs="Arial"/>
                <w:b w:val="0"/>
                <w:sz w:val="22"/>
                <w:u w:val="none"/>
              </w:rPr>
              <w:t xml:space="preserve"> </w:t>
            </w:r>
          </w:p>
        </w:tc>
        <w:tc>
          <w:tcPr>
            <w:tcW w:w="4930" w:type="dxa"/>
            <w:tcBorders>
              <w:top w:val="single" w:sz="4" w:space="0" w:color="000000"/>
              <w:left w:val="nil"/>
              <w:bottom w:val="nil"/>
              <w:right w:val="single" w:sz="4" w:space="0" w:color="000000"/>
            </w:tcBorders>
          </w:tcPr>
          <w:p w14:paraId="2F357F07" w14:textId="77777777" w:rsidR="00606844" w:rsidRDefault="005D7B83" w:rsidP="00285CC2">
            <w:pPr>
              <w:spacing w:line="276" w:lineRule="auto"/>
              <w:ind w:right="1085"/>
            </w:pPr>
            <w:r>
              <w:rPr>
                <w:b w:val="0"/>
                <w:i/>
                <w:sz w:val="22"/>
                <w:u w:val="none"/>
              </w:rPr>
              <w:t>r</w:t>
            </w:r>
            <w:r>
              <w:rPr>
                <w:b w:val="0"/>
                <w:i/>
                <w:sz w:val="22"/>
                <w:u w:val="none"/>
              </w:rPr>
              <w:t xml:space="preserve">ësimi i studentëve do të bëhet në bazë: të vijueshmërisë dhe angazhimit të tyre, detyrave me shkrim, </w:t>
            </w:r>
          </w:p>
        </w:tc>
        <w:tc>
          <w:tcPr>
            <w:tcW w:w="20" w:type="dxa"/>
            <w:tcBorders>
              <w:top w:val="nil"/>
              <w:left w:val="single" w:sz="4" w:space="0" w:color="000000"/>
              <w:bottom w:val="nil"/>
              <w:right w:val="nil"/>
            </w:tcBorders>
          </w:tcPr>
          <w:p w14:paraId="3257039D" w14:textId="77777777" w:rsidR="00606844" w:rsidRDefault="00606844">
            <w:pPr>
              <w:spacing w:after="160"/>
            </w:pPr>
          </w:p>
        </w:tc>
      </w:tr>
      <w:tr w:rsidR="00606844" w14:paraId="409EC6EC" w14:textId="77777777" w:rsidTr="000A6D87">
        <w:tblPrEx>
          <w:tblCellMar>
            <w:top w:w="5" w:type="dxa"/>
            <w:left w:w="0" w:type="dxa"/>
            <w:bottom w:w="3" w:type="dxa"/>
            <w:right w:w="0" w:type="dxa"/>
          </w:tblCellMar>
        </w:tblPrEx>
        <w:trPr>
          <w:trHeight w:val="261"/>
        </w:trPr>
        <w:tc>
          <w:tcPr>
            <w:tcW w:w="3478" w:type="dxa"/>
            <w:gridSpan w:val="2"/>
            <w:tcBorders>
              <w:top w:val="nil"/>
              <w:left w:val="single" w:sz="4" w:space="0" w:color="000000"/>
              <w:bottom w:val="nil"/>
              <w:right w:val="single" w:sz="4" w:space="0" w:color="000000"/>
            </w:tcBorders>
          </w:tcPr>
          <w:p w14:paraId="5D086B3D" w14:textId="77777777" w:rsidR="00606844" w:rsidRDefault="00606844">
            <w:pPr>
              <w:spacing w:after="160"/>
            </w:pPr>
          </w:p>
        </w:tc>
        <w:tc>
          <w:tcPr>
            <w:tcW w:w="447" w:type="dxa"/>
            <w:tcBorders>
              <w:top w:val="nil"/>
              <w:left w:val="single" w:sz="4" w:space="0" w:color="000000"/>
              <w:bottom w:val="nil"/>
              <w:right w:val="nil"/>
            </w:tcBorders>
          </w:tcPr>
          <w:p w14:paraId="2706DAE7" w14:textId="77777777" w:rsidR="00606844" w:rsidRDefault="005D7B83">
            <w:pPr>
              <w:ind w:left="91"/>
            </w:pPr>
            <w:r>
              <w:rPr>
                <w:rFonts w:ascii="Wingdings" w:eastAsia="Wingdings" w:hAnsi="Wingdings" w:cs="Wingdings"/>
                <w:b w:val="0"/>
                <w:sz w:val="22"/>
                <w:u w:val="none"/>
              </w:rPr>
              <w:t></w:t>
            </w:r>
            <w:r>
              <w:rPr>
                <w:rFonts w:ascii="Arial" w:eastAsia="Arial" w:hAnsi="Arial" w:cs="Arial"/>
                <w:b w:val="0"/>
                <w:sz w:val="22"/>
                <w:u w:val="none"/>
              </w:rPr>
              <w:t xml:space="preserve"> </w:t>
            </w:r>
          </w:p>
        </w:tc>
        <w:tc>
          <w:tcPr>
            <w:tcW w:w="4930" w:type="dxa"/>
            <w:tcBorders>
              <w:top w:val="nil"/>
              <w:left w:val="nil"/>
              <w:bottom w:val="nil"/>
              <w:right w:val="single" w:sz="4" w:space="0" w:color="000000"/>
            </w:tcBorders>
          </w:tcPr>
          <w:p w14:paraId="4D089E4B" w14:textId="75CF2D1C" w:rsidR="00285CC2" w:rsidRPr="00285CC2" w:rsidRDefault="005D7B83" w:rsidP="00285CC2">
            <w:pPr>
              <w:spacing w:line="276" w:lineRule="auto"/>
              <w:rPr>
                <w:b w:val="0"/>
                <w:i/>
                <w:sz w:val="22"/>
                <w:u w:val="none"/>
              </w:rPr>
            </w:pPr>
            <w:r>
              <w:rPr>
                <w:b w:val="0"/>
                <w:i/>
                <w:sz w:val="22"/>
                <w:u w:val="none"/>
              </w:rPr>
              <w:t xml:space="preserve"> suksesit në kollokviume </w:t>
            </w:r>
            <w:r w:rsidR="00285CC2">
              <w:rPr>
                <w:b w:val="0"/>
                <w:i/>
                <w:sz w:val="22"/>
                <w:u w:val="none"/>
              </w:rPr>
              <w:t>apo</w:t>
            </w:r>
            <w:r>
              <w:rPr>
                <w:b w:val="0"/>
                <w:i/>
                <w:sz w:val="22"/>
                <w:u w:val="none"/>
              </w:rPr>
              <w:t xml:space="preserve"> </w:t>
            </w:r>
            <w:r w:rsidR="00285CC2">
              <w:rPr>
                <w:b w:val="0"/>
                <w:i/>
                <w:sz w:val="22"/>
                <w:u w:val="none"/>
              </w:rPr>
              <w:t>provimit përfundimtar.</w:t>
            </w:r>
          </w:p>
        </w:tc>
        <w:tc>
          <w:tcPr>
            <w:tcW w:w="20" w:type="dxa"/>
            <w:tcBorders>
              <w:top w:val="nil"/>
              <w:left w:val="single" w:sz="4" w:space="0" w:color="000000"/>
              <w:bottom w:val="nil"/>
              <w:right w:val="nil"/>
            </w:tcBorders>
          </w:tcPr>
          <w:p w14:paraId="5EAD7CEF" w14:textId="77777777" w:rsidR="00606844" w:rsidRDefault="00606844">
            <w:pPr>
              <w:spacing w:after="160"/>
            </w:pPr>
          </w:p>
        </w:tc>
      </w:tr>
      <w:tr w:rsidR="00606844" w14:paraId="6EAA9F15" w14:textId="77777777" w:rsidTr="000A6D87">
        <w:tblPrEx>
          <w:tblCellMar>
            <w:top w:w="5" w:type="dxa"/>
            <w:left w:w="0" w:type="dxa"/>
            <w:bottom w:w="3" w:type="dxa"/>
            <w:right w:w="0" w:type="dxa"/>
          </w:tblCellMar>
        </w:tblPrEx>
        <w:trPr>
          <w:trHeight w:val="63"/>
        </w:trPr>
        <w:tc>
          <w:tcPr>
            <w:tcW w:w="3478" w:type="dxa"/>
            <w:gridSpan w:val="2"/>
            <w:tcBorders>
              <w:top w:val="nil"/>
              <w:left w:val="single" w:sz="4" w:space="0" w:color="000000"/>
              <w:bottom w:val="single" w:sz="4" w:space="0" w:color="000000"/>
              <w:right w:val="single" w:sz="4" w:space="0" w:color="000000"/>
            </w:tcBorders>
          </w:tcPr>
          <w:p w14:paraId="26422D5E" w14:textId="77777777" w:rsidR="00606844" w:rsidRDefault="00606844">
            <w:pPr>
              <w:spacing w:after="160"/>
            </w:pPr>
          </w:p>
        </w:tc>
        <w:tc>
          <w:tcPr>
            <w:tcW w:w="447" w:type="dxa"/>
            <w:tcBorders>
              <w:top w:val="nil"/>
              <w:left w:val="single" w:sz="4" w:space="0" w:color="000000"/>
              <w:bottom w:val="single" w:sz="4" w:space="0" w:color="000000"/>
              <w:right w:val="nil"/>
            </w:tcBorders>
          </w:tcPr>
          <w:p w14:paraId="53D33CA0" w14:textId="2C9C8D83" w:rsidR="00606844" w:rsidRDefault="00606844" w:rsidP="00285CC2"/>
        </w:tc>
        <w:tc>
          <w:tcPr>
            <w:tcW w:w="4930" w:type="dxa"/>
            <w:tcBorders>
              <w:top w:val="nil"/>
              <w:left w:val="nil"/>
              <w:bottom w:val="single" w:sz="4" w:space="0" w:color="000000"/>
              <w:right w:val="single" w:sz="4" w:space="0" w:color="000000"/>
            </w:tcBorders>
          </w:tcPr>
          <w:p w14:paraId="69C998EB" w14:textId="2802781F" w:rsidR="00606844" w:rsidRDefault="00606844" w:rsidP="00285CC2">
            <w:pPr>
              <w:spacing w:line="276" w:lineRule="auto"/>
            </w:pPr>
          </w:p>
        </w:tc>
        <w:tc>
          <w:tcPr>
            <w:tcW w:w="20" w:type="dxa"/>
            <w:vMerge w:val="restart"/>
            <w:tcBorders>
              <w:top w:val="nil"/>
              <w:left w:val="single" w:sz="4" w:space="0" w:color="000000"/>
              <w:bottom w:val="nil"/>
              <w:right w:val="nil"/>
            </w:tcBorders>
          </w:tcPr>
          <w:p w14:paraId="75FC648E" w14:textId="77777777" w:rsidR="00606844" w:rsidRDefault="00606844">
            <w:pPr>
              <w:spacing w:after="160"/>
            </w:pPr>
          </w:p>
        </w:tc>
      </w:tr>
      <w:tr w:rsidR="00606844" w14:paraId="01C382F2" w14:textId="77777777" w:rsidTr="000A6D87">
        <w:tblPrEx>
          <w:tblCellMar>
            <w:top w:w="5" w:type="dxa"/>
            <w:left w:w="0" w:type="dxa"/>
            <w:bottom w:w="3" w:type="dxa"/>
            <w:right w:w="0" w:type="dxa"/>
          </w:tblCellMar>
        </w:tblPrEx>
        <w:trPr>
          <w:trHeight w:val="300"/>
        </w:trPr>
        <w:tc>
          <w:tcPr>
            <w:tcW w:w="3925" w:type="dxa"/>
            <w:gridSpan w:val="3"/>
            <w:tcBorders>
              <w:top w:val="single" w:sz="4" w:space="0" w:color="000000"/>
              <w:left w:val="single" w:sz="4" w:space="0" w:color="000000"/>
              <w:bottom w:val="single" w:sz="4" w:space="0" w:color="000000"/>
              <w:right w:val="nil"/>
            </w:tcBorders>
            <w:shd w:val="clear" w:color="auto" w:fill="B8CCE4"/>
          </w:tcPr>
          <w:p w14:paraId="22A5E071" w14:textId="77777777" w:rsidR="00606844" w:rsidRDefault="005D7B83">
            <w:pPr>
              <w:ind w:left="107"/>
            </w:pPr>
            <w:r>
              <w:rPr>
                <w:sz w:val="24"/>
                <w:u w:val="none"/>
              </w:rPr>
              <w:t xml:space="preserve">Literatura  </w:t>
            </w:r>
          </w:p>
        </w:tc>
        <w:tc>
          <w:tcPr>
            <w:tcW w:w="4930" w:type="dxa"/>
            <w:tcBorders>
              <w:top w:val="single" w:sz="4" w:space="0" w:color="000000"/>
              <w:left w:val="nil"/>
              <w:bottom w:val="single" w:sz="4" w:space="0" w:color="000000"/>
              <w:right w:val="single" w:sz="4" w:space="0" w:color="000000"/>
            </w:tcBorders>
            <w:shd w:val="clear" w:color="auto" w:fill="B8CCE4"/>
          </w:tcPr>
          <w:p w14:paraId="50A0139C" w14:textId="77777777" w:rsidR="00606844" w:rsidRDefault="00606844">
            <w:pPr>
              <w:spacing w:after="160"/>
            </w:pPr>
          </w:p>
        </w:tc>
        <w:tc>
          <w:tcPr>
            <w:tcW w:w="20" w:type="dxa"/>
            <w:vMerge/>
            <w:tcBorders>
              <w:top w:val="nil"/>
              <w:left w:val="single" w:sz="4" w:space="0" w:color="000000"/>
              <w:bottom w:val="nil"/>
              <w:right w:val="nil"/>
            </w:tcBorders>
          </w:tcPr>
          <w:p w14:paraId="281D293B" w14:textId="77777777" w:rsidR="00606844" w:rsidRDefault="00606844">
            <w:pPr>
              <w:spacing w:after="160"/>
            </w:pPr>
          </w:p>
        </w:tc>
      </w:tr>
      <w:tr w:rsidR="00606844" w14:paraId="7447653D" w14:textId="77777777" w:rsidTr="000A6D87">
        <w:tblPrEx>
          <w:tblCellMar>
            <w:top w:w="5" w:type="dxa"/>
            <w:left w:w="0" w:type="dxa"/>
            <w:bottom w:w="3" w:type="dxa"/>
            <w:right w:w="0" w:type="dxa"/>
          </w:tblCellMar>
        </w:tblPrEx>
        <w:trPr>
          <w:trHeight w:val="628"/>
        </w:trPr>
        <w:tc>
          <w:tcPr>
            <w:tcW w:w="3478" w:type="dxa"/>
            <w:gridSpan w:val="2"/>
            <w:tcBorders>
              <w:top w:val="single" w:sz="4" w:space="0" w:color="000000"/>
              <w:left w:val="single" w:sz="4" w:space="0" w:color="000000"/>
              <w:bottom w:val="single" w:sz="4" w:space="0" w:color="000000"/>
              <w:right w:val="single" w:sz="4" w:space="0" w:color="000000"/>
            </w:tcBorders>
            <w:vAlign w:val="center"/>
          </w:tcPr>
          <w:p w14:paraId="44832E78" w14:textId="77777777" w:rsidR="00606844" w:rsidRDefault="005D7B83">
            <w:pPr>
              <w:ind w:left="107"/>
            </w:pPr>
            <w:r>
              <w:rPr>
                <w:sz w:val="24"/>
                <w:u w:val="none"/>
              </w:rPr>
              <w:t xml:space="preserve">Literatura bazë </w:t>
            </w:r>
          </w:p>
        </w:tc>
        <w:tc>
          <w:tcPr>
            <w:tcW w:w="447" w:type="dxa"/>
            <w:tcBorders>
              <w:top w:val="single" w:sz="4" w:space="0" w:color="000000"/>
              <w:left w:val="single" w:sz="4" w:space="0" w:color="000000"/>
              <w:bottom w:val="single" w:sz="4" w:space="0" w:color="000000"/>
              <w:right w:val="nil"/>
            </w:tcBorders>
          </w:tcPr>
          <w:p w14:paraId="7D2F1DA7" w14:textId="42F16510" w:rsidR="00606844" w:rsidRDefault="005D7B83" w:rsidP="00285CC2">
            <w:pPr>
              <w:spacing w:after="275"/>
              <w:ind w:left="91"/>
            </w:pPr>
            <w:r>
              <w:rPr>
                <w:b w:val="0"/>
                <w:i/>
                <w:sz w:val="22"/>
                <w:u w:val="none"/>
              </w:rPr>
              <w:t>1.</w:t>
            </w:r>
            <w:r>
              <w:rPr>
                <w:rFonts w:ascii="Arial" w:eastAsia="Arial" w:hAnsi="Arial" w:cs="Arial"/>
                <w:b w:val="0"/>
                <w:i/>
                <w:sz w:val="22"/>
                <w:u w:val="none"/>
              </w:rPr>
              <w:t xml:space="preserve"> </w:t>
            </w:r>
            <w:r>
              <w:rPr>
                <w:rFonts w:ascii="Arial" w:eastAsia="Arial" w:hAnsi="Arial" w:cs="Arial"/>
                <w:b w:val="0"/>
                <w:i/>
                <w:sz w:val="22"/>
                <w:u w:val="none"/>
              </w:rPr>
              <w:t xml:space="preserve"> </w:t>
            </w:r>
          </w:p>
        </w:tc>
        <w:tc>
          <w:tcPr>
            <w:tcW w:w="4930" w:type="dxa"/>
            <w:tcBorders>
              <w:top w:val="single" w:sz="4" w:space="0" w:color="000000"/>
              <w:left w:val="nil"/>
              <w:bottom w:val="single" w:sz="4" w:space="0" w:color="000000"/>
              <w:right w:val="single" w:sz="4" w:space="0" w:color="000000"/>
            </w:tcBorders>
          </w:tcPr>
          <w:p w14:paraId="13919305" w14:textId="2D702FEA" w:rsidR="00606844" w:rsidRDefault="005D7B83">
            <w:pPr>
              <w:ind w:right="104"/>
              <w:jc w:val="both"/>
            </w:pPr>
            <w:r>
              <w:rPr>
                <w:b w:val="0"/>
                <w:i/>
                <w:sz w:val="22"/>
                <w:u w:val="none"/>
              </w:rPr>
              <w:t>Prof</w:t>
            </w:r>
            <w:r>
              <w:rPr>
                <w:b w:val="0"/>
                <w:i/>
                <w:sz w:val="22"/>
                <w:u w:val="none"/>
              </w:rPr>
              <w:t>.dr.Skender Ahmeti: “Kontabiliteti Financiar, (</w:t>
            </w:r>
            <w:r w:rsidR="00285CC2">
              <w:rPr>
                <w:b w:val="0"/>
                <w:i/>
                <w:sz w:val="22"/>
                <w:u w:val="none"/>
              </w:rPr>
              <w:t>ko</w:t>
            </w:r>
            <w:r>
              <w:rPr>
                <w:b w:val="0"/>
                <w:i/>
                <w:sz w:val="22"/>
                <w:u w:val="none"/>
              </w:rPr>
              <w:t>ncepte themelore)</w:t>
            </w:r>
            <w:r>
              <w:rPr>
                <w:b w:val="0"/>
                <w:i/>
                <w:sz w:val="22"/>
                <w:u w:val="none"/>
              </w:rPr>
              <w:t>, Prishtinë, 20</w:t>
            </w:r>
            <w:r w:rsidR="00285CC2">
              <w:rPr>
                <w:b w:val="0"/>
                <w:i/>
                <w:sz w:val="22"/>
                <w:u w:val="none"/>
              </w:rPr>
              <w:t>20</w:t>
            </w:r>
          </w:p>
        </w:tc>
        <w:tc>
          <w:tcPr>
            <w:tcW w:w="20" w:type="dxa"/>
            <w:vMerge/>
            <w:tcBorders>
              <w:top w:val="nil"/>
              <w:left w:val="single" w:sz="4" w:space="0" w:color="000000"/>
              <w:bottom w:val="nil"/>
              <w:right w:val="nil"/>
            </w:tcBorders>
          </w:tcPr>
          <w:p w14:paraId="52C1EA53" w14:textId="77777777" w:rsidR="00606844" w:rsidRDefault="00606844">
            <w:pPr>
              <w:spacing w:after="160"/>
            </w:pPr>
          </w:p>
        </w:tc>
      </w:tr>
      <w:tr w:rsidR="00606844" w14:paraId="1F521661" w14:textId="77777777" w:rsidTr="000A6D87">
        <w:tblPrEx>
          <w:tblCellMar>
            <w:top w:w="5" w:type="dxa"/>
            <w:left w:w="0" w:type="dxa"/>
            <w:bottom w:w="3" w:type="dxa"/>
            <w:right w:w="0" w:type="dxa"/>
          </w:tblCellMar>
        </w:tblPrEx>
        <w:trPr>
          <w:trHeight w:val="799"/>
        </w:trPr>
        <w:tc>
          <w:tcPr>
            <w:tcW w:w="3478" w:type="dxa"/>
            <w:gridSpan w:val="2"/>
            <w:tcBorders>
              <w:top w:val="nil"/>
              <w:left w:val="single" w:sz="4" w:space="0" w:color="000000"/>
              <w:bottom w:val="nil"/>
              <w:right w:val="single" w:sz="4" w:space="0" w:color="000000"/>
            </w:tcBorders>
          </w:tcPr>
          <w:p w14:paraId="69D84DCE" w14:textId="77777777" w:rsidR="00606844" w:rsidRDefault="00606844">
            <w:pPr>
              <w:spacing w:after="160"/>
            </w:pPr>
          </w:p>
        </w:tc>
        <w:tc>
          <w:tcPr>
            <w:tcW w:w="447" w:type="dxa"/>
            <w:tcBorders>
              <w:top w:val="nil"/>
              <w:left w:val="single" w:sz="4" w:space="0" w:color="000000"/>
              <w:bottom w:val="nil"/>
              <w:right w:val="nil"/>
            </w:tcBorders>
          </w:tcPr>
          <w:p w14:paraId="2A2DC742" w14:textId="1D0211C2" w:rsidR="00606844" w:rsidRDefault="00285CC2">
            <w:pPr>
              <w:ind w:left="91"/>
            </w:pPr>
            <w:r>
              <w:rPr>
                <w:b w:val="0"/>
                <w:i/>
                <w:sz w:val="22"/>
                <w:u w:val="none"/>
              </w:rPr>
              <w:t>1</w:t>
            </w:r>
            <w:r w:rsidR="005D7B83">
              <w:rPr>
                <w:b w:val="0"/>
                <w:i/>
                <w:sz w:val="22"/>
                <w:u w:val="none"/>
              </w:rPr>
              <w:t>.</w:t>
            </w:r>
            <w:r w:rsidR="005D7B83">
              <w:rPr>
                <w:rFonts w:ascii="Arial" w:eastAsia="Arial" w:hAnsi="Arial" w:cs="Arial"/>
                <w:b w:val="0"/>
                <w:i/>
                <w:sz w:val="22"/>
                <w:u w:val="none"/>
              </w:rPr>
              <w:t xml:space="preserve"> </w:t>
            </w:r>
          </w:p>
        </w:tc>
        <w:tc>
          <w:tcPr>
            <w:tcW w:w="4930" w:type="dxa"/>
            <w:tcBorders>
              <w:top w:val="nil"/>
              <w:left w:val="nil"/>
              <w:bottom w:val="nil"/>
              <w:right w:val="single" w:sz="4" w:space="0" w:color="000000"/>
            </w:tcBorders>
          </w:tcPr>
          <w:p w14:paraId="3941E646" w14:textId="77777777" w:rsidR="00606844" w:rsidRDefault="005D7B83">
            <w:pPr>
              <w:ind w:right="106"/>
              <w:jc w:val="both"/>
            </w:pPr>
            <w:r>
              <w:rPr>
                <w:b w:val="0"/>
                <w:i/>
                <w:sz w:val="22"/>
                <w:u w:val="none"/>
              </w:rPr>
              <w:t xml:space="preserve">Albreght, Stice, Stice, Skousen: “Financial accounting”, 8-th Edition, Thompson Learning, Cincinnati, Ohio, 2002, </w:t>
            </w:r>
          </w:p>
        </w:tc>
        <w:tc>
          <w:tcPr>
            <w:tcW w:w="20" w:type="dxa"/>
            <w:tcBorders>
              <w:top w:val="nil"/>
              <w:left w:val="single" w:sz="4" w:space="0" w:color="000000"/>
              <w:bottom w:val="nil"/>
              <w:right w:val="nil"/>
            </w:tcBorders>
          </w:tcPr>
          <w:p w14:paraId="302BE738" w14:textId="77777777" w:rsidR="00606844" w:rsidRDefault="00606844">
            <w:pPr>
              <w:spacing w:after="160"/>
            </w:pPr>
          </w:p>
        </w:tc>
      </w:tr>
      <w:tr w:rsidR="00606844" w14:paraId="23590000" w14:textId="77777777" w:rsidTr="000A6D87">
        <w:tblPrEx>
          <w:tblCellMar>
            <w:top w:w="5" w:type="dxa"/>
            <w:left w:w="0" w:type="dxa"/>
            <w:bottom w:w="3" w:type="dxa"/>
            <w:right w:w="0" w:type="dxa"/>
          </w:tblCellMar>
        </w:tblPrEx>
        <w:trPr>
          <w:trHeight w:val="532"/>
        </w:trPr>
        <w:tc>
          <w:tcPr>
            <w:tcW w:w="3478" w:type="dxa"/>
            <w:gridSpan w:val="2"/>
            <w:tcBorders>
              <w:top w:val="nil"/>
              <w:left w:val="single" w:sz="4" w:space="0" w:color="000000"/>
              <w:bottom w:val="double" w:sz="4" w:space="0" w:color="000000"/>
              <w:right w:val="single" w:sz="4" w:space="0" w:color="000000"/>
            </w:tcBorders>
          </w:tcPr>
          <w:p w14:paraId="2B314235" w14:textId="77777777" w:rsidR="00606844" w:rsidRDefault="00606844">
            <w:pPr>
              <w:spacing w:after="160"/>
            </w:pPr>
          </w:p>
        </w:tc>
        <w:tc>
          <w:tcPr>
            <w:tcW w:w="447" w:type="dxa"/>
            <w:tcBorders>
              <w:top w:val="nil"/>
              <w:left w:val="single" w:sz="4" w:space="0" w:color="000000"/>
              <w:bottom w:val="double" w:sz="4" w:space="0" w:color="000000"/>
              <w:right w:val="nil"/>
            </w:tcBorders>
          </w:tcPr>
          <w:p w14:paraId="1BC5C339" w14:textId="2B438FBC" w:rsidR="00606844" w:rsidRDefault="00285CC2">
            <w:pPr>
              <w:ind w:left="91"/>
            </w:pPr>
            <w:r>
              <w:rPr>
                <w:b w:val="0"/>
                <w:i/>
                <w:sz w:val="22"/>
                <w:u w:val="none"/>
              </w:rPr>
              <w:t>2</w:t>
            </w:r>
            <w:r w:rsidR="005D7B83">
              <w:rPr>
                <w:b w:val="0"/>
                <w:i/>
                <w:sz w:val="22"/>
                <w:u w:val="none"/>
              </w:rPr>
              <w:t>.</w:t>
            </w:r>
            <w:r w:rsidR="005D7B83">
              <w:rPr>
                <w:rFonts w:ascii="Arial" w:eastAsia="Arial" w:hAnsi="Arial" w:cs="Arial"/>
                <w:b w:val="0"/>
                <w:i/>
                <w:sz w:val="22"/>
                <w:u w:val="none"/>
              </w:rPr>
              <w:t xml:space="preserve"> </w:t>
            </w:r>
          </w:p>
        </w:tc>
        <w:tc>
          <w:tcPr>
            <w:tcW w:w="4930" w:type="dxa"/>
            <w:tcBorders>
              <w:top w:val="nil"/>
              <w:left w:val="nil"/>
              <w:bottom w:val="double" w:sz="4" w:space="0" w:color="000000"/>
              <w:right w:val="single" w:sz="4" w:space="0" w:color="000000"/>
            </w:tcBorders>
          </w:tcPr>
          <w:p w14:paraId="0CDF1EA1" w14:textId="77777777" w:rsidR="00606844" w:rsidRDefault="005D7B83">
            <w:pPr>
              <w:jc w:val="both"/>
            </w:pPr>
            <w:r>
              <w:rPr>
                <w:b w:val="0"/>
                <w:i/>
                <w:sz w:val="22"/>
                <w:u w:val="none"/>
              </w:rPr>
              <w:t xml:space="preserve">John Wild:”Financial accounting – Information for decision “ Third Edition, McGraw – Hill, 2005  </w:t>
            </w:r>
          </w:p>
        </w:tc>
        <w:tc>
          <w:tcPr>
            <w:tcW w:w="20" w:type="dxa"/>
            <w:tcBorders>
              <w:top w:val="nil"/>
              <w:left w:val="single" w:sz="4" w:space="0" w:color="000000"/>
              <w:bottom w:val="single" w:sz="4" w:space="0" w:color="000000"/>
              <w:right w:val="nil"/>
            </w:tcBorders>
          </w:tcPr>
          <w:p w14:paraId="66A6AD73" w14:textId="77777777" w:rsidR="00606844" w:rsidRDefault="00606844">
            <w:pPr>
              <w:spacing w:after="160"/>
            </w:pPr>
          </w:p>
        </w:tc>
      </w:tr>
      <w:tr w:rsidR="00606844" w14:paraId="3873DD4C" w14:textId="77777777" w:rsidTr="000A6D87">
        <w:tblPrEx>
          <w:tblCellMar>
            <w:top w:w="5" w:type="dxa"/>
            <w:left w:w="0" w:type="dxa"/>
            <w:bottom w:w="3" w:type="dxa"/>
            <w:right w:w="0" w:type="dxa"/>
          </w:tblCellMar>
        </w:tblPrEx>
        <w:trPr>
          <w:gridAfter w:val="1"/>
          <w:wAfter w:w="20" w:type="dxa"/>
          <w:trHeight w:val="625"/>
        </w:trPr>
        <w:tc>
          <w:tcPr>
            <w:tcW w:w="8855" w:type="dxa"/>
            <w:gridSpan w:val="4"/>
            <w:tcBorders>
              <w:top w:val="double" w:sz="4" w:space="0" w:color="000000"/>
              <w:left w:val="single" w:sz="4" w:space="0" w:color="000000"/>
              <w:bottom w:val="single" w:sz="4" w:space="0" w:color="000000"/>
              <w:right w:val="single" w:sz="4" w:space="0" w:color="000000"/>
            </w:tcBorders>
            <w:shd w:val="clear" w:color="auto" w:fill="B8CCE4"/>
          </w:tcPr>
          <w:p w14:paraId="12B803BB" w14:textId="56A517B5" w:rsidR="00606844" w:rsidRDefault="005D7B83" w:rsidP="00285CC2">
            <w:pPr>
              <w:ind w:left="107"/>
              <w:jc w:val="center"/>
            </w:pPr>
            <w:r>
              <w:rPr>
                <w:sz w:val="24"/>
                <w:u w:val="none"/>
              </w:rPr>
              <w:t>Plani i dizejnuar i mësimit</w:t>
            </w:r>
          </w:p>
        </w:tc>
      </w:tr>
      <w:tr w:rsidR="00606844" w14:paraId="6CF5CD10" w14:textId="77777777" w:rsidTr="000A6D87">
        <w:tblPrEx>
          <w:tblCellMar>
            <w:top w:w="5" w:type="dxa"/>
            <w:left w:w="0" w:type="dxa"/>
            <w:bottom w:w="3" w:type="dxa"/>
            <w:right w:w="0" w:type="dxa"/>
          </w:tblCellMar>
        </w:tblPrEx>
        <w:trPr>
          <w:gridAfter w:val="1"/>
          <w:wAfter w:w="20" w:type="dxa"/>
          <w:trHeight w:val="399"/>
        </w:trPr>
        <w:tc>
          <w:tcPr>
            <w:tcW w:w="2528" w:type="dxa"/>
            <w:tcBorders>
              <w:top w:val="single" w:sz="4" w:space="0" w:color="000000"/>
              <w:left w:val="single" w:sz="4" w:space="0" w:color="000000"/>
              <w:bottom w:val="single" w:sz="4" w:space="0" w:color="000000"/>
              <w:right w:val="single" w:sz="4" w:space="0" w:color="000000"/>
            </w:tcBorders>
            <w:shd w:val="clear" w:color="auto" w:fill="B8CCE4"/>
          </w:tcPr>
          <w:p w14:paraId="4C46D982" w14:textId="0905F083" w:rsidR="00606844" w:rsidRDefault="005D7B83" w:rsidP="00285CC2">
            <w:pPr>
              <w:spacing w:after="21"/>
              <w:ind w:left="107"/>
            </w:pPr>
            <w:r>
              <w:rPr>
                <w:sz w:val="20"/>
                <w:u w:val="none"/>
              </w:rPr>
              <w:t xml:space="preserve"> </w:t>
            </w:r>
            <w:r>
              <w:rPr>
                <w:sz w:val="24"/>
                <w:u w:val="none"/>
              </w:rPr>
              <w:t xml:space="preserve">Java </w:t>
            </w:r>
          </w:p>
        </w:tc>
        <w:tc>
          <w:tcPr>
            <w:tcW w:w="6327" w:type="dxa"/>
            <w:gridSpan w:val="3"/>
            <w:tcBorders>
              <w:top w:val="single" w:sz="4" w:space="0" w:color="000000"/>
              <w:left w:val="single" w:sz="4" w:space="0" w:color="000000"/>
              <w:bottom w:val="single" w:sz="4" w:space="0" w:color="000000"/>
              <w:right w:val="single" w:sz="4" w:space="0" w:color="000000"/>
            </w:tcBorders>
            <w:shd w:val="clear" w:color="auto" w:fill="B8CCE4"/>
          </w:tcPr>
          <w:p w14:paraId="22B3F61F" w14:textId="46DF8BE0" w:rsidR="00606844" w:rsidRDefault="005D7B83" w:rsidP="00285CC2">
            <w:pPr>
              <w:spacing w:after="21"/>
              <w:ind w:left="108"/>
            </w:pPr>
            <w:r>
              <w:rPr>
                <w:sz w:val="20"/>
                <w:u w:val="none"/>
              </w:rPr>
              <w:t xml:space="preserve"> </w:t>
            </w:r>
            <w:r>
              <w:rPr>
                <w:sz w:val="24"/>
                <w:u w:val="none"/>
              </w:rPr>
              <w:t xml:space="preserve">Ligjërata që do të zhvillohet </w:t>
            </w:r>
          </w:p>
        </w:tc>
      </w:tr>
      <w:tr w:rsidR="00606844" w14:paraId="3E59D1B7" w14:textId="77777777" w:rsidTr="000A6D87">
        <w:tblPrEx>
          <w:tblCellMar>
            <w:top w:w="5" w:type="dxa"/>
            <w:left w:w="0" w:type="dxa"/>
            <w:bottom w:w="3" w:type="dxa"/>
            <w:right w:w="0" w:type="dxa"/>
          </w:tblCellMar>
        </w:tblPrEx>
        <w:trPr>
          <w:gridAfter w:val="1"/>
          <w:wAfter w:w="20" w:type="dxa"/>
          <w:trHeight w:val="349"/>
        </w:trPr>
        <w:tc>
          <w:tcPr>
            <w:tcW w:w="2528" w:type="dxa"/>
            <w:tcBorders>
              <w:top w:val="single" w:sz="4" w:space="0" w:color="000000"/>
              <w:left w:val="single" w:sz="4" w:space="0" w:color="000000"/>
              <w:bottom w:val="single" w:sz="4" w:space="0" w:color="000000"/>
              <w:right w:val="single" w:sz="4" w:space="0" w:color="000000"/>
            </w:tcBorders>
          </w:tcPr>
          <w:p w14:paraId="2CC8DBCB" w14:textId="77777777" w:rsidR="00606844" w:rsidRDefault="005D7B83">
            <w:pPr>
              <w:ind w:left="107"/>
            </w:pPr>
            <w:r>
              <w:rPr>
                <w:i/>
                <w:sz w:val="24"/>
                <w:u w:val="none"/>
              </w:rPr>
              <w:t>Java e parë:</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30A4D3B0" w14:textId="77777777" w:rsidR="00606844" w:rsidRDefault="005D7B83">
            <w:pPr>
              <w:ind w:left="108"/>
            </w:pPr>
            <w:r>
              <w:rPr>
                <w:b w:val="0"/>
                <w:i/>
                <w:sz w:val="22"/>
                <w:u w:val="none"/>
              </w:rPr>
              <w:t xml:space="preserve">Prezantim i kontabilitetit dhe bizneseve </w:t>
            </w:r>
          </w:p>
        </w:tc>
      </w:tr>
      <w:tr w:rsidR="00606844" w14:paraId="46A41EBB" w14:textId="77777777" w:rsidTr="000A6D87">
        <w:tblPrEx>
          <w:tblCellMar>
            <w:top w:w="5" w:type="dxa"/>
            <w:left w:w="0" w:type="dxa"/>
            <w:bottom w:w="3" w:type="dxa"/>
            <w:right w:w="0" w:type="dxa"/>
          </w:tblCellMar>
        </w:tblPrEx>
        <w:trPr>
          <w:gridAfter w:val="1"/>
          <w:wAfter w:w="20" w:type="dxa"/>
          <w:trHeight w:val="348"/>
        </w:trPr>
        <w:tc>
          <w:tcPr>
            <w:tcW w:w="2528" w:type="dxa"/>
            <w:tcBorders>
              <w:top w:val="single" w:sz="4" w:space="0" w:color="000000"/>
              <w:left w:val="single" w:sz="4" w:space="0" w:color="000000"/>
              <w:bottom w:val="single" w:sz="4" w:space="0" w:color="000000"/>
              <w:right w:val="single" w:sz="4" w:space="0" w:color="000000"/>
            </w:tcBorders>
          </w:tcPr>
          <w:p w14:paraId="16CF3DF6" w14:textId="77777777" w:rsidR="00606844" w:rsidRDefault="005D7B83">
            <w:pPr>
              <w:ind w:left="107"/>
            </w:pPr>
            <w:r>
              <w:rPr>
                <w:i/>
                <w:sz w:val="24"/>
                <w:u w:val="none"/>
              </w:rPr>
              <w:t>Java e dytë:</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2788D019" w14:textId="77777777" w:rsidR="00606844" w:rsidRDefault="005D7B83">
            <w:pPr>
              <w:ind w:left="108"/>
            </w:pPr>
            <w:r>
              <w:rPr>
                <w:b w:val="0"/>
                <w:i/>
                <w:sz w:val="22"/>
                <w:u w:val="none"/>
              </w:rPr>
              <w:t xml:space="preserve">Prezantim i pasqyrave financiare  </w:t>
            </w:r>
          </w:p>
        </w:tc>
      </w:tr>
      <w:tr w:rsidR="00606844" w14:paraId="0153CCA3" w14:textId="77777777" w:rsidTr="000A6D87">
        <w:tblPrEx>
          <w:tblCellMar>
            <w:top w:w="5" w:type="dxa"/>
            <w:left w:w="0" w:type="dxa"/>
            <w:bottom w:w="3" w:type="dxa"/>
            <w:right w:w="0" w:type="dxa"/>
          </w:tblCellMar>
        </w:tblPrEx>
        <w:trPr>
          <w:gridAfter w:val="1"/>
          <w:wAfter w:w="20" w:type="dxa"/>
          <w:trHeight w:val="346"/>
        </w:trPr>
        <w:tc>
          <w:tcPr>
            <w:tcW w:w="2528" w:type="dxa"/>
            <w:tcBorders>
              <w:top w:val="single" w:sz="4" w:space="0" w:color="000000"/>
              <w:left w:val="single" w:sz="4" w:space="0" w:color="000000"/>
              <w:bottom w:val="single" w:sz="4" w:space="0" w:color="000000"/>
              <w:right w:val="single" w:sz="4" w:space="0" w:color="000000"/>
            </w:tcBorders>
          </w:tcPr>
          <w:p w14:paraId="213BC8FF" w14:textId="77777777" w:rsidR="00606844" w:rsidRDefault="005D7B83">
            <w:pPr>
              <w:ind w:left="107"/>
            </w:pPr>
            <w:r>
              <w:rPr>
                <w:i/>
                <w:sz w:val="24"/>
                <w:u w:val="none"/>
              </w:rPr>
              <w:t>Java e tretë</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0D9AA90B" w14:textId="77777777" w:rsidR="00606844" w:rsidRDefault="005D7B83">
            <w:pPr>
              <w:ind w:left="108"/>
            </w:pPr>
            <w:r>
              <w:rPr>
                <w:b w:val="0"/>
                <w:i/>
                <w:sz w:val="22"/>
                <w:u w:val="none"/>
              </w:rPr>
              <w:t xml:space="preserve">Ekuacioni i kontabilitetit të dyfishtë  </w:t>
            </w:r>
          </w:p>
        </w:tc>
      </w:tr>
      <w:tr w:rsidR="00606844" w14:paraId="62B0BDC9" w14:textId="77777777" w:rsidTr="000A6D87">
        <w:tblPrEx>
          <w:tblCellMar>
            <w:top w:w="5" w:type="dxa"/>
            <w:left w:w="0" w:type="dxa"/>
            <w:bottom w:w="3" w:type="dxa"/>
            <w:right w:w="0" w:type="dxa"/>
          </w:tblCellMar>
        </w:tblPrEx>
        <w:trPr>
          <w:gridAfter w:val="1"/>
          <w:wAfter w:w="20" w:type="dxa"/>
          <w:trHeight w:val="348"/>
        </w:trPr>
        <w:tc>
          <w:tcPr>
            <w:tcW w:w="2528" w:type="dxa"/>
            <w:tcBorders>
              <w:top w:val="single" w:sz="4" w:space="0" w:color="000000"/>
              <w:left w:val="single" w:sz="4" w:space="0" w:color="000000"/>
              <w:bottom w:val="single" w:sz="4" w:space="0" w:color="000000"/>
              <w:right w:val="single" w:sz="4" w:space="0" w:color="000000"/>
            </w:tcBorders>
          </w:tcPr>
          <w:p w14:paraId="06DE4131" w14:textId="77777777" w:rsidR="00606844" w:rsidRDefault="005D7B83">
            <w:pPr>
              <w:ind w:left="107"/>
            </w:pPr>
            <w:r>
              <w:rPr>
                <w:i/>
                <w:sz w:val="24"/>
                <w:u w:val="none"/>
              </w:rPr>
              <w:t>Java e katërt:</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17779C38" w14:textId="77777777" w:rsidR="00606844" w:rsidRDefault="005D7B83">
            <w:pPr>
              <w:ind w:left="108"/>
            </w:pPr>
            <w:r>
              <w:rPr>
                <w:b w:val="0"/>
                <w:i/>
                <w:sz w:val="22"/>
                <w:u w:val="none"/>
              </w:rPr>
              <w:t xml:space="preserve">Analiza dhe regjistrimi i transaksioneve në biznes </w:t>
            </w:r>
          </w:p>
        </w:tc>
      </w:tr>
      <w:tr w:rsidR="00606844" w14:paraId="51327671" w14:textId="77777777" w:rsidTr="000A6D87">
        <w:tblPrEx>
          <w:tblCellMar>
            <w:top w:w="5" w:type="dxa"/>
            <w:left w:w="0" w:type="dxa"/>
            <w:bottom w:w="3" w:type="dxa"/>
            <w:right w:w="0" w:type="dxa"/>
          </w:tblCellMar>
        </w:tblPrEx>
        <w:trPr>
          <w:gridAfter w:val="1"/>
          <w:wAfter w:w="20" w:type="dxa"/>
          <w:trHeight w:val="346"/>
        </w:trPr>
        <w:tc>
          <w:tcPr>
            <w:tcW w:w="2528" w:type="dxa"/>
            <w:tcBorders>
              <w:top w:val="single" w:sz="4" w:space="0" w:color="000000"/>
              <w:left w:val="single" w:sz="4" w:space="0" w:color="000000"/>
              <w:bottom w:val="single" w:sz="4" w:space="0" w:color="000000"/>
              <w:right w:val="single" w:sz="4" w:space="0" w:color="000000"/>
            </w:tcBorders>
          </w:tcPr>
          <w:p w14:paraId="316DBB5F" w14:textId="77777777" w:rsidR="00606844" w:rsidRDefault="005D7B83">
            <w:pPr>
              <w:ind w:left="107"/>
            </w:pPr>
            <w:r>
              <w:rPr>
                <w:i/>
                <w:sz w:val="24"/>
                <w:u w:val="none"/>
              </w:rPr>
              <w:t>Java e pestë:</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59BA0A85" w14:textId="491A2A57" w:rsidR="00285CC2" w:rsidRPr="00285CC2" w:rsidRDefault="005D7B83" w:rsidP="00285CC2">
            <w:pPr>
              <w:ind w:left="108"/>
              <w:rPr>
                <w:b w:val="0"/>
                <w:i/>
                <w:sz w:val="22"/>
                <w:u w:val="none"/>
              </w:rPr>
            </w:pPr>
            <w:r>
              <w:rPr>
                <w:b w:val="0"/>
                <w:i/>
                <w:sz w:val="22"/>
                <w:u w:val="none"/>
              </w:rPr>
              <w:t xml:space="preserve">Rrjedha e transaksioneve në biznes </w:t>
            </w:r>
          </w:p>
        </w:tc>
      </w:tr>
      <w:tr w:rsidR="00606844" w14:paraId="4AF3EFA2" w14:textId="77777777" w:rsidTr="000A6D87">
        <w:tblPrEx>
          <w:tblCellMar>
            <w:top w:w="5" w:type="dxa"/>
            <w:left w:w="0" w:type="dxa"/>
            <w:bottom w:w="3" w:type="dxa"/>
            <w:right w:w="0" w:type="dxa"/>
          </w:tblCellMar>
        </w:tblPrEx>
        <w:trPr>
          <w:gridAfter w:val="1"/>
          <w:wAfter w:w="20" w:type="dxa"/>
          <w:trHeight w:val="348"/>
        </w:trPr>
        <w:tc>
          <w:tcPr>
            <w:tcW w:w="2528" w:type="dxa"/>
            <w:tcBorders>
              <w:top w:val="single" w:sz="4" w:space="0" w:color="000000"/>
              <w:left w:val="single" w:sz="4" w:space="0" w:color="000000"/>
              <w:bottom w:val="single" w:sz="4" w:space="0" w:color="000000"/>
              <w:right w:val="single" w:sz="4" w:space="0" w:color="000000"/>
            </w:tcBorders>
          </w:tcPr>
          <w:p w14:paraId="17F6BCFF" w14:textId="77777777" w:rsidR="00606844" w:rsidRDefault="005D7B83">
            <w:pPr>
              <w:ind w:left="107"/>
            </w:pPr>
            <w:r>
              <w:rPr>
                <w:i/>
                <w:sz w:val="24"/>
                <w:u w:val="none"/>
              </w:rPr>
              <w:t>Java e gjashtë</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6FBD4459" w14:textId="77777777" w:rsidR="00606844" w:rsidRDefault="005D7B83">
            <w:pPr>
              <w:ind w:left="108"/>
            </w:pPr>
            <w:r>
              <w:rPr>
                <w:b w:val="0"/>
                <w:i/>
                <w:sz w:val="22"/>
                <w:u w:val="none"/>
              </w:rPr>
              <w:t xml:space="preserve">Kompletimi i ciklit të kontabilitetit </w:t>
            </w:r>
          </w:p>
        </w:tc>
      </w:tr>
      <w:tr w:rsidR="00606844" w14:paraId="7012FF7B" w14:textId="77777777" w:rsidTr="000A6D87">
        <w:tblPrEx>
          <w:tblCellMar>
            <w:top w:w="5" w:type="dxa"/>
            <w:left w:w="0" w:type="dxa"/>
            <w:bottom w:w="3" w:type="dxa"/>
            <w:right w:w="0" w:type="dxa"/>
          </w:tblCellMar>
        </w:tblPrEx>
        <w:trPr>
          <w:gridAfter w:val="1"/>
          <w:wAfter w:w="20" w:type="dxa"/>
          <w:trHeight w:val="346"/>
        </w:trPr>
        <w:tc>
          <w:tcPr>
            <w:tcW w:w="2528" w:type="dxa"/>
            <w:tcBorders>
              <w:top w:val="single" w:sz="4" w:space="0" w:color="000000"/>
              <w:left w:val="single" w:sz="4" w:space="0" w:color="000000"/>
              <w:bottom w:val="single" w:sz="4" w:space="0" w:color="000000"/>
              <w:right w:val="single" w:sz="4" w:space="0" w:color="000000"/>
            </w:tcBorders>
          </w:tcPr>
          <w:p w14:paraId="0B3D09DF" w14:textId="77777777" w:rsidR="00606844" w:rsidRDefault="005D7B83" w:rsidP="00285CC2">
            <w:pPr>
              <w:spacing w:line="240" w:lineRule="auto"/>
              <w:ind w:left="107"/>
            </w:pPr>
            <w:r>
              <w:rPr>
                <w:i/>
                <w:sz w:val="24"/>
                <w:u w:val="none"/>
              </w:rPr>
              <w:t>Java e shtatë:</w:t>
            </w:r>
            <w:r>
              <w:rPr>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3FB078B1" w14:textId="711D9A68" w:rsidR="00606844" w:rsidRDefault="00285CC2">
            <w:pPr>
              <w:ind w:left="108"/>
            </w:pPr>
            <w:r>
              <w:rPr>
                <w:b w:val="0"/>
                <w:i/>
                <w:sz w:val="22"/>
                <w:u w:val="none"/>
              </w:rPr>
              <w:t>Kompletimi i ciklit të kontabilitetit (vazhdim)</w:t>
            </w:r>
            <w:r w:rsidR="005D7B83">
              <w:rPr>
                <w:b w:val="0"/>
                <w:i/>
                <w:sz w:val="22"/>
                <w:u w:val="none"/>
              </w:rPr>
              <w:t xml:space="preserve"> </w:t>
            </w:r>
          </w:p>
        </w:tc>
      </w:tr>
      <w:tr w:rsidR="00606844" w14:paraId="514AE82C" w14:textId="77777777" w:rsidTr="000A6D87">
        <w:tblPrEx>
          <w:tblCellMar>
            <w:top w:w="5" w:type="dxa"/>
            <w:left w:w="0" w:type="dxa"/>
            <w:bottom w:w="3" w:type="dxa"/>
            <w:right w:w="0" w:type="dxa"/>
          </w:tblCellMar>
        </w:tblPrEx>
        <w:trPr>
          <w:gridAfter w:val="1"/>
          <w:wAfter w:w="20" w:type="dxa"/>
          <w:trHeight w:val="348"/>
        </w:trPr>
        <w:tc>
          <w:tcPr>
            <w:tcW w:w="2528" w:type="dxa"/>
            <w:tcBorders>
              <w:top w:val="single" w:sz="4" w:space="0" w:color="000000"/>
              <w:left w:val="single" w:sz="4" w:space="0" w:color="000000"/>
              <w:bottom w:val="single" w:sz="4" w:space="0" w:color="000000"/>
              <w:right w:val="single" w:sz="4" w:space="0" w:color="000000"/>
            </w:tcBorders>
          </w:tcPr>
          <w:p w14:paraId="23E00214" w14:textId="77777777" w:rsidR="00606844" w:rsidRDefault="005D7B83">
            <w:pPr>
              <w:ind w:left="107"/>
            </w:pPr>
            <w:r>
              <w:rPr>
                <w:i/>
                <w:sz w:val="24"/>
                <w:u w:val="none"/>
              </w:rPr>
              <w:t>Java e tetë:</w:t>
            </w:r>
            <w:r>
              <w:rPr>
                <w:sz w:val="24"/>
                <w:u w:val="none"/>
              </w:rPr>
              <w:t xml:space="preserve">  </w:t>
            </w:r>
            <w:r>
              <w:rPr>
                <w:i/>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63BC7E6C" w14:textId="52ED09B1" w:rsidR="00606844" w:rsidRPr="00285CC2" w:rsidRDefault="00285CC2">
            <w:pPr>
              <w:ind w:left="108"/>
              <w:rPr>
                <w:b w:val="0"/>
                <w:bCs/>
                <w:i/>
                <w:iCs/>
                <w:u w:val="none"/>
              </w:rPr>
            </w:pPr>
            <w:r w:rsidRPr="00285CC2">
              <w:rPr>
                <w:b w:val="0"/>
                <w:bCs/>
                <w:i/>
                <w:iCs/>
                <w:sz w:val="22"/>
                <w:szCs w:val="16"/>
                <w:u w:val="none"/>
              </w:rPr>
              <w:t>Regjistrimet mbyllëse</w:t>
            </w:r>
          </w:p>
        </w:tc>
      </w:tr>
      <w:tr w:rsidR="00606844" w14:paraId="3FF012E6" w14:textId="77777777" w:rsidTr="000A6D87">
        <w:tblPrEx>
          <w:tblCellMar>
            <w:top w:w="5" w:type="dxa"/>
            <w:left w:w="0" w:type="dxa"/>
            <w:bottom w:w="3" w:type="dxa"/>
            <w:right w:w="0" w:type="dxa"/>
          </w:tblCellMar>
        </w:tblPrEx>
        <w:trPr>
          <w:gridAfter w:val="1"/>
          <w:wAfter w:w="20" w:type="dxa"/>
          <w:trHeight w:val="346"/>
        </w:trPr>
        <w:tc>
          <w:tcPr>
            <w:tcW w:w="2528" w:type="dxa"/>
            <w:tcBorders>
              <w:top w:val="single" w:sz="4" w:space="0" w:color="000000"/>
              <w:left w:val="single" w:sz="4" w:space="0" w:color="000000"/>
              <w:bottom w:val="single" w:sz="4" w:space="0" w:color="000000"/>
              <w:right w:val="single" w:sz="4" w:space="0" w:color="000000"/>
            </w:tcBorders>
          </w:tcPr>
          <w:p w14:paraId="41B9D240" w14:textId="77777777" w:rsidR="00606844" w:rsidRDefault="005D7B83">
            <w:pPr>
              <w:ind w:left="107"/>
            </w:pPr>
            <w:r>
              <w:rPr>
                <w:i/>
                <w:sz w:val="24"/>
                <w:u w:val="none"/>
              </w:rPr>
              <w:t>Java e nëntë:</w:t>
            </w:r>
            <w:r>
              <w:rPr>
                <w:sz w:val="24"/>
                <w:u w:val="none"/>
              </w:rPr>
              <w:t xml:space="preserve">  </w:t>
            </w:r>
            <w:r>
              <w:rPr>
                <w:i/>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10C3BB2B" w14:textId="4D01F5F0" w:rsidR="00606844" w:rsidRDefault="00285CC2">
            <w:pPr>
              <w:ind w:left="108"/>
            </w:pPr>
            <w:r>
              <w:rPr>
                <w:b w:val="0"/>
                <w:i/>
                <w:sz w:val="22"/>
                <w:u w:val="none"/>
              </w:rPr>
              <w:t>Testi i parë</w:t>
            </w:r>
          </w:p>
        </w:tc>
      </w:tr>
      <w:tr w:rsidR="00606844" w14:paraId="2D6724EC" w14:textId="77777777" w:rsidTr="000A6D87">
        <w:tblPrEx>
          <w:tblCellMar>
            <w:top w:w="5" w:type="dxa"/>
            <w:left w:w="0" w:type="dxa"/>
            <w:bottom w:w="3" w:type="dxa"/>
            <w:right w:w="0" w:type="dxa"/>
          </w:tblCellMar>
        </w:tblPrEx>
        <w:trPr>
          <w:gridAfter w:val="1"/>
          <w:wAfter w:w="20" w:type="dxa"/>
          <w:trHeight w:val="320"/>
        </w:trPr>
        <w:tc>
          <w:tcPr>
            <w:tcW w:w="2528" w:type="dxa"/>
            <w:tcBorders>
              <w:top w:val="single" w:sz="4" w:space="0" w:color="000000"/>
              <w:left w:val="single" w:sz="4" w:space="0" w:color="000000"/>
              <w:bottom w:val="single" w:sz="4" w:space="0" w:color="000000"/>
              <w:right w:val="single" w:sz="4" w:space="0" w:color="000000"/>
            </w:tcBorders>
          </w:tcPr>
          <w:p w14:paraId="7811D6D2" w14:textId="77777777" w:rsidR="00606844" w:rsidRDefault="005D7B83">
            <w:pPr>
              <w:ind w:left="107"/>
            </w:pPr>
            <w:r>
              <w:rPr>
                <w:i/>
                <w:sz w:val="24"/>
                <w:u w:val="none"/>
              </w:rPr>
              <w:t xml:space="preserve">Java e dhjetë: </w:t>
            </w:r>
          </w:p>
        </w:tc>
        <w:tc>
          <w:tcPr>
            <w:tcW w:w="6327" w:type="dxa"/>
            <w:gridSpan w:val="3"/>
            <w:tcBorders>
              <w:top w:val="single" w:sz="4" w:space="0" w:color="000000"/>
              <w:left w:val="single" w:sz="4" w:space="0" w:color="000000"/>
              <w:bottom w:val="single" w:sz="4" w:space="0" w:color="000000"/>
              <w:right w:val="single" w:sz="4" w:space="0" w:color="000000"/>
            </w:tcBorders>
          </w:tcPr>
          <w:p w14:paraId="5F6B2B40" w14:textId="1867C1FE" w:rsidR="00606844" w:rsidRDefault="00285CC2">
            <w:pPr>
              <w:ind w:left="108"/>
            </w:pPr>
            <w:r>
              <w:rPr>
                <w:b w:val="0"/>
                <w:i/>
                <w:sz w:val="22"/>
                <w:u w:val="none"/>
              </w:rPr>
              <w:t>Kontabiliteti i veprimtarive tregtare</w:t>
            </w:r>
          </w:p>
        </w:tc>
      </w:tr>
      <w:tr w:rsidR="00606844" w14:paraId="29969C6C" w14:textId="77777777" w:rsidTr="000A6D87">
        <w:tblPrEx>
          <w:tblCellMar>
            <w:top w:w="5" w:type="dxa"/>
            <w:left w:w="0" w:type="dxa"/>
            <w:bottom w:w="3" w:type="dxa"/>
            <w:right w:w="0" w:type="dxa"/>
          </w:tblCellMar>
        </w:tblPrEx>
        <w:trPr>
          <w:gridAfter w:val="1"/>
          <w:wAfter w:w="20" w:type="dxa"/>
          <w:trHeight w:val="346"/>
        </w:trPr>
        <w:tc>
          <w:tcPr>
            <w:tcW w:w="2528" w:type="dxa"/>
            <w:tcBorders>
              <w:top w:val="single" w:sz="4" w:space="0" w:color="000000"/>
              <w:left w:val="single" w:sz="4" w:space="0" w:color="000000"/>
              <w:bottom w:val="single" w:sz="4" w:space="0" w:color="000000"/>
              <w:right w:val="single" w:sz="4" w:space="0" w:color="000000"/>
            </w:tcBorders>
          </w:tcPr>
          <w:p w14:paraId="69003013" w14:textId="77777777" w:rsidR="00606844" w:rsidRDefault="005D7B83">
            <w:pPr>
              <w:ind w:left="107"/>
            </w:pPr>
            <w:r>
              <w:rPr>
                <w:i/>
                <w:sz w:val="24"/>
                <w:u w:val="none"/>
              </w:rPr>
              <w:t>Java e njëmbedhjetë</w:t>
            </w:r>
            <w:r>
              <w:rPr>
                <w:sz w:val="24"/>
                <w:u w:val="none"/>
              </w:rPr>
              <w:t>:</w:t>
            </w:r>
            <w:r>
              <w:rPr>
                <w:i/>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47412789" w14:textId="385FA8FF" w:rsidR="00606844" w:rsidRDefault="00285CC2">
            <w:pPr>
              <w:ind w:left="108"/>
            </w:pPr>
            <w:r>
              <w:rPr>
                <w:b w:val="0"/>
                <w:i/>
                <w:sz w:val="22"/>
                <w:u w:val="none"/>
              </w:rPr>
              <w:t>Blerja e mallrave dhe shërbimeve</w:t>
            </w:r>
          </w:p>
        </w:tc>
      </w:tr>
      <w:tr w:rsidR="00606844" w14:paraId="3071F56F" w14:textId="77777777" w:rsidTr="000A6D87">
        <w:tblPrEx>
          <w:tblCellMar>
            <w:top w:w="5" w:type="dxa"/>
            <w:left w:w="0" w:type="dxa"/>
            <w:bottom w:w="3" w:type="dxa"/>
            <w:right w:w="0" w:type="dxa"/>
          </w:tblCellMar>
        </w:tblPrEx>
        <w:trPr>
          <w:gridAfter w:val="1"/>
          <w:wAfter w:w="20" w:type="dxa"/>
          <w:trHeight w:val="348"/>
        </w:trPr>
        <w:tc>
          <w:tcPr>
            <w:tcW w:w="2528" w:type="dxa"/>
            <w:tcBorders>
              <w:top w:val="single" w:sz="4" w:space="0" w:color="000000"/>
              <w:left w:val="single" w:sz="4" w:space="0" w:color="000000"/>
              <w:bottom w:val="single" w:sz="4" w:space="0" w:color="000000"/>
              <w:right w:val="single" w:sz="4" w:space="0" w:color="000000"/>
            </w:tcBorders>
          </w:tcPr>
          <w:p w14:paraId="11FB930F" w14:textId="77777777" w:rsidR="00606844" w:rsidRDefault="005D7B83">
            <w:pPr>
              <w:ind w:left="107"/>
            </w:pPr>
            <w:r>
              <w:rPr>
                <w:i/>
                <w:sz w:val="24"/>
                <w:u w:val="none"/>
              </w:rPr>
              <w:t>Java e dymbëdhjetë</w:t>
            </w:r>
            <w:r>
              <w:rPr>
                <w:sz w:val="24"/>
                <w:u w:val="none"/>
              </w:rPr>
              <w:t xml:space="preserve">:  </w:t>
            </w:r>
            <w:r>
              <w:rPr>
                <w:i/>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7B456649" w14:textId="48949683" w:rsidR="00606844" w:rsidRPr="00285CC2" w:rsidRDefault="00285CC2" w:rsidP="00285CC2">
            <w:pPr>
              <w:rPr>
                <w:b w:val="0"/>
                <w:bCs/>
                <w:sz w:val="22"/>
                <w:szCs w:val="16"/>
                <w:u w:val="none"/>
              </w:rPr>
            </w:pPr>
            <w:r>
              <w:rPr>
                <w:b w:val="0"/>
                <w:bCs/>
                <w:sz w:val="22"/>
                <w:szCs w:val="16"/>
                <w:u w:val="none"/>
              </w:rPr>
              <w:t xml:space="preserve">  </w:t>
            </w:r>
            <w:r>
              <w:rPr>
                <w:b w:val="0"/>
                <w:i/>
                <w:sz w:val="22"/>
                <w:u w:val="none"/>
              </w:rPr>
              <w:t>Shitja e mallrave dhe shërbimeve</w:t>
            </w:r>
          </w:p>
        </w:tc>
      </w:tr>
      <w:tr w:rsidR="00606844" w14:paraId="4B324DF6" w14:textId="77777777" w:rsidTr="000A6D87">
        <w:tblPrEx>
          <w:tblCellMar>
            <w:top w:w="5" w:type="dxa"/>
            <w:left w:w="0" w:type="dxa"/>
            <w:bottom w:w="3" w:type="dxa"/>
            <w:right w:w="0" w:type="dxa"/>
          </w:tblCellMar>
        </w:tblPrEx>
        <w:trPr>
          <w:gridAfter w:val="1"/>
          <w:wAfter w:w="20" w:type="dxa"/>
          <w:trHeight w:val="348"/>
        </w:trPr>
        <w:tc>
          <w:tcPr>
            <w:tcW w:w="2528" w:type="dxa"/>
            <w:tcBorders>
              <w:top w:val="single" w:sz="4" w:space="0" w:color="000000"/>
              <w:left w:val="single" w:sz="4" w:space="0" w:color="000000"/>
              <w:bottom w:val="single" w:sz="4" w:space="0" w:color="000000"/>
              <w:right w:val="single" w:sz="4" w:space="0" w:color="000000"/>
            </w:tcBorders>
          </w:tcPr>
          <w:p w14:paraId="1EE160FE" w14:textId="77777777" w:rsidR="00606844" w:rsidRDefault="005D7B83">
            <w:pPr>
              <w:ind w:left="107"/>
            </w:pPr>
            <w:r>
              <w:rPr>
                <w:i/>
                <w:sz w:val="24"/>
                <w:u w:val="none"/>
              </w:rPr>
              <w:t>Java e trembëdhjetë</w:t>
            </w:r>
            <w:r>
              <w:rPr>
                <w:sz w:val="24"/>
                <w:u w:val="none"/>
              </w:rPr>
              <w:t xml:space="preserve">:    </w:t>
            </w:r>
            <w:r>
              <w:rPr>
                <w:i/>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4752B68E" w14:textId="0BE0FEED" w:rsidR="00606844" w:rsidRPr="00285CC2" w:rsidRDefault="00285CC2">
            <w:pPr>
              <w:ind w:left="108"/>
              <w:rPr>
                <w:b w:val="0"/>
                <w:bCs/>
                <w:i/>
                <w:iCs/>
                <w:sz w:val="22"/>
                <w:szCs w:val="16"/>
                <w:u w:val="none"/>
              </w:rPr>
            </w:pPr>
            <w:r>
              <w:rPr>
                <w:b w:val="0"/>
                <w:bCs/>
                <w:sz w:val="22"/>
                <w:szCs w:val="16"/>
                <w:u w:val="none"/>
              </w:rPr>
              <w:t>Kthimet dhe lejimet dhe zbritjet në blerje dhe shitje</w:t>
            </w:r>
          </w:p>
        </w:tc>
      </w:tr>
      <w:tr w:rsidR="00606844" w14:paraId="72616810" w14:textId="77777777" w:rsidTr="000A6D87">
        <w:tblPrEx>
          <w:tblCellMar>
            <w:top w:w="5" w:type="dxa"/>
            <w:left w:w="0" w:type="dxa"/>
            <w:bottom w:w="3" w:type="dxa"/>
            <w:right w:w="0" w:type="dxa"/>
          </w:tblCellMar>
        </w:tblPrEx>
        <w:trPr>
          <w:gridAfter w:val="1"/>
          <w:wAfter w:w="20" w:type="dxa"/>
          <w:trHeight w:val="346"/>
        </w:trPr>
        <w:tc>
          <w:tcPr>
            <w:tcW w:w="2528" w:type="dxa"/>
            <w:tcBorders>
              <w:top w:val="single" w:sz="4" w:space="0" w:color="000000"/>
              <w:left w:val="single" w:sz="4" w:space="0" w:color="000000"/>
              <w:bottom w:val="single" w:sz="4" w:space="0" w:color="000000"/>
              <w:right w:val="single" w:sz="4" w:space="0" w:color="000000"/>
            </w:tcBorders>
          </w:tcPr>
          <w:p w14:paraId="63E5B12E" w14:textId="77777777" w:rsidR="00606844" w:rsidRDefault="005D7B83">
            <w:pPr>
              <w:ind w:left="107"/>
            </w:pPr>
            <w:r>
              <w:rPr>
                <w:i/>
                <w:sz w:val="24"/>
                <w:u w:val="none"/>
              </w:rPr>
              <w:t>Java e katërmbëdhjetë</w:t>
            </w:r>
            <w:r>
              <w:rPr>
                <w:sz w:val="24"/>
                <w:u w:val="none"/>
              </w:rPr>
              <w:t xml:space="preserve">:  </w:t>
            </w:r>
            <w:r>
              <w:rPr>
                <w:i/>
                <w:sz w:val="24"/>
                <w:u w:val="none"/>
              </w:rPr>
              <w:t xml:space="preserve"> </w:t>
            </w:r>
          </w:p>
        </w:tc>
        <w:tc>
          <w:tcPr>
            <w:tcW w:w="6327" w:type="dxa"/>
            <w:gridSpan w:val="3"/>
            <w:tcBorders>
              <w:top w:val="single" w:sz="4" w:space="0" w:color="000000"/>
              <w:left w:val="single" w:sz="4" w:space="0" w:color="000000"/>
              <w:bottom w:val="single" w:sz="4" w:space="0" w:color="000000"/>
              <w:right w:val="single" w:sz="4" w:space="0" w:color="000000"/>
            </w:tcBorders>
          </w:tcPr>
          <w:p w14:paraId="7DCB113E" w14:textId="687D27BD" w:rsidR="00606844" w:rsidRPr="00285CC2" w:rsidRDefault="00285CC2" w:rsidP="00285CC2">
            <w:pPr>
              <w:rPr>
                <w:sz w:val="22"/>
                <w:szCs w:val="16"/>
              </w:rPr>
            </w:pPr>
            <w:r>
              <w:rPr>
                <w:i/>
                <w:sz w:val="22"/>
                <w:u w:val="none"/>
              </w:rPr>
              <w:t xml:space="preserve">  </w:t>
            </w:r>
            <w:r>
              <w:rPr>
                <w:b w:val="0"/>
                <w:i/>
                <w:sz w:val="22"/>
                <w:u w:val="none"/>
              </w:rPr>
              <w:t>Testi i dytë</w:t>
            </w:r>
          </w:p>
        </w:tc>
      </w:tr>
      <w:tr w:rsidR="00606844" w14:paraId="492E1B82" w14:textId="77777777" w:rsidTr="000A6D87">
        <w:tblPrEx>
          <w:tblCellMar>
            <w:top w:w="5" w:type="dxa"/>
            <w:left w:w="0" w:type="dxa"/>
            <w:bottom w:w="3" w:type="dxa"/>
            <w:right w:w="0" w:type="dxa"/>
          </w:tblCellMar>
        </w:tblPrEx>
        <w:trPr>
          <w:gridAfter w:val="1"/>
          <w:wAfter w:w="20" w:type="dxa"/>
          <w:trHeight w:val="420"/>
        </w:trPr>
        <w:tc>
          <w:tcPr>
            <w:tcW w:w="2528" w:type="dxa"/>
            <w:tcBorders>
              <w:top w:val="single" w:sz="4" w:space="0" w:color="000000"/>
              <w:left w:val="single" w:sz="4" w:space="0" w:color="000000"/>
              <w:bottom w:val="double" w:sz="6" w:space="0" w:color="000000"/>
              <w:right w:val="single" w:sz="4" w:space="0" w:color="000000"/>
            </w:tcBorders>
          </w:tcPr>
          <w:p w14:paraId="1DE2276C" w14:textId="77777777" w:rsidR="00606844" w:rsidRDefault="005D7B83">
            <w:pPr>
              <w:ind w:left="107"/>
            </w:pPr>
            <w:r>
              <w:rPr>
                <w:i/>
                <w:sz w:val="24"/>
                <w:u w:val="none"/>
              </w:rPr>
              <w:t>Java e pesëmbëdhjetë</w:t>
            </w:r>
            <w:r>
              <w:rPr>
                <w:sz w:val="24"/>
                <w:u w:val="none"/>
              </w:rPr>
              <w:t xml:space="preserve">:   </w:t>
            </w:r>
            <w:r>
              <w:rPr>
                <w:i/>
                <w:sz w:val="24"/>
                <w:u w:val="none"/>
              </w:rPr>
              <w:t xml:space="preserve"> </w:t>
            </w:r>
          </w:p>
        </w:tc>
        <w:tc>
          <w:tcPr>
            <w:tcW w:w="6327" w:type="dxa"/>
            <w:gridSpan w:val="3"/>
            <w:tcBorders>
              <w:top w:val="single" w:sz="4" w:space="0" w:color="000000"/>
              <w:left w:val="single" w:sz="4" w:space="0" w:color="000000"/>
              <w:bottom w:val="double" w:sz="6" w:space="0" w:color="000000"/>
              <w:right w:val="single" w:sz="4" w:space="0" w:color="000000"/>
            </w:tcBorders>
          </w:tcPr>
          <w:p w14:paraId="080F2C96" w14:textId="6489A5D1" w:rsidR="00606844" w:rsidRPr="00285CC2" w:rsidRDefault="00285CC2">
            <w:pPr>
              <w:ind w:left="108"/>
              <w:rPr>
                <w:b w:val="0"/>
                <w:bCs/>
                <w:i/>
                <w:iCs/>
                <w:sz w:val="22"/>
                <w:szCs w:val="16"/>
                <w:u w:val="none"/>
              </w:rPr>
            </w:pPr>
            <w:r>
              <w:rPr>
                <w:b w:val="0"/>
                <w:bCs/>
                <w:i/>
                <w:iCs/>
                <w:sz w:val="22"/>
                <w:szCs w:val="16"/>
                <w:u w:val="none"/>
              </w:rPr>
              <w:t>Përmbyllje e ligjëratave</w:t>
            </w:r>
          </w:p>
        </w:tc>
      </w:tr>
    </w:tbl>
    <w:p w14:paraId="08E219BB" w14:textId="2CFEBFE7" w:rsidR="00606844" w:rsidRDefault="005D7B83">
      <w:pPr>
        <w:jc w:val="both"/>
        <w:rPr>
          <w:sz w:val="10"/>
          <w:u w:val="none"/>
        </w:rPr>
      </w:pPr>
      <w:r>
        <w:rPr>
          <w:sz w:val="10"/>
          <w:u w:val="none"/>
        </w:rPr>
        <w:t xml:space="preserve"> </w:t>
      </w:r>
    </w:p>
    <w:p w14:paraId="4414DB5B" w14:textId="6F30151C" w:rsidR="00285CC2" w:rsidRDefault="00285CC2">
      <w:pPr>
        <w:jc w:val="both"/>
        <w:rPr>
          <w:sz w:val="10"/>
        </w:rPr>
      </w:pPr>
    </w:p>
    <w:p w14:paraId="22A6D852" w14:textId="75C59315" w:rsidR="00285CC2" w:rsidRDefault="00285CC2">
      <w:pPr>
        <w:jc w:val="both"/>
        <w:rPr>
          <w:sz w:val="10"/>
        </w:rPr>
      </w:pPr>
    </w:p>
    <w:p w14:paraId="37A88FE7" w14:textId="58A573BF" w:rsidR="00285CC2" w:rsidRDefault="00285CC2">
      <w:pPr>
        <w:jc w:val="both"/>
        <w:rPr>
          <w:sz w:val="10"/>
        </w:rPr>
      </w:pPr>
    </w:p>
    <w:p w14:paraId="5E5656A1" w14:textId="77777777" w:rsidR="00285CC2" w:rsidRDefault="00285CC2">
      <w:pPr>
        <w:jc w:val="both"/>
      </w:pPr>
    </w:p>
    <w:tbl>
      <w:tblPr>
        <w:tblStyle w:val="TableGrid"/>
        <w:tblW w:w="9197" w:type="dxa"/>
        <w:tblInd w:w="-107" w:type="dxa"/>
        <w:tblCellMar>
          <w:top w:w="47" w:type="dxa"/>
          <w:left w:w="107" w:type="dxa"/>
          <w:bottom w:w="0" w:type="dxa"/>
          <w:right w:w="56" w:type="dxa"/>
        </w:tblCellMar>
        <w:tblLook w:val="04A0" w:firstRow="1" w:lastRow="0" w:firstColumn="1" w:lastColumn="0" w:noHBand="0" w:noVBand="1"/>
      </w:tblPr>
      <w:tblGrid>
        <w:gridCol w:w="9197"/>
      </w:tblGrid>
      <w:tr w:rsidR="00606844" w14:paraId="6DA4FBF3" w14:textId="77777777">
        <w:trPr>
          <w:trHeight w:val="423"/>
        </w:trPr>
        <w:tc>
          <w:tcPr>
            <w:tcW w:w="9197" w:type="dxa"/>
            <w:tcBorders>
              <w:top w:val="single" w:sz="4" w:space="0" w:color="000000"/>
              <w:left w:val="single" w:sz="4" w:space="0" w:color="000000"/>
              <w:bottom w:val="single" w:sz="4" w:space="0" w:color="000000"/>
              <w:right w:val="single" w:sz="4" w:space="0" w:color="000000"/>
            </w:tcBorders>
            <w:shd w:val="clear" w:color="auto" w:fill="B8CCE4"/>
          </w:tcPr>
          <w:p w14:paraId="6501C3B1" w14:textId="77777777" w:rsidR="00606844" w:rsidRDefault="005D7B83">
            <w:pPr>
              <w:ind w:right="54"/>
              <w:jc w:val="center"/>
            </w:pPr>
            <w:r>
              <w:rPr>
                <w:sz w:val="24"/>
                <w:u w:val="none"/>
              </w:rPr>
              <w:lastRenderedPageBreak/>
              <w:t xml:space="preserve">Politikat akademike dhe rregullat e mirësjelljes: </w:t>
            </w:r>
          </w:p>
          <w:p w14:paraId="0FBD5650" w14:textId="77777777" w:rsidR="00606844" w:rsidRDefault="005D7B83">
            <w:pPr>
              <w:ind w:right="29"/>
              <w:jc w:val="center"/>
            </w:pPr>
            <w:r>
              <w:rPr>
                <w:sz w:val="10"/>
                <w:u w:val="none"/>
              </w:rPr>
              <w:t xml:space="preserve"> </w:t>
            </w:r>
          </w:p>
        </w:tc>
      </w:tr>
      <w:tr w:rsidR="00606844" w14:paraId="76A1C3BA" w14:textId="77777777">
        <w:trPr>
          <w:trHeight w:val="2966"/>
        </w:trPr>
        <w:tc>
          <w:tcPr>
            <w:tcW w:w="9197" w:type="dxa"/>
            <w:tcBorders>
              <w:top w:val="single" w:sz="4" w:space="0" w:color="000000"/>
              <w:left w:val="single" w:sz="4" w:space="0" w:color="000000"/>
              <w:bottom w:val="single" w:sz="4" w:space="0" w:color="000000"/>
              <w:right w:val="single" w:sz="4" w:space="0" w:color="000000"/>
            </w:tcBorders>
          </w:tcPr>
          <w:p w14:paraId="6D627EA7" w14:textId="77777777" w:rsidR="00606844" w:rsidRDefault="005D7B83">
            <w:pPr>
              <w:ind w:right="48"/>
              <w:jc w:val="both"/>
            </w:pPr>
            <w:r>
              <w:rPr>
                <w:b w:val="0"/>
                <w:sz w:val="22"/>
                <w:u w:val="none"/>
              </w:rPr>
              <w:t>Pjesëmarrja në ligjërata dhe ushtrime është e obligueshme. Studentët inkurajohen që gjithmonë të kërkojnë sqarime gjatë ligjëratave dhe ushtrimeve. Mësimdhënësi do të jetë në dispozicion për sqarime shtesë dhe konsultime të studentëve. Studentët kanë për o</w:t>
            </w:r>
            <w:r>
              <w:rPr>
                <w:b w:val="0"/>
                <w:sz w:val="22"/>
                <w:u w:val="none"/>
              </w:rPr>
              <w:t>bligim që pas çdo ligjërate të lexojnë së paku literaturën që ju është caktuar dhe të kryejnë detyrat dhe esetë që do t’u jepen. Studentët nuk janë të obliguar tu nënshtrohen vlerësimeve gjatë semestrit. Studentët inkurajohen të përcjellin diskutimet në me</w:t>
            </w:r>
            <w:r>
              <w:rPr>
                <w:b w:val="0"/>
                <w:sz w:val="22"/>
                <w:u w:val="none"/>
              </w:rPr>
              <w:t>dia dhe të hapin diskutime lidhur me to. Studenti duhet të jetë i ndërgjegjshëm dhe të respektojë institucionin dhe rregullat studimore. Duhet të respektojë orarin e ligjëratave, ushtrimeve dhe të jetë i vëmendshëm në ligjerata. Është i obliguar posedimi d</w:t>
            </w:r>
            <w:r>
              <w:rPr>
                <w:b w:val="0"/>
                <w:sz w:val="22"/>
                <w:u w:val="none"/>
              </w:rPr>
              <w:t xml:space="preserve">he paraqitja e ID kartelës në teste dhe provim. Gjatë hartimit të punimeve seminarike, studenti duhet t’i përmbahet udhëzimeve të dhëna nga mësimdhënësi për realizimin hulumtues dhe teknik të punimit. </w:t>
            </w:r>
          </w:p>
        </w:tc>
      </w:tr>
    </w:tbl>
    <w:p w14:paraId="36DEA88A" w14:textId="77777777" w:rsidR="00606844" w:rsidRDefault="005D7B83">
      <w:pPr>
        <w:jc w:val="both"/>
      </w:pPr>
      <w:r>
        <w:rPr>
          <w:sz w:val="28"/>
          <w:u w:val="none"/>
        </w:rPr>
        <w:t xml:space="preserve"> </w:t>
      </w:r>
    </w:p>
    <w:sectPr w:rsidR="00606844" w:rsidSect="00285CC2">
      <w:footerReference w:type="even" r:id="rId7"/>
      <w:footerReference w:type="default" r:id="rId8"/>
      <w:footerReference w:type="first" r:id="rId9"/>
      <w:pgSz w:w="12240" w:h="15840"/>
      <w:pgMar w:top="1445" w:right="5577" w:bottom="1562"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2760E" w14:textId="77777777" w:rsidR="005D7B83" w:rsidRDefault="005D7B83">
      <w:pPr>
        <w:spacing w:line="240" w:lineRule="auto"/>
      </w:pPr>
      <w:r>
        <w:separator/>
      </w:r>
    </w:p>
  </w:endnote>
  <w:endnote w:type="continuationSeparator" w:id="0">
    <w:p w14:paraId="4638358C" w14:textId="77777777" w:rsidR="005D7B83" w:rsidRDefault="005D7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F0F7A" w14:textId="77777777" w:rsidR="00606844" w:rsidRDefault="005D7B83">
    <w:pPr>
      <w:tabs>
        <w:tab w:val="right" w:pos="8642"/>
      </w:tabs>
      <w:ind w:right="-4170"/>
    </w:pPr>
    <w:r>
      <w:rPr>
        <w:rFonts w:ascii="Times New Roman" w:eastAsia="Times New Roman" w:hAnsi="Times New Roman" w:cs="Times New Roman"/>
        <w:b w:val="0"/>
        <w:sz w:val="24"/>
        <w:u w:val="none"/>
      </w:rPr>
      <w:t xml:space="preserve"> </w:t>
    </w:r>
    <w:r>
      <w:rPr>
        <w:rFonts w:ascii="Times New Roman" w:eastAsia="Times New Roman" w:hAnsi="Times New Roman" w:cs="Times New Roman"/>
        <w:b w:val="0"/>
        <w:sz w:val="24"/>
        <w:u w:val="none"/>
      </w:rPr>
      <w:tab/>
    </w:r>
    <w:r>
      <w:fldChar w:fldCharType="begin"/>
    </w:r>
    <w:r>
      <w:instrText xml:space="preserve"> PAGE   \* MERGEFORMAT </w:instrText>
    </w:r>
    <w:r>
      <w:fldChar w:fldCharType="separate"/>
    </w:r>
    <w:r>
      <w:rPr>
        <w:rFonts w:ascii="Times New Roman" w:eastAsia="Times New Roman" w:hAnsi="Times New Roman" w:cs="Times New Roman"/>
        <w:b w:val="0"/>
        <w:sz w:val="24"/>
        <w:u w:val="none"/>
      </w:rPr>
      <w:t>1</w:t>
    </w:r>
    <w:r>
      <w:rPr>
        <w:rFonts w:ascii="Times New Roman" w:eastAsia="Times New Roman" w:hAnsi="Times New Roman" w:cs="Times New Roman"/>
        <w:b w:val="0"/>
        <w:sz w:val="24"/>
        <w:u w:val="none"/>
      </w:rPr>
      <w:fldChar w:fldCharType="end"/>
    </w:r>
    <w:r>
      <w:rPr>
        <w:rFonts w:ascii="Times New Roman" w:eastAsia="Times New Roman" w:hAnsi="Times New Roman" w:cs="Times New Roman"/>
        <w:b w:val="0"/>
        <w:sz w:val="24"/>
        <w:u w:val="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53A1" w14:textId="77777777" w:rsidR="00606844" w:rsidRDefault="005D7B83">
    <w:pPr>
      <w:tabs>
        <w:tab w:val="right" w:pos="8642"/>
      </w:tabs>
      <w:ind w:right="-4170"/>
    </w:pPr>
    <w:r>
      <w:rPr>
        <w:rFonts w:ascii="Times New Roman" w:eastAsia="Times New Roman" w:hAnsi="Times New Roman" w:cs="Times New Roman"/>
        <w:b w:val="0"/>
        <w:sz w:val="24"/>
        <w:u w:val="none"/>
      </w:rPr>
      <w:t xml:space="preserve"> </w:t>
    </w:r>
    <w:r>
      <w:rPr>
        <w:rFonts w:ascii="Times New Roman" w:eastAsia="Times New Roman" w:hAnsi="Times New Roman" w:cs="Times New Roman"/>
        <w:b w:val="0"/>
        <w:sz w:val="24"/>
        <w:u w:val="none"/>
      </w:rPr>
      <w:tab/>
    </w:r>
    <w:r>
      <w:fldChar w:fldCharType="begin"/>
    </w:r>
    <w:r>
      <w:instrText xml:space="preserve"> PAGE   \* MERGEFORMAT </w:instrText>
    </w:r>
    <w:r>
      <w:fldChar w:fldCharType="separate"/>
    </w:r>
    <w:r>
      <w:rPr>
        <w:rFonts w:ascii="Times New Roman" w:eastAsia="Times New Roman" w:hAnsi="Times New Roman" w:cs="Times New Roman"/>
        <w:b w:val="0"/>
        <w:sz w:val="24"/>
        <w:u w:val="none"/>
      </w:rPr>
      <w:t>1</w:t>
    </w:r>
    <w:r>
      <w:rPr>
        <w:rFonts w:ascii="Times New Roman" w:eastAsia="Times New Roman" w:hAnsi="Times New Roman" w:cs="Times New Roman"/>
        <w:b w:val="0"/>
        <w:sz w:val="24"/>
        <w:u w:val="none"/>
      </w:rPr>
      <w:fldChar w:fldCharType="end"/>
    </w:r>
    <w:r>
      <w:rPr>
        <w:rFonts w:ascii="Times New Roman" w:eastAsia="Times New Roman" w:hAnsi="Times New Roman" w:cs="Times New Roman"/>
        <w:b w:val="0"/>
        <w:sz w:val="24"/>
        <w:u w:val="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3166" w14:textId="77777777" w:rsidR="00606844" w:rsidRDefault="005D7B83">
    <w:pPr>
      <w:tabs>
        <w:tab w:val="right" w:pos="8642"/>
      </w:tabs>
      <w:ind w:right="-4170"/>
    </w:pPr>
    <w:r>
      <w:rPr>
        <w:rFonts w:ascii="Times New Roman" w:eastAsia="Times New Roman" w:hAnsi="Times New Roman" w:cs="Times New Roman"/>
        <w:b w:val="0"/>
        <w:sz w:val="24"/>
        <w:u w:val="none"/>
      </w:rPr>
      <w:t xml:space="preserve"> </w:t>
    </w:r>
    <w:r>
      <w:rPr>
        <w:rFonts w:ascii="Times New Roman" w:eastAsia="Times New Roman" w:hAnsi="Times New Roman" w:cs="Times New Roman"/>
        <w:b w:val="0"/>
        <w:sz w:val="24"/>
        <w:u w:val="none"/>
      </w:rPr>
      <w:tab/>
    </w:r>
    <w:r>
      <w:fldChar w:fldCharType="begin"/>
    </w:r>
    <w:r>
      <w:instrText xml:space="preserve"> PAGE   \* MERGEFORMAT </w:instrText>
    </w:r>
    <w:r>
      <w:fldChar w:fldCharType="separate"/>
    </w:r>
    <w:r>
      <w:rPr>
        <w:rFonts w:ascii="Times New Roman" w:eastAsia="Times New Roman" w:hAnsi="Times New Roman" w:cs="Times New Roman"/>
        <w:b w:val="0"/>
        <w:sz w:val="24"/>
        <w:u w:val="none"/>
      </w:rPr>
      <w:t>1</w:t>
    </w:r>
    <w:r>
      <w:rPr>
        <w:rFonts w:ascii="Times New Roman" w:eastAsia="Times New Roman" w:hAnsi="Times New Roman" w:cs="Times New Roman"/>
        <w:b w:val="0"/>
        <w:sz w:val="24"/>
        <w:u w:val="none"/>
      </w:rPr>
      <w:fldChar w:fldCharType="end"/>
    </w:r>
    <w:r>
      <w:rPr>
        <w:rFonts w:ascii="Times New Roman" w:eastAsia="Times New Roman" w:hAnsi="Times New Roman" w:cs="Times New Roman"/>
        <w:b w:val="0"/>
        <w:sz w:val="24"/>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A3BE9" w14:textId="77777777" w:rsidR="005D7B83" w:rsidRDefault="005D7B83">
      <w:pPr>
        <w:spacing w:line="240" w:lineRule="auto"/>
      </w:pPr>
      <w:r>
        <w:separator/>
      </w:r>
    </w:p>
  </w:footnote>
  <w:footnote w:type="continuationSeparator" w:id="0">
    <w:p w14:paraId="2B2ADAFC" w14:textId="77777777" w:rsidR="005D7B83" w:rsidRDefault="005D7B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841D4"/>
    <w:multiLevelType w:val="hybridMultilevel"/>
    <w:tmpl w:val="63F881C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26DE54D6"/>
    <w:multiLevelType w:val="hybridMultilevel"/>
    <w:tmpl w:val="D2AA5F46"/>
    <w:lvl w:ilvl="0" w:tplc="7B98DF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1E8D1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CE2B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251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BA4D3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824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BCD39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C6D5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6D5E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2F4CD7"/>
    <w:multiLevelType w:val="hybridMultilevel"/>
    <w:tmpl w:val="12222070"/>
    <w:lvl w:ilvl="0" w:tplc="B8FC544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60DD6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CC2FA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C6DA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FCEF9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C85C8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C72C20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BABC6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9B03F1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352CA6"/>
    <w:multiLevelType w:val="hybridMultilevel"/>
    <w:tmpl w:val="4968A60E"/>
    <w:lvl w:ilvl="0" w:tplc="194013EA">
      <w:start w:val="1"/>
      <w:numFmt w:val="decimal"/>
      <w:lvlText w:val="%1."/>
      <w:lvlJc w:val="left"/>
      <w:pPr>
        <w:ind w:left="8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00AECE0">
      <w:start w:val="1"/>
      <w:numFmt w:val="lowerLetter"/>
      <w:lvlText w:val="%2"/>
      <w:lvlJc w:val="left"/>
      <w:pPr>
        <w:ind w:left="11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230EAB0">
      <w:start w:val="1"/>
      <w:numFmt w:val="lowerRoman"/>
      <w:lvlText w:val="%3"/>
      <w:lvlJc w:val="left"/>
      <w:pPr>
        <w:ind w:left="18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86E189A">
      <w:start w:val="1"/>
      <w:numFmt w:val="decimal"/>
      <w:lvlText w:val="%4"/>
      <w:lvlJc w:val="left"/>
      <w:pPr>
        <w:ind w:left="26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CD2A930">
      <w:start w:val="1"/>
      <w:numFmt w:val="lowerLetter"/>
      <w:lvlText w:val="%5"/>
      <w:lvlJc w:val="left"/>
      <w:pPr>
        <w:ind w:left="33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48ECEBE">
      <w:start w:val="1"/>
      <w:numFmt w:val="lowerRoman"/>
      <w:lvlText w:val="%6"/>
      <w:lvlJc w:val="left"/>
      <w:pPr>
        <w:ind w:left="40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F58E05A">
      <w:start w:val="1"/>
      <w:numFmt w:val="decimal"/>
      <w:lvlText w:val="%7"/>
      <w:lvlJc w:val="left"/>
      <w:pPr>
        <w:ind w:left="47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6BCEA46">
      <w:start w:val="1"/>
      <w:numFmt w:val="lowerLetter"/>
      <w:lvlText w:val="%8"/>
      <w:lvlJc w:val="left"/>
      <w:pPr>
        <w:ind w:left="54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1485676">
      <w:start w:val="1"/>
      <w:numFmt w:val="lowerRoman"/>
      <w:lvlText w:val="%9"/>
      <w:lvlJc w:val="left"/>
      <w:pPr>
        <w:ind w:left="62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44"/>
    <w:rsid w:val="000A6D87"/>
    <w:rsid w:val="00285CC2"/>
    <w:rsid w:val="005D7B83"/>
    <w:rsid w:val="00606844"/>
    <w:rsid w:val="00C74E1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7C75"/>
  <w15:docId w15:val="{4CFC61C7-ACA3-48E9-90C0-2EFFB619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5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skender.ahmeti@uni-pr.edu</cp:lastModifiedBy>
  <cp:revision>3</cp:revision>
  <dcterms:created xsi:type="dcterms:W3CDTF">2020-10-18T17:10:00Z</dcterms:created>
  <dcterms:modified xsi:type="dcterms:W3CDTF">2020-10-18T17:10:00Z</dcterms:modified>
</cp:coreProperties>
</file>