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4902E" w14:textId="77777777" w:rsidR="005B139F" w:rsidRDefault="008D3C11">
      <w:r>
        <w:t>Formular për SYLLABUS të Lëndës</w:t>
      </w:r>
      <w:r>
        <w:rPr>
          <w:u w:val="none"/>
        </w:rPr>
        <w:t xml:space="preserve"> </w:t>
      </w:r>
      <w:r>
        <w:rPr>
          <w:sz w:val="28"/>
          <w:u w:val="none"/>
        </w:rPr>
        <w:t xml:space="preserve"> </w:t>
      </w:r>
    </w:p>
    <w:p w14:paraId="491BFB12" w14:textId="77777777" w:rsidR="005B139F" w:rsidRDefault="008D3C11">
      <w:r>
        <w:rPr>
          <w:b w:val="0"/>
          <w:sz w:val="24"/>
          <w:u w:val="none"/>
        </w:rPr>
        <w:t xml:space="preserve"> </w:t>
      </w:r>
    </w:p>
    <w:tbl>
      <w:tblPr>
        <w:tblStyle w:val="TableGrid"/>
        <w:tblW w:w="9359" w:type="dxa"/>
        <w:tblInd w:w="-449" w:type="dxa"/>
        <w:tblCellMar>
          <w:top w:w="55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989"/>
        <w:gridCol w:w="6370"/>
      </w:tblGrid>
      <w:tr w:rsidR="005B139F" w14:paraId="10498703" w14:textId="77777777">
        <w:trPr>
          <w:trHeight w:val="298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17BAA85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Të dhëna bazike të lëndës </w:t>
            </w:r>
          </w:p>
        </w:tc>
      </w:tr>
      <w:tr w:rsidR="005B139F" w14:paraId="4FFF05F1" w14:textId="77777777">
        <w:trPr>
          <w:trHeight w:val="34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37A2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Njësia akademike: 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EE0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Fakulteti Ekonomik  </w:t>
            </w:r>
          </w:p>
        </w:tc>
      </w:tr>
      <w:tr w:rsidR="005B139F" w14:paraId="7BEECFDD" w14:textId="77777777">
        <w:trPr>
          <w:trHeight w:val="3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BBBB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Titulli i lëndës: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ABDC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Kontabiliteti i menaxhmentit 2 </w:t>
            </w:r>
          </w:p>
        </w:tc>
      </w:tr>
      <w:tr w:rsidR="005B139F" w14:paraId="5ACE9E43" w14:textId="77777777">
        <w:trPr>
          <w:trHeight w:val="34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534A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Niveli: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F70D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Bachellor </w:t>
            </w:r>
          </w:p>
        </w:tc>
      </w:tr>
      <w:tr w:rsidR="005B139F" w14:paraId="59214EDA" w14:textId="77777777">
        <w:trPr>
          <w:trHeight w:val="3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69CC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Statusi lëndës: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A1CF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Obligative </w:t>
            </w:r>
          </w:p>
        </w:tc>
      </w:tr>
      <w:tr w:rsidR="005B139F" w14:paraId="3382B42F" w14:textId="77777777">
        <w:trPr>
          <w:trHeight w:val="3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D410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Viti i studimeve: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65F7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1 </w:t>
            </w:r>
          </w:p>
        </w:tc>
      </w:tr>
      <w:tr w:rsidR="005B139F" w14:paraId="175DC422" w14:textId="77777777">
        <w:trPr>
          <w:trHeight w:val="3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47DD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Numri i orëve në javë: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CC7E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2+1 </w:t>
            </w:r>
          </w:p>
        </w:tc>
      </w:tr>
      <w:tr w:rsidR="005B139F" w14:paraId="545AA4F3" w14:textId="77777777">
        <w:trPr>
          <w:trHeight w:val="3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1556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Vlera në kredi – ECTS: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492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6 </w:t>
            </w:r>
          </w:p>
        </w:tc>
      </w:tr>
      <w:tr w:rsidR="005B139F" w14:paraId="111B7ADB" w14:textId="77777777">
        <w:trPr>
          <w:trHeight w:val="34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DBF0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Koha / lokacioni: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61F9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Semestri IV </w:t>
            </w:r>
          </w:p>
        </w:tc>
      </w:tr>
      <w:tr w:rsidR="005B139F" w14:paraId="24DB6502" w14:textId="77777777">
        <w:trPr>
          <w:trHeight w:val="34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E86" w14:textId="77777777" w:rsidR="005B139F" w:rsidRDefault="008D3C11">
            <w:pPr>
              <w:jc w:val="both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Mësimëdhënësi i lëndës: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B901" w14:textId="1A2F87D4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>Prof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.dr. Skender Ahmeti </w:t>
            </w:r>
          </w:p>
        </w:tc>
      </w:tr>
      <w:tr w:rsidR="005B139F" w14:paraId="405830DF" w14:textId="77777777">
        <w:trPr>
          <w:trHeight w:val="34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CB21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Detajet kontaktuese: 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7CD1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E-mail: skender.ahmeti@uni-pr.edu </w:t>
            </w:r>
          </w:p>
        </w:tc>
      </w:tr>
      <w:tr w:rsidR="005B139F" w14:paraId="4A31FBD3" w14:textId="77777777">
        <w:trPr>
          <w:trHeight w:val="307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257B7C7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 </w:t>
            </w:r>
          </w:p>
        </w:tc>
      </w:tr>
      <w:tr w:rsidR="005B139F" w14:paraId="15096153" w14:textId="77777777">
        <w:trPr>
          <w:trHeight w:val="224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9FC5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7F7C4BC3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5E737A23" w14:textId="77777777" w:rsidR="005B139F" w:rsidRDefault="008D3C11">
            <w:pPr>
              <w:ind w:right="62"/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Përshkrimi i lëndës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8C20" w14:textId="2C7A8225" w:rsidR="005B139F" w:rsidRDefault="008D3C11">
            <w:pPr>
              <w:ind w:right="55"/>
              <w:jc w:val="both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Kontabiliteti i menaxhmentit 2 është lënda e dytë në listën e lëndëve që ofrohen nga fusha e kontabilitetit që i dedikohet shfrytëzuesve të brendshëm të kompanisë. Kjo lëndë është për studentët e studimeve bachellor – drejtimi i kontabilitetit. Lënda është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 e orientuar në njohjen tuaj me raportet e brendshme më të avancuara që i përgatit kontabiliteti për nevoja të menaxh</w:t>
            </w:r>
            <w:r w:rsidR="000B1540"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softHyphen/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mentit. </w:t>
            </w:r>
          </w:p>
        </w:tc>
      </w:tr>
      <w:tr w:rsidR="005B139F" w14:paraId="7579773F" w14:textId="77777777">
        <w:trPr>
          <w:trHeight w:val="412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5B63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7DA99B36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6EB453EF" w14:textId="77777777" w:rsidR="005B139F" w:rsidRDefault="008D3C11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1704F8A1" w14:textId="77777777" w:rsidR="005B139F" w:rsidRDefault="008D3C11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34C2F542" w14:textId="77777777" w:rsidR="005B139F" w:rsidRDefault="008D3C11">
            <w:pPr>
              <w:ind w:right="59"/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Qëllimet e lëndës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45E" w14:textId="05285EC7" w:rsidR="005B139F" w:rsidRDefault="008D3C11">
            <w:pPr>
              <w:ind w:right="53"/>
              <w:jc w:val="both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Kontabiliteti i menaxhmentit 2 është i dedikuar për përgatitjen e informatave të nevojshme për menaxhmentin. Qëllimi i lëndës konsiston në njohjen e veglave të kontabilitetit të menaxhmentit që përdoren në raste të ndryshme të vendim marrjes. Ekzistenca e 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Kontabilitetit të menaxhmentit është domethënëse për shkak të rolit të saj në marrjen e vendimeve afariste dhe zgjidhjen e shumë paqartësive afariste. Gjithsesi kuptimi themelor i konta</w:t>
            </w:r>
            <w:r w:rsidR="000B1540"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softHyphen/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bi</w:t>
            </w:r>
            <w:r w:rsidR="000B1540"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softHyphen/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litetit është ndihma ne marrjen e vendimeve por në rastin e Kontabili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tetit të menaxhmentit theksi është në marrjen e vendimeve të brendshme. Materialet janë të aplikueshme jo vetëm për biznesin por edhe për situata tjera që kanë të bëjnë me shfrytëzimin e informatave të efikasitetit dhe efektivitetit.</w:t>
            </w:r>
            <w:r>
              <w:rPr>
                <w:rFonts w:ascii="Book Antiqua" w:eastAsia="Book Antiqua" w:hAnsi="Book Antiqua" w:cs="Book Antiqua"/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5B139F" w14:paraId="3C5A53A5" w14:textId="77777777">
        <w:trPr>
          <w:trHeight w:val="195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A891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lastRenderedPageBreak/>
              <w:t xml:space="preserve"> </w:t>
            </w:r>
          </w:p>
          <w:p w14:paraId="78AFA61A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05843513" w14:textId="77777777" w:rsidR="005B139F" w:rsidRDefault="008D3C11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Rezultatet e pritura të nxënies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D6AB" w14:textId="77777777" w:rsidR="005B139F" w:rsidRDefault="008D3C11">
            <w:pPr>
              <w:numPr>
                <w:ilvl w:val="0"/>
                <w:numId w:val="1"/>
              </w:numPr>
              <w:spacing w:after="46"/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Të kuptoni llojet kryesore të kostove,</w:t>
            </w: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  <w:p w14:paraId="3ADC43E0" w14:textId="77777777" w:rsidR="005B139F" w:rsidRDefault="008D3C11">
            <w:pPr>
              <w:numPr>
                <w:ilvl w:val="0"/>
                <w:numId w:val="1"/>
              </w:numPr>
              <w:spacing w:after="49"/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Të kuptoni metodat e kalkulimit të kostove indirekte, </w:t>
            </w: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  <w:p w14:paraId="2F24B57A" w14:textId="77777777" w:rsidR="005B139F" w:rsidRDefault="008D3C11">
            <w:pPr>
              <w:numPr>
                <w:ilvl w:val="0"/>
                <w:numId w:val="1"/>
              </w:numPr>
              <w:spacing w:after="53" w:line="271" w:lineRule="auto"/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Të kuptoni metodat e kalkulimit të kostove për prodhimin për porosi, </w:t>
            </w: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  <w:p w14:paraId="2E52DFA4" w14:textId="77777777" w:rsidR="005B139F" w:rsidRDefault="008D3C11">
            <w:pPr>
              <w:numPr>
                <w:ilvl w:val="0"/>
                <w:numId w:val="1"/>
              </w:numPr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Të kuptoni metodat e kalkulimit të kostove për prodhimin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 serik, </w:t>
            </w: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</w:tc>
      </w:tr>
    </w:tbl>
    <w:p w14:paraId="7047BC34" w14:textId="77777777" w:rsidR="005B139F" w:rsidRDefault="005B139F">
      <w:pPr>
        <w:ind w:left="-1800" w:right="6272"/>
        <w:jc w:val="both"/>
      </w:pPr>
    </w:p>
    <w:tbl>
      <w:tblPr>
        <w:tblStyle w:val="TableGrid"/>
        <w:tblW w:w="9358" w:type="dxa"/>
        <w:tblInd w:w="-449" w:type="dxa"/>
        <w:tblCellMar>
          <w:top w:w="42" w:type="dxa"/>
          <w:left w:w="10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989"/>
        <w:gridCol w:w="2248"/>
        <w:gridCol w:w="270"/>
        <w:gridCol w:w="990"/>
        <w:gridCol w:w="1171"/>
        <w:gridCol w:w="1690"/>
      </w:tblGrid>
      <w:tr w:rsidR="005B139F" w14:paraId="7DA9E014" w14:textId="77777777" w:rsidTr="000B1540">
        <w:trPr>
          <w:trHeight w:val="163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F9E0" w14:textId="77777777" w:rsidR="005B139F" w:rsidRDefault="005B139F">
            <w:pPr>
              <w:spacing w:after="160"/>
            </w:pP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7E7" w14:textId="77777777" w:rsidR="005B139F" w:rsidRDefault="008D3C11">
            <w:pPr>
              <w:numPr>
                <w:ilvl w:val="0"/>
                <w:numId w:val="2"/>
              </w:numPr>
              <w:spacing w:after="47"/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Të kuptoni metodat e kalkulimit sipas ABC-së,</w:t>
            </w: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  <w:p w14:paraId="2304F53B" w14:textId="77777777" w:rsidR="005B139F" w:rsidRDefault="008D3C11">
            <w:pPr>
              <w:numPr>
                <w:ilvl w:val="0"/>
                <w:numId w:val="2"/>
              </w:numPr>
              <w:spacing w:after="46"/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Të kuptoni procesin afatshkurtër të marrjes së vendimeve,</w:t>
            </w: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  <w:p w14:paraId="1040A9E2" w14:textId="77777777" w:rsidR="005B139F" w:rsidRDefault="008D3C11">
            <w:pPr>
              <w:numPr>
                <w:ilvl w:val="0"/>
                <w:numId w:val="2"/>
              </w:numPr>
              <w:spacing w:after="53" w:line="271" w:lineRule="auto"/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Të kuptoni decentralizimin dhe kontabilitetin e përgjegjësisë në procesin e marrjes së vendimeve, </w:t>
            </w:r>
          </w:p>
          <w:p w14:paraId="1BC20797" w14:textId="77777777" w:rsidR="005B139F" w:rsidRDefault="008D3C11">
            <w:pPr>
              <w:numPr>
                <w:ilvl w:val="0"/>
                <w:numId w:val="2"/>
              </w:numPr>
              <w:ind w:hanging="233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Të kuptoni procesin e buxhetimit statik dhe fleksibël, </w:t>
            </w:r>
          </w:p>
        </w:tc>
      </w:tr>
      <w:tr w:rsidR="005B139F" w14:paraId="16AD40A8" w14:textId="77777777" w:rsidTr="000B1540">
        <w:trPr>
          <w:trHeight w:val="272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9065041" w14:textId="77777777" w:rsidR="005B139F" w:rsidRDefault="008D3C11"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Aktiviteti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41CA86" w14:textId="77777777" w:rsidR="005B139F" w:rsidRDefault="008D3C11">
            <w:pPr>
              <w:ind w:right="56"/>
              <w:jc w:val="center"/>
            </w:pP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Orë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03225D" w14:textId="77777777" w:rsidR="005B139F" w:rsidRDefault="008D3C11">
            <w:pPr>
              <w:ind w:left="17"/>
            </w:pP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Ditë/javë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04A1FA7" w14:textId="77777777" w:rsidR="005B139F" w:rsidRDefault="008D3C11">
            <w:pPr>
              <w:ind w:right="54"/>
              <w:jc w:val="center"/>
            </w:pP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Gjithsej </w:t>
            </w:r>
          </w:p>
        </w:tc>
      </w:tr>
      <w:tr w:rsidR="005B139F" w14:paraId="2978F6F7" w14:textId="77777777" w:rsidTr="000B1540">
        <w:trPr>
          <w:trHeight w:val="284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3198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Ligjërata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F6A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C03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DC5F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30 </w:t>
            </w:r>
          </w:p>
        </w:tc>
      </w:tr>
      <w:tr w:rsidR="005B139F" w14:paraId="1691808C" w14:textId="77777777" w:rsidTr="000B1540">
        <w:trPr>
          <w:trHeight w:val="283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1C07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Ushtrime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F828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889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9017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15 </w:t>
            </w:r>
          </w:p>
        </w:tc>
      </w:tr>
      <w:tr w:rsidR="005B139F" w14:paraId="3173D6D1" w14:textId="77777777" w:rsidTr="000B1540">
        <w:trPr>
          <w:trHeight w:val="283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4B8E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Punë praktike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787B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BDC1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0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825B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0 </w:t>
            </w:r>
          </w:p>
        </w:tc>
      </w:tr>
      <w:tr w:rsidR="005B139F" w14:paraId="504C8614" w14:textId="77777777" w:rsidTr="000B1540">
        <w:trPr>
          <w:trHeight w:val="283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F022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Kontaktet me mësimdhënësin/ konsultimet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2AE3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479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8DA9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30 </w:t>
            </w:r>
          </w:p>
        </w:tc>
      </w:tr>
      <w:tr w:rsidR="005B139F" w14:paraId="39B7BDCA" w14:textId="77777777" w:rsidTr="000B1540">
        <w:trPr>
          <w:trHeight w:val="283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8682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Ushtrime  në teren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984" w14:textId="77777777" w:rsidR="005B139F" w:rsidRDefault="008D3C11">
            <w:pPr>
              <w:ind w:right="3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40F3" w14:textId="77777777" w:rsidR="005B139F" w:rsidRDefault="008D3C11">
            <w:pPr>
              <w:ind w:right="3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7581" w14:textId="77777777" w:rsidR="005B139F" w:rsidRDefault="008D3C11">
            <w:pPr>
              <w:ind w:right="2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 </w:t>
            </w:r>
          </w:p>
        </w:tc>
      </w:tr>
      <w:tr w:rsidR="005B139F" w14:paraId="0383C86E" w14:textId="77777777" w:rsidTr="000B1540">
        <w:trPr>
          <w:trHeight w:val="286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C5D3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Kollokviume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0884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9A21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3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63A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6 </w:t>
            </w:r>
          </w:p>
        </w:tc>
      </w:tr>
      <w:tr w:rsidR="005B139F" w14:paraId="3F79CB30" w14:textId="77777777" w:rsidTr="000B1540">
        <w:trPr>
          <w:trHeight w:val="284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D0C4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Koha e studimit vetanak të studentit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E0DF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939E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EE9D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30 </w:t>
            </w:r>
          </w:p>
        </w:tc>
      </w:tr>
      <w:tr w:rsidR="005B139F" w14:paraId="68E39CF9" w14:textId="77777777" w:rsidTr="000B1540">
        <w:trPr>
          <w:trHeight w:val="283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B539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Përgaditja përfundimtare për provim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1BCF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3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8E58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6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E03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18 </w:t>
            </w:r>
          </w:p>
        </w:tc>
      </w:tr>
      <w:tr w:rsidR="005B139F" w14:paraId="5E48CFC0" w14:textId="77777777" w:rsidTr="000B1540">
        <w:trPr>
          <w:trHeight w:val="284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C06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Koha e kaluar në vlerësim (teste, kuiz, provim final)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8DC7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ED7" w14:textId="77777777" w:rsidR="005B139F" w:rsidRDefault="008D3C11">
            <w:pPr>
              <w:ind w:right="58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A5E2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16 </w:t>
            </w:r>
          </w:p>
        </w:tc>
      </w:tr>
      <w:tr w:rsidR="005B139F" w14:paraId="0D0B9107" w14:textId="77777777" w:rsidTr="000B1540">
        <w:trPr>
          <w:trHeight w:val="271"/>
        </w:trPr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A56F44F" w14:textId="77777777" w:rsidR="005B139F" w:rsidRDefault="008D3C11"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Totali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4E74254" w14:textId="77777777" w:rsidR="005B139F" w:rsidRDefault="008D3C11">
            <w:pPr>
              <w:ind w:left="1"/>
            </w:pP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6E8833C" w14:textId="77777777" w:rsidR="005B139F" w:rsidRDefault="008D3C11">
            <w:pPr>
              <w:ind w:left="2"/>
            </w:pP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0FF4BCB" w14:textId="77777777" w:rsidR="005B139F" w:rsidRDefault="008D3C11">
            <w:pPr>
              <w:ind w:right="57"/>
              <w:jc w:val="center"/>
            </w:pPr>
            <w:r>
              <w:rPr>
                <w:rFonts w:ascii="Book Antiqua" w:eastAsia="Book Antiqua" w:hAnsi="Book Antiqua" w:cs="Book Antiqua"/>
                <w:sz w:val="22"/>
                <w:u w:val="none"/>
              </w:rPr>
              <w:t xml:space="preserve">145 </w:t>
            </w:r>
          </w:p>
        </w:tc>
      </w:tr>
      <w:tr w:rsidR="005B139F" w14:paraId="6A842F59" w14:textId="77777777" w:rsidTr="000B1540">
        <w:trPr>
          <w:trHeight w:val="573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6AC6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lastRenderedPageBreak/>
              <w:t xml:space="preserve"> </w:t>
            </w:r>
          </w:p>
          <w:p w14:paraId="7057EE5E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78606E14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266BDEB1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134AF5A9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3DBF0134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639DF331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3D878DB2" w14:textId="77777777" w:rsidR="005B139F" w:rsidRDefault="008D3C11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Metodologjia e mësimëdhënies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B8EA" w14:textId="77777777" w:rsidR="005B139F" w:rsidRDefault="008D3C11">
            <w:pPr>
              <w:numPr>
                <w:ilvl w:val="0"/>
                <w:numId w:val="3"/>
              </w:numPr>
              <w:spacing w:after="52" w:line="272" w:lineRule="auto"/>
              <w:ind w:right="54" w:hanging="233"/>
              <w:jc w:val="both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Përcjellja e rregullt e ligjëratave dhe ushtrimeve është esenci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ale. Studentët të cilët janë të rregullt kanë sukses ndërsa ata të cilët nuk shkojnë rregullisht në orë kanë probleme. </w:t>
            </w:r>
          </w:p>
          <w:p w14:paraId="6AE994EA" w14:textId="77777777" w:rsidR="005B139F" w:rsidRDefault="008D3C11">
            <w:pPr>
              <w:numPr>
                <w:ilvl w:val="0"/>
                <w:numId w:val="3"/>
              </w:numPr>
              <w:spacing w:after="52" w:line="272" w:lineRule="auto"/>
              <w:ind w:right="54" w:hanging="233"/>
              <w:jc w:val="both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Leximi i rregullt i kapitujve të përcaktuar më parë. Mësimi i kontabilitetit të menaxhmentit është i vazhdueshëm, kuptimi i koncepteve t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ë reja është ngushtë i lidhur me mësimin e koncepteve nga kapitujt paraprak.  </w:t>
            </w:r>
          </w:p>
          <w:p w14:paraId="1E02BFC8" w14:textId="77777777" w:rsidR="005B139F" w:rsidRDefault="008D3C11">
            <w:pPr>
              <w:numPr>
                <w:ilvl w:val="0"/>
                <w:numId w:val="3"/>
              </w:numPr>
              <w:ind w:right="54" w:hanging="233"/>
              <w:jc w:val="both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Mundohuni të zhvilloni kuptimin e koncepteve. Mos tentoni të mbani në mend materialet. Mbajtja mend nuk do të ndihmoj në studimin tuaj. Në kontabilitetin e menaxhmentit 2 detyrat në të shumtën e rasteve kërkojnë të aplikoni konceptet e mbuluara më herët dh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e të mendoni për materialet e prezantuara më herët. Këto detyra nuk mund të kryhen pa i trajtuar në esencë problemet dhe pa menduar mirë. Kjo na jep të kuptojmë se nuk duhet të ngutemi në fillimin e kryerjes së detyrës në formën teknike për detyra të caktu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ara. Duhet të kaloni pak kohë duke konsideruar mësimet e mbuluara në klasë dhe kërkesat lidhur me detyrat specifike. </w:t>
            </w:r>
          </w:p>
        </w:tc>
      </w:tr>
      <w:tr w:rsidR="005B139F" w14:paraId="69E1BB24" w14:textId="77777777" w:rsidTr="000B1540">
        <w:trPr>
          <w:trHeight w:val="641"/>
        </w:trPr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569" w14:textId="77777777" w:rsidR="005B139F" w:rsidRDefault="008D3C11">
            <w:pPr>
              <w:ind w:right="2"/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2554658E" w14:textId="77777777" w:rsidR="005B139F" w:rsidRDefault="008D3C11">
            <w:pPr>
              <w:ind w:right="2"/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31C8CE88" w14:textId="77777777" w:rsidR="005B139F" w:rsidRDefault="008D3C11">
            <w:pPr>
              <w:ind w:right="64"/>
              <w:jc w:val="center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Metodat e vlerësimit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F7FE" w14:textId="77777777" w:rsidR="005B139F" w:rsidRDefault="008D3C11">
            <w:pPr>
              <w:jc w:val="both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Shkallët e notave: </w:t>
            </w:r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>Ne do të shfrytëzojmë këtë shkallë të notimit për studentët e rregullt</w:t>
            </w:r>
            <w:r>
              <w:rPr>
                <w:rFonts w:ascii="Book Antiqua" w:eastAsia="Book Antiqua" w:hAnsi="Book Antiqua" w:cs="Book Antiqua"/>
                <w:b w:val="0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 </w:t>
            </w:r>
          </w:p>
        </w:tc>
      </w:tr>
      <w:tr w:rsidR="005B139F" w14:paraId="651E6D22" w14:textId="77777777" w:rsidTr="000B1540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53543" w14:textId="77777777" w:rsidR="005B139F" w:rsidRDefault="005B139F">
            <w:pPr>
              <w:spacing w:after="160"/>
            </w:pP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69155E" w14:textId="77777777" w:rsidR="005B139F" w:rsidRDefault="005B139F">
            <w:pPr>
              <w:spacing w:after="160"/>
            </w:pPr>
          </w:p>
        </w:tc>
        <w:tc>
          <w:tcPr>
            <w:tcW w:w="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65A2AB" w14:textId="77777777" w:rsidR="005B139F" w:rsidRDefault="008D3C11">
            <w:pPr>
              <w:ind w:left="10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91 -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100%     -  nota 10 (dhjetë) </w:t>
            </w:r>
          </w:p>
        </w:tc>
      </w:tr>
      <w:tr w:rsidR="005B139F" w14:paraId="1EB98085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DAA96" w14:textId="77777777" w:rsidR="005B139F" w:rsidRDefault="005B139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D961249" w14:textId="77777777" w:rsidR="005B139F" w:rsidRDefault="005B139F">
            <w:pPr>
              <w:spacing w:after="160"/>
            </w:pPr>
          </w:p>
        </w:tc>
        <w:tc>
          <w:tcPr>
            <w:tcW w:w="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48538A" w14:textId="77777777" w:rsidR="005B139F" w:rsidRDefault="008D3C11">
            <w:pPr>
              <w:ind w:left="10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81 -90%      -   nota 9 (nëntë) </w:t>
            </w:r>
          </w:p>
        </w:tc>
      </w:tr>
      <w:tr w:rsidR="005B139F" w14:paraId="1168BE35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4284F" w14:textId="77777777" w:rsidR="005B139F" w:rsidRDefault="005B139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20B4F2A" w14:textId="77777777" w:rsidR="005B139F" w:rsidRDefault="005B139F">
            <w:pPr>
              <w:spacing w:after="160"/>
            </w:pPr>
          </w:p>
        </w:tc>
        <w:tc>
          <w:tcPr>
            <w:tcW w:w="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E8F0BF" w14:textId="77777777" w:rsidR="005B139F" w:rsidRDefault="008D3C11">
            <w:pPr>
              <w:ind w:left="10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71 -80%      -   nota 8 (tetë) </w:t>
            </w:r>
          </w:p>
        </w:tc>
      </w:tr>
      <w:tr w:rsidR="005B139F" w14:paraId="670B3C3D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5C387" w14:textId="77777777" w:rsidR="005B139F" w:rsidRDefault="005B139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73B0ECC" w14:textId="77777777" w:rsidR="005B139F" w:rsidRDefault="005B139F">
            <w:pPr>
              <w:spacing w:after="160"/>
            </w:pPr>
          </w:p>
        </w:tc>
        <w:tc>
          <w:tcPr>
            <w:tcW w:w="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B39295" w14:textId="77777777" w:rsidR="005B139F" w:rsidRDefault="008D3C11">
            <w:pPr>
              <w:ind w:left="10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61 -70%      -   nota 7 (shtatë) </w:t>
            </w:r>
          </w:p>
        </w:tc>
      </w:tr>
      <w:tr w:rsidR="005B139F" w14:paraId="78D1BC32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2CF65" w14:textId="77777777" w:rsidR="005B139F" w:rsidRDefault="005B139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DAB2A5D" w14:textId="77777777" w:rsidR="005B139F" w:rsidRDefault="005B139F">
            <w:pPr>
              <w:spacing w:after="160"/>
            </w:pPr>
          </w:p>
        </w:tc>
        <w:tc>
          <w:tcPr>
            <w:tcW w:w="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84EF01" w14:textId="77777777" w:rsidR="005B139F" w:rsidRDefault="008D3C11">
            <w:pPr>
              <w:ind w:left="10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51 -60%       -  nota 6 (gjashtë) </w:t>
            </w:r>
          </w:p>
        </w:tc>
      </w:tr>
      <w:tr w:rsidR="005B139F" w14:paraId="0B7FCBEA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CB45" w14:textId="77777777" w:rsidR="005B139F" w:rsidRDefault="005B139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DBC857" w14:textId="77777777" w:rsidR="005B139F" w:rsidRDefault="005B139F">
            <w:pPr>
              <w:spacing w:after="160"/>
            </w:pPr>
          </w:p>
        </w:tc>
        <w:tc>
          <w:tcPr>
            <w:tcW w:w="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4" w:space="0" w:color="000000"/>
            </w:tcBorders>
          </w:tcPr>
          <w:p w14:paraId="2EA1AD3D" w14:textId="77777777" w:rsidR="005B139F" w:rsidRDefault="008D3C11">
            <w:pPr>
              <w:ind w:left="10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5o-me pak   - nota 5 (pesë) </w:t>
            </w:r>
          </w:p>
        </w:tc>
      </w:tr>
      <w:tr w:rsidR="005B139F" w14:paraId="3C861097" w14:textId="77777777" w:rsidTr="000B1540">
        <w:trPr>
          <w:trHeight w:val="29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40BE7FD0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Literatura 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3A240E" w14:textId="77777777" w:rsidR="005B139F" w:rsidRDefault="005B139F">
            <w:pPr>
              <w:spacing w:after="160"/>
            </w:pPr>
          </w:p>
        </w:tc>
      </w:tr>
      <w:tr w:rsidR="005B139F" w14:paraId="0CB0F521" w14:textId="77777777" w:rsidTr="000B1540">
        <w:trPr>
          <w:trHeight w:val="113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5315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2B7B51DA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Literatura bazë:  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F089" w14:textId="79CF6788" w:rsidR="005B139F" w:rsidRDefault="008D3C11">
            <w:pPr>
              <w:numPr>
                <w:ilvl w:val="0"/>
                <w:numId w:val="4"/>
              </w:numPr>
              <w:spacing w:after="35" w:line="238" w:lineRule="auto"/>
              <w:ind w:hanging="269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Prof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.dr. Skender Ahmeti: “Kontabiliteti i menaxhmentit” Prishtinë, 201</w:t>
            </w:r>
            <w:r w:rsidR="000B1540"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9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. </w:t>
            </w:r>
          </w:p>
          <w:p w14:paraId="59BB9787" w14:textId="32E077D7" w:rsidR="005B139F" w:rsidRDefault="008D3C11">
            <w:pPr>
              <w:numPr>
                <w:ilvl w:val="0"/>
                <w:numId w:val="4"/>
              </w:numPr>
              <w:ind w:hanging="269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Prof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.dr. Skender Ahmeti: “Kontabiliteti i kostos” Prishtinë, 201</w:t>
            </w:r>
            <w:r w:rsidR="000B1540"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>9</w:t>
            </w: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. </w:t>
            </w:r>
          </w:p>
        </w:tc>
      </w:tr>
      <w:tr w:rsidR="005B139F" w14:paraId="7DAB5A38" w14:textId="77777777" w:rsidTr="000B1540">
        <w:trPr>
          <w:trHeight w:val="165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B8B9B8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  <w:p w14:paraId="78B9B3AA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Literatura shtesë:  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2E6949" w14:textId="77777777" w:rsidR="005B139F" w:rsidRDefault="008D3C11">
            <w:pPr>
              <w:numPr>
                <w:ilvl w:val="0"/>
                <w:numId w:val="5"/>
              </w:numPr>
              <w:spacing w:after="39" w:line="237" w:lineRule="auto"/>
              <w:ind w:hanging="252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Garrison, Noreen, Brewer:”Management accounting” McGraw – Hill, New York, 2010, </w:t>
            </w:r>
          </w:p>
          <w:p w14:paraId="1A89D7FC" w14:textId="77777777" w:rsidR="005B139F" w:rsidRDefault="008D3C11">
            <w:pPr>
              <w:numPr>
                <w:ilvl w:val="0"/>
                <w:numId w:val="5"/>
              </w:numPr>
              <w:spacing w:after="41" w:line="235" w:lineRule="auto"/>
              <w:ind w:hanging="252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Wild &amp; Shaw:”Managerial accounting”, 2010 Edition, McGraw – Hill/Irwin, New York, </w:t>
            </w:r>
          </w:p>
          <w:p w14:paraId="352F9672" w14:textId="77777777" w:rsidR="005B139F" w:rsidRDefault="008D3C11">
            <w:pPr>
              <w:numPr>
                <w:ilvl w:val="0"/>
                <w:numId w:val="5"/>
              </w:numPr>
              <w:ind w:hanging="252"/>
            </w:pPr>
            <w:r>
              <w:rPr>
                <w:rFonts w:ascii="Book Antiqua" w:eastAsia="Book Antiqua" w:hAnsi="Book Antiqua" w:cs="Book Antiqua"/>
                <w:b w:val="0"/>
                <w:sz w:val="22"/>
                <w:u w:val="none"/>
              </w:rPr>
              <w:t xml:space="preserve">Hansen&amp;Mowen: “Menaxhimi i kostos: Kontabilitet dhe kontroll” – botim i përkthyer, 2009   </w:t>
            </w:r>
          </w:p>
        </w:tc>
      </w:tr>
      <w:tr w:rsidR="005B139F" w14:paraId="0ABC925F" w14:textId="77777777" w:rsidTr="000B1540">
        <w:trPr>
          <w:trHeight w:val="494"/>
        </w:trPr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31B10923" w14:textId="77777777" w:rsidR="005B139F" w:rsidRDefault="008D3C11">
            <w:pPr>
              <w:ind w:left="6" w:right="2769"/>
              <w:jc w:val="both"/>
            </w:pPr>
            <w:r>
              <w:rPr>
                <w:rFonts w:ascii="Book Antiqua" w:eastAsia="Book Antiqua" w:hAnsi="Book Antiqua" w:cs="Book Antiqua"/>
                <w:sz w:val="14"/>
                <w:u w:val="none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FB841AE" w14:textId="77777777" w:rsidR="005B139F" w:rsidRDefault="008D3C11">
            <w:pPr>
              <w:ind w:left="151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Plani i dizejnuar i mësimit </w:t>
            </w:r>
          </w:p>
        </w:tc>
      </w:tr>
      <w:tr w:rsidR="005B139F" w14:paraId="0710B04C" w14:textId="77777777" w:rsidTr="000B1540">
        <w:trPr>
          <w:trHeight w:val="298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47F830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lastRenderedPageBreak/>
              <w:t xml:space="preserve">Java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70933B1" w14:textId="77777777" w:rsidR="005B139F" w:rsidRDefault="008D3C11"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Ligjërata që do të zhvillohet </w:t>
            </w:r>
          </w:p>
        </w:tc>
      </w:tr>
      <w:tr w:rsidR="005B139F" w14:paraId="728C8AE0" w14:textId="77777777" w:rsidTr="000B1540">
        <w:trPr>
          <w:trHeight w:val="34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006B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I-rë: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42D" w14:textId="77777777" w:rsidR="005B139F" w:rsidRDefault="008D3C11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Përshkrimi (prezantimi) i lëndës </w:t>
            </w:r>
          </w:p>
        </w:tc>
      </w:tr>
      <w:tr w:rsidR="005B139F" w14:paraId="491B358A" w14:textId="77777777" w:rsidTr="000B1540">
        <w:trPr>
          <w:trHeight w:val="29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ACFD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II-të: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4991" w14:textId="0C4E1A35" w:rsidR="005B139F" w:rsidRDefault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>Planifikimi i profitit – Master buxheti</w:t>
            </w:r>
          </w:p>
        </w:tc>
      </w:tr>
      <w:tr w:rsidR="005B139F" w14:paraId="673370E7" w14:textId="77777777" w:rsidTr="000B1540">
        <w:trPr>
          <w:trHeight w:val="338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BE55" w14:textId="77777777" w:rsidR="005B139F" w:rsidRDefault="008D3C11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III-të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: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9C7D" w14:textId="539DE3CD" w:rsidR="005B139F" w:rsidRDefault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>Planifikimi i profitit (vazhdim)</w:t>
            </w:r>
          </w:p>
        </w:tc>
      </w:tr>
      <w:tr w:rsidR="000B1540" w14:paraId="4CC52CB3" w14:textId="77777777" w:rsidTr="000B1540">
        <w:trPr>
          <w:trHeight w:val="24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33BF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IV-rt: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FA75" w14:textId="4FC5E4B8" w:rsidR="000B1540" w:rsidRDefault="000B1540" w:rsidP="000B1540">
            <w:pPr>
              <w:ind w:right="363"/>
            </w:pPr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>Buxhetimi fleksibël dh</w:t>
            </w:r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e </w:t>
            </w:r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përllogaritja standarde </w:t>
            </w:r>
          </w:p>
        </w:tc>
      </w:tr>
      <w:tr w:rsidR="000B1540" w14:paraId="784DA2E7" w14:textId="77777777" w:rsidTr="000B1540">
        <w:trPr>
          <w:trHeight w:val="29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B2D5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V-të: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 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0CA3" w14:textId="05A68DB9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Buxhetimi fleksibël dhe përllogaritja standarde </w:t>
            </w:r>
          </w:p>
        </w:tc>
      </w:tr>
      <w:tr w:rsidR="000B1540" w14:paraId="5D05BA77" w14:textId="77777777" w:rsidTr="000B1540">
        <w:trPr>
          <w:trHeight w:val="3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6204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VI-të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: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516" w14:textId="373BCE3E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>Përllogaritja standarde dhe shmangiet</w:t>
            </w:r>
          </w:p>
        </w:tc>
      </w:tr>
      <w:tr w:rsidR="000B1540" w14:paraId="67FFD44D" w14:textId="77777777" w:rsidTr="000B1540">
        <w:trPr>
          <w:trHeight w:val="3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064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VII-të: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 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AB28" w14:textId="77777777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Testi i parë </w:t>
            </w:r>
          </w:p>
        </w:tc>
      </w:tr>
      <w:tr w:rsidR="000B1540" w14:paraId="2739A990" w14:textId="77777777" w:rsidTr="000B1540">
        <w:trPr>
          <w:trHeight w:val="31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5B5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VIII-të: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 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4A2" w14:textId="694D48EE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Kontabiliteti i përgjegjësisë  </w:t>
            </w:r>
          </w:p>
        </w:tc>
      </w:tr>
      <w:tr w:rsidR="000B1540" w14:paraId="033B183E" w14:textId="77777777" w:rsidTr="000B1540">
        <w:trPr>
          <w:trHeight w:val="3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390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IX-të: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  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6BBE" w14:textId="15F55022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>Çmimet transfer në kompanitë e decentralizuara</w:t>
            </w:r>
          </w:p>
        </w:tc>
      </w:tr>
      <w:tr w:rsidR="000B1540" w14:paraId="327DCE91" w14:textId="77777777" w:rsidTr="000B1540">
        <w:trPr>
          <w:trHeight w:val="31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931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Java e X-të: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65CA" w14:textId="6FFE79BA" w:rsidR="000B1540" w:rsidRPr="000B1540" w:rsidRDefault="000B1540" w:rsidP="000B1540">
            <w:pP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</w:pPr>
            <w: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  <w:t>Alokimi i kostove të departamenteve mbështetëse</w:t>
            </w:r>
          </w:p>
        </w:tc>
      </w:tr>
      <w:tr w:rsidR="000B1540" w14:paraId="25F6FE85" w14:textId="77777777" w:rsidTr="000B1540">
        <w:trPr>
          <w:trHeight w:val="3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337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XI-të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>: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23D8" w14:textId="7ED2FBCB" w:rsidR="000B1540" w:rsidRPr="000B1540" w:rsidRDefault="000B1540" w:rsidP="000B1540">
            <w:pP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</w:pPr>
            <w: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  <w:t>Alokimi i kostove të departamenteve mbështetëse</w:t>
            </w:r>
            <w: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  <w:t xml:space="preserve"> (v)</w:t>
            </w:r>
          </w:p>
        </w:tc>
      </w:tr>
      <w:tr w:rsidR="000B1540" w14:paraId="0E96394F" w14:textId="77777777" w:rsidTr="000B1540">
        <w:trPr>
          <w:trHeight w:val="31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11F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XII-të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:  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CB4" w14:textId="0E642532" w:rsidR="000B1540" w:rsidRPr="000B1540" w:rsidRDefault="000B1540" w:rsidP="000B1540">
            <w:pP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</w:pPr>
            <w: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  <w:t>Alokimi i kostove të produkteve të lidhura</w:t>
            </w:r>
          </w:p>
        </w:tc>
      </w:tr>
      <w:tr w:rsidR="000B1540" w14:paraId="53266034" w14:textId="77777777" w:rsidTr="000B1540">
        <w:trPr>
          <w:trHeight w:val="3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3F2D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XIII-të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:    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7304" w14:textId="348DCE3D" w:rsidR="000B1540" w:rsidRPr="000B1540" w:rsidRDefault="000B1540" w:rsidP="000B1540">
            <w:pP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</w:pPr>
            <w: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  <w:t>Alokimi i kostove të produkteve të lidhura</w:t>
            </w:r>
            <w:r>
              <w:rPr>
                <w:rFonts w:ascii="Book Antiqua" w:hAnsi="Book Antiqua"/>
                <w:b w:val="0"/>
                <w:bCs/>
                <w:sz w:val="24"/>
                <w:szCs w:val="18"/>
                <w:u w:val="none"/>
              </w:rPr>
              <w:t xml:space="preserve"> (v)</w:t>
            </w:r>
          </w:p>
        </w:tc>
      </w:tr>
      <w:tr w:rsidR="000B1540" w14:paraId="5664E78F" w14:textId="77777777" w:rsidTr="000B1540">
        <w:trPr>
          <w:trHeight w:val="31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9F8F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XIV-të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:  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DD4F" w14:textId="77777777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Analiza e investimeve kapitale </w:t>
            </w:r>
          </w:p>
        </w:tc>
      </w:tr>
      <w:tr w:rsidR="000B1540" w14:paraId="34BDB711" w14:textId="77777777" w:rsidTr="000B1540">
        <w:trPr>
          <w:trHeight w:val="3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2AD8" w14:textId="77777777" w:rsidR="000B1540" w:rsidRDefault="000B1540" w:rsidP="000B1540">
            <w:pPr>
              <w:ind w:left="6"/>
            </w:pP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>Java e XV-të</w:t>
            </w: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:   </w:t>
            </w:r>
            <w:r>
              <w:rPr>
                <w:rFonts w:ascii="Book Antiqua" w:eastAsia="Book Antiqua" w:hAnsi="Book Antiqua" w:cs="Book Antiqua"/>
                <w:i/>
                <w:sz w:val="24"/>
                <w:u w:val="none"/>
              </w:rPr>
              <w:t xml:space="preserve"> </w:t>
            </w:r>
          </w:p>
        </w:tc>
        <w:tc>
          <w:tcPr>
            <w:tcW w:w="6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8EC4" w14:textId="77777777" w:rsidR="000B1540" w:rsidRDefault="000B1540" w:rsidP="000B1540"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Testi i dytë </w:t>
            </w:r>
          </w:p>
        </w:tc>
      </w:tr>
    </w:tbl>
    <w:p w14:paraId="6D24D40D" w14:textId="77777777" w:rsidR="005B139F" w:rsidRDefault="008D3C11">
      <w:pPr>
        <w:jc w:val="both"/>
      </w:pPr>
      <w:r>
        <w:rPr>
          <w:sz w:val="16"/>
          <w:u w:val="none"/>
        </w:rPr>
        <w:t xml:space="preserve"> </w:t>
      </w:r>
    </w:p>
    <w:tbl>
      <w:tblPr>
        <w:tblStyle w:val="TableGrid"/>
        <w:tblW w:w="9359" w:type="dxa"/>
        <w:tblInd w:w="-449" w:type="dxa"/>
        <w:tblCellMar>
          <w:top w:w="55" w:type="dxa"/>
          <w:left w:w="1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49"/>
        <w:gridCol w:w="8910"/>
      </w:tblGrid>
      <w:tr w:rsidR="005B139F" w14:paraId="336D6D79" w14:textId="77777777">
        <w:trPr>
          <w:trHeight w:val="29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38E7DE80" w14:textId="77777777" w:rsidR="005B139F" w:rsidRDefault="005B139F">
            <w:pPr>
              <w:spacing w:after="160"/>
            </w:pPr>
          </w:p>
        </w:tc>
        <w:tc>
          <w:tcPr>
            <w:tcW w:w="8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4F9E01" w14:textId="77777777" w:rsidR="005B139F" w:rsidRDefault="008D3C11">
            <w:pPr>
              <w:ind w:left="1572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Politikat akademike dhe rregullat e mirësjelljes: </w:t>
            </w:r>
          </w:p>
        </w:tc>
      </w:tr>
      <w:tr w:rsidR="005B139F" w14:paraId="3BEF3E49" w14:textId="77777777">
        <w:trPr>
          <w:trHeight w:val="124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D7E06" w14:textId="77777777" w:rsidR="005B139F" w:rsidRDefault="008D3C11">
            <w:pPr>
              <w:ind w:left="89"/>
            </w:pPr>
            <w:r>
              <w:rPr>
                <w:rFonts w:ascii="Segoe UI Symbol" w:eastAsia="Segoe UI Symbol" w:hAnsi="Segoe UI Symbol" w:cs="Segoe UI Symbol"/>
                <w:b w:val="0"/>
                <w:sz w:val="24"/>
                <w:u w:val="none"/>
              </w:rPr>
              <w:t></w:t>
            </w:r>
            <w:r>
              <w:rPr>
                <w:rFonts w:ascii="Arial" w:eastAsia="Arial" w:hAnsi="Arial" w:cs="Arial"/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84F1A" w14:textId="77777777" w:rsidR="005B139F" w:rsidRDefault="008D3C11">
            <w:pPr>
              <w:ind w:right="61"/>
              <w:jc w:val="both"/>
            </w:pPr>
            <w:r>
              <w:rPr>
                <w:rFonts w:ascii="Book Antiqua" w:eastAsia="Book Antiqua" w:hAnsi="Book Antiqua" w:cs="Book Antiqua"/>
                <w:sz w:val="24"/>
                <w:u w:val="none"/>
              </w:rPr>
              <w:t xml:space="preserve">Kopjimi dhe transmetimi i fjalëve nuk lejohet në këtë lëndë. </w:t>
            </w:r>
            <w:r>
              <w:rPr>
                <w:rFonts w:ascii="Book Antiqua" w:eastAsia="Book Antiqua" w:hAnsi="Book Antiqua" w:cs="Book Antiqua"/>
                <w:b w:val="0"/>
                <w:sz w:val="24"/>
                <w:u w:val="none"/>
              </w:rPr>
              <w:t xml:space="preserve">Nëse studentët takohen në këto aktivitete, ata do të trajtohen në bazë të rregulloreve përkatëse të Universitetit të Pristinës. Me këtë rast do të merr notën e dobët dhe ky aktivitet do të përcillet në shënimet personale të studentit. </w:t>
            </w:r>
          </w:p>
        </w:tc>
      </w:tr>
    </w:tbl>
    <w:p w14:paraId="643545F1" w14:textId="77777777" w:rsidR="005B139F" w:rsidRDefault="008D3C11">
      <w:pPr>
        <w:jc w:val="both"/>
      </w:pPr>
      <w:r>
        <w:rPr>
          <w:sz w:val="28"/>
          <w:u w:val="none"/>
        </w:rPr>
        <w:t xml:space="preserve"> </w:t>
      </w:r>
    </w:p>
    <w:p w14:paraId="6AC91D11" w14:textId="77777777" w:rsidR="005B139F" w:rsidRDefault="008D3C11">
      <w:pPr>
        <w:jc w:val="both"/>
      </w:pPr>
      <w:r>
        <w:rPr>
          <w:sz w:val="28"/>
          <w:u w:val="none"/>
        </w:rPr>
        <w:t xml:space="preserve"> </w:t>
      </w:r>
    </w:p>
    <w:sectPr w:rsidR="005B139F">
      <w:footerReference w:type="even" r:id="rId7"/>
      <w:footerReference w:type="default" r:id="rId8"/>
      <w:footerReference w:type="first" r:id="rId9"/>
      <w:pgSz w:w="12240" w:h="15840"/>
      <w:pgMar w:top="1176" w:right="5968" w:bottom="1575" w:left="180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8A2DC" w14:textId="77777777" w:rsidR="008D3C11" w:rsidRDefault="008D3C11">
      <w:pPr>
        <w:spacing w:line="240" w:lineRule="auto"/>
      </w:pPr>
      <w:r>
        <w:separator/>
      </w:r>
    </w:p>
  </w:endnote>
  <w:endnote w:type="continuationSeparator" w:id="0">
    <w:p w14:paraId="31ACEC6A" w14:textId="77777777" w:rsidR="008D3C11" w:rsidRDefault="008D3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69A90" w14:textId="77777777" w:rsidR="005B139F" w:rsidRDefault="008D3C11">
    <w:pPr>
      <w:tabs>
        <w:tab w:val="right" w:pos="8642"/>
      </w:tabs>
      <w:ind w:right="-4170"/>
    </w:pPr>
    <w:r>
      <w:rPr>
        <w:rFonts w:ascii="Times New Roman" w:eastAsia="Times New Roman" w:hAnsi="Times New Roman" w:cs="Times New Roman"/>
        <w:b w:val="0"/>
        <w:sz w:val="24"/>
        <w:u w:val="none"/>
      </w:rPr>
      <w:t xml:space="preserve"> </w:t>
    </w:r>
    <w:r>
      <w:rPr>
        <w:rFonts w:ascii="Times New Roman" w:eastAsia="Times New Roman" w:hAnsi="Times New Roman" w:cs="Times New Roman"/>
        <w:b w:val="0"/>
        <w:sz w:val="24"/>
        <w:u w:val="none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  <w:u w:val="none"/>
      </w:rPr>
      <w:t>1</w:t>
    </w:r>
    <w:r>
      <w:rPr>
        <w:rFonts w:ascii="Times New Roman" w:eastAsia="Times New Roman" w:hAnsi="Times New Roman" w:cs="Times New Roman"/>
        <w:b w:val="0"/>
        <w:sz w:val="24"/>
        <w:u w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27A52" w14:textId="77777777" w:rsidR="005B139F" w:rsidRDefault="008D3C11">
    <w:pPr>
      <w:tabs>
        <w:tab w:val="right" w:pos="8642"/>
      </w:tabs>
      <w:ind w:right="-4170"/>
    </w:pPr>
    <w:r>
      <w:rPr>
        <w:rFonts w:ascii="Times New Roman" w:eastAsia="Times New Roman" w:hAnsi="Times New Roman" w:cs="Times New Roman"/>
        <w:b w:val="0"/>
        <w:sz w:val="24"/>
        <w:u w:val="none"/>
      </w:rPr>
      <w:t xml:space="preserve"> </w:t>
    </w:r>
    <w:r>
      <w:rPr>
        <w:rFonts w:ascii="Times New Roman" w:eastAsia="Times New Roman" w:hAnsi="Times New Roman" w:cs="Times New Roman"/>
        <w:b w:val="0"/>
        <w:sz w:val="24"/>
        <w:u w:val="none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  <w:u w:val="none"/>
      </w:rPr>
      <w:t>1</w:t>
    </w:r>
    <w:r>
      <w:rPr>
        <w:rFonts w:ascii="Times New Roman" w:eastAsia="Times New Roman" w:hAnsi="Times New Roman" w:cs="Times New Roman"/>
        <w:b w:val="0"/>
        <w:sz w:val="24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2CB1" w14:textId="77777777" w:rsidR="005B139F" w:rsidRDefault="008D3C11">
    <w:pPr>
      <w:tabs>
        <w:tab w:val="right" w:pos="8642"/>
      </w:tabs>
      <w:ind w:right="-4170"/>
    </w:pPr>
    <w:r>
      <w:rPr>
        <w:rFonts w:ascii="Times New Roman" w:eastAsia="Times New Roman" w:hAnsi="Times New Roman" w:cs="Times New Roman"/>
        <w:b w:val="0"/>
        <w:sz w:val="24"/>
        <w:u w:val="none"/>
      </w:rPr>
      <w:t xml:space="preserve"> </w:t>
    </w:r>
    <w:r>
      <w:rPr>
        <w:rFonts w:ascii="Times New Roman" w:eastAsia="Times New Roman" w:hAnsi="Times New Roman" w:cs="Times New Roman"/>
        <w:b w:val="0"/>
        <w:sz w:val="24"/>
        <w:u w:val="none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4"/>
        <w:u w:val="none"/>
      </w:rPr>
      <w:t>1</w:t>
    </w:r>
    <w:r>
      <w:rPr>
        <w:rFonts w:ascii="Times New Roman" w:eastAsia="Times New Roman" w:hAnsi="Times New Roman" w:cs="Times New Roman"/>
        <w:b w:val="0"/>
        <w:sz w:val="2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BCDE" w14:textId="77777777" w:rsidR="008D3C11" w:rsidRDefault="008D3C11">
      <w:pPr>
        <w:spacing w:line="240" w:lineRule="auto"/>
      </w:pPr>
      <w:r>
        <w:separator/>
      </w:r>
    </w:p>
  </w:footnote>
  <w:footnote w:type="continuationSeparator" w:id="0">
    <w:p w14:paraId="6A30AF9D" w14:textId="77777777" w:rsidR="008D3C11" w:rsidRDefault="008D3C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5228"/>
    <w:multiLevelType w:val="hybridMultilevel"/>
    <w:tmpl w:val="08FC2D7A"/>
    <w:lvl w:ilvl="0" w:tplc="F5D698DC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A8E6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A327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6C16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85C3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0ED3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CEB36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215CC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AEA2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75335"/>
    <w:multiLevelType w:val="hybridMultilevel"/>
    <w:tmpl w:val="E09C47AC"/>
    <w:lvl w:ilvl="0" w:tplc="030C5A36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042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2610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49C9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F59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1465F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E7C8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02D30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EBF8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049C"/>
    <w:multiLevelType w:val="hybridMultilevel"/>
    <w:tmpl w:val="FECA5916"/>
    <w:lvl w:ilvl="0" w:tplc="1AEE8446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A852E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85C36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C931E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64A6A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2EB1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C8EB2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4431A8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8689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50C27"/>
    <w:multiLevelType w:val="hybridMultilevel"/>
    <w:tmpl w:val="E66653FA"/>
    <w:lvl w:ilvl="0" w:tplc="0D9A0FF0">
      <w:start w:val="1"/>
      <w:numFmt w:val="decimal"/>
      <w:lvlText w:val="%1."/>
      <w:lvlJc w:val="left"/>
      <w:pPr>
        <w:ind w:left="26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C503E">
      <w:start w:val="1"/>
      <w:numFmt w:val="lowerLetter"/>
      <w:lvlText w:val="%2"/>
      <w:lvlJc w:val="left"/>
      <w:pPr>
        <w:ind w:left="1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E9946">
      <w:start w:val="1"/>
      <w:numFmt w:val="lowerRoman"/>
      <w:lvlText w:val="%3"/>
      <w:lvlJc w:val="left"/>
      <w:pPr>
        <w:ind w:left="19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2FAF8">
      <w:start w:val="1"/>
      <w:numFmt w:val="decimal"/>
      <w:lvlText w:val="%4"/>
      <w:lvlJc w:val="left"/>
      <w:pPr>
        <w:ind w:left="26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CD48">
      <w:start w:val="1"/>
      <w:numFmt w:val="lowerLetter"/>
      <w:lvlText w:val="%5"/>
      <w:lvlJc w:val="left"/>
      <w:pPr>
        <w:ind w:left="33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ECE5E">
      <w:start w:val="1"/>
      <w:numFmt w:val="lowerRoman"/>
      <w:lvlText w:val="%6"/>
      <w:lvlJc w:val="left"/>
      <w:pPr>
        <w:ind w:left="40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CE794">
      <w:start w:val="1"/>
      <w:numFmt w:val="decimal"/>
      <w:lvlText w:val="%7"/>
      <w:lvlJc w:val="left"/>
      <w:pPr>
        <w:ind w:left="47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8D4FC">
      <w:start w:val="1"/>
      <w:numFmt w:val="lowerLetter"/>
      <w:lvlText w:val="%8"/>
      <w:lvlJc w:val="left"/>
      <w:pPr>
        <w:ind w:left="55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E28D4">
      <w:start w:val="1"/>
      <w:numFmt w:val="lowerRoman"/>
      <w:lvlText w:val="%9"/>
      <w:lvlJc w:val="left"/>
      <w:pPr>
        <w:ind w:left="62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724AA9"/>
    <w:multiLevelType w:val="hybridMultilevel"/>
    <w:tmpl w:val="DDB4D630"/>
    <w:lvl w:ilvl="0" w:tplc="70EA34EA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02A1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A80B9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88510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4998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ED5B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8FEA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2E09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8202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9F"/>
    <w:rsid w:val="000B1540"/>
    <w:rsid w:val="005B139F"/>
    <w:rsid w:val="008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861"/>
  <w15:docId w15:val="{9EE8EDC3-5E86-42F0-8B5C-38307201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skender.ahmeti@uni-pr.edu</cp:lastModifiedBy>
  <cp:revision>2</cp:revision>
  <dcterms:created xsi:type="dcterms:W3CDTF">2020-10-20T16:41:00Z</dcterms:created>
  <dcterms:modified xsi:type="dcterms:W3CDTF">2020-10-20T16:41:00Z</dcterms:modified>
</cp:coreProperties>
</file>