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9"/>
        <w:gridCol w:w="611"/>
        <w:gridCol w:w="13"/>
        <w:gridCol w:w="456"/>
        <w:gridCol w:w="1899"/>
        <w:gridCol w:w="1260"/>
        <w:gridCol w:w="179"/>
        <w:gridCol w:w="1000"/>
        <w:gridCol w:w="919"/>
        <w:gridCol w:w="849"/>
      </w:tblGrid>
      <w:tr w:rsidR="00CD6C3D" w:rsidTr="00CD6C3D"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Cs w:val="24"/>
              </w:rPr>
              <w:t>Title of subject:</w:t>
            </w:r>
          </w:p>
        </w:tc>
        <w:tc>
          <w:tcPr>
            <w:tcW w:w="6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 xml:space="preserve">SIGNALIZATION IN TRAFFIC </w:t>
            </w:r>
          </w:p>
        </w:tc>
      </w:tr>
      <w:tr w:rsidR="00CD6C3D" w:rsidTr="00CD6C3D"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Description of subject:</w:t>
            </w:r>
          </w:p>
          <w:p w:rsidR="00CD6C3D" w:rsidRDefault="00CD6C3D">
            <w:pPr>
              <w:pStyle w:val="NoSpacing"/>
              <w:rPr>
                <w:rFonts w:eastAsia="Times New Roman"/>
                <w:b/>
                <w:color w:val="0000FF"/>
                <w:szCs w:val="24"/>
                <w:lang w:val="en-US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tabs>
                <w:tab w:val="num" w:pos="1080"/>
              </w:tabs>
              <w:jc w:val="both"/>
              <w:rPr>
                <w:color w:val="000000"/>
              </w:rPr>
            </w:pPr>
            <w:r>
              <w:rPr>
                <w:sz w:val="22"/>
              </w:rPr>
              <w:t xml:space="preserve">Indicators of work efficiency of signalized intersections. Essential factors of work of signalized intersections. Proceeding of the project of coordinated way of light signals. Calculation of green time </w:t>
            </w:r>
            <w:r w:rsidR="003A46C5">
              <w:rPr>
                <w:sz w:val="22"/>
              </w:rPr>
              <w:t>reallocation</w:t>
            </w:r>
            <w:r>
              <w:rPr>
                <w:sz w:val="22"/>
              </w:rPr>
              <w:t xml:space="preserve">. Actual practice in the world. Actual practice in the developed </w:t>
            </w:r>
            <w:r w:rsidR="003A46C5">
              <w:rPr>
                <w:sz w:val="22"/>
              </w:rPr>
              <w:t xml:space="preserve">countries. </w:t>
            </w:r>
          </w:p>
        </w:tc>
      </w:tr>
      <w:tr w:rsidR="00CD6C3D" w:rsidTr="00CD6C3D"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Targets of subject:</w:t>
            </w:r>
          </w:p>
          <w:p w:rsidR="00CD6C3D" w:rsidRDefault="00CD6C3D">
            <w:pPr>
              <w:pStyle w:val="NoSpacing"/>
              <w:rPr>
                <w:rFonts w:eastAsia="Times New Roman"/>
                <w:b/>
                <w:color w:val="0000FF"/>
                <w:szCs w:val="24"/>
                <w:lang w:val="en-US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jc w:val="both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To give knowledge’s for composite systems and for more advanced programs that are implemente</w:t>
            </w:r>
            <w:r w:rsidR="003A46C5">
              <w:rPr>
                <w:rFonts w:eastAsia="Times New Roman"/>
                <w:szCs w:val="24"/>
              </w:rPr>
              <w:t xml:space="preserve">d today in the World. To treat </w:t>
            </w:r>
            <w:r>
              <w:rPr>
                <w:rFonts w:eastAsia="Times New Roman"/>
                <w:szCs w:val="24"/>
              </w:rPr>
              <w:t>compilations of plans and programs for signals in synchronized corridors. To give assessments for level of service for signalized intersections and corridors.</w:t>
            </w:r>
          </w:p>
        </w:tc>
      </w:tr>
      <w:tr w:rsidR="00CD6C3D" w:rsidTr="00CD6C3D"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Expect results of student:</w:t>
            </w:r>
          </w:p>
          <w:p w:rsidR="00CD6C3D" w:rsidRDefault="00CD6C3D">
            <w:pPr>
              <w:pStyle w:val="NoSpacing"/>
              <w:rPr>
                <w:rFonts w:eastAsia="Times New Roman"/>
                <w:b/>
                <w:color w:val="0000FF"/>
                <w:szCs w:val="24"/>
                <w:lang w:val="en-US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jc w:val="both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To identify the composite s</w:t>
            </w:r>
            <w:r w:rsidR="003A46C5">
              <w:rPr>
                <w:rFonts w:eastAsia="Times New Roman"/>
                <w:szCs w:val="24"/>
              </w:rPr>
              <w:t>ystems in traffic. To simulate</w:t>
            </w:r>
            <w:r>
              <w:rPr>
                <w:rFonts w:eastAsia="Times New Roman"/>
                <w:szCs w:val="24"/>
              </w:rPr>
              <w:t xml:space="preserve"> the dif</w:t>
            </w:r>
            <w:r w:rsidR="003A46C5">
              <w:rPr>
                <w:rFonts w:eastAsia="Times New Roman"/>
                <w:szCs w:val="24"/>
              </w:rPr>
              <w:t xml:space="preserve">ferent the latest applicative programs in the world. By counted traffic volumes </w:t>
            </w:r>
            <w:r>
              <w:rPr>
                <w:rFonts w:eastAsia="Times New Roman"/>
                <w:szCs w:val="24"/>
              </w:rPr>
              <w:t xml:space="preserve">to make compilation plans and programs for signals in synchronized corridors. In accordance with </w:t>
            </w:r>
            <w:r>
              <w:rPr>
                <w:rStyle w:val="hps"/>
                <w:rFonts w:eastAsia="Times New Roman"/>
                <w:color w:val="333333"/>
                <w:szCs w:val="24"/>
                <w:shd w:val="clear" w:color="auto" w:fill="F5F5F5"/>
              </w:rPr>
              <w:t xml:space="preserve">obtained results, to make </w:t>
            </w:r>
            <w:r>
              <w:rPr>
                <w:rFonts w:eastAsia="Times New Roman"/>
                <w:szCs w:val="24"/>
              </w:rPr>
              <w:t>assessments for level of service  for signalized intersections and corridors.</w:t>
            </w:r>
          </w:p>
        </w:tc>
      </w:tr>
      <w:tr w:rsidR="00CD6C3D" w:rsidTr="00CD6C3D">
        <w:tc>
          <w:tcPr>
            <w:tcW w:w="9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CD6C3D" w:rsidRDefault="00CD6C3D">
            <w:pPr>
              <w:pStyle w:val="NoSpacing"/>
              <w:rPr>
                <w:rFonts w:eastAsia="Times New Roman"/>
                <w:i/>
                <w:sz w:val="8"/>
                <w:szCs w:val="24"/>
                <w:lang w:val="en-US"/>
              </w:rPr>
            </w:pPr>
          </w:p>
        </w:tc>
      </w:tr>
      <w:tr w:rsidR="00CD6C3D" w:rsidTr="00CD6C3D">
        <w:tc>
          <w:tcPr>
            <w:tcW w:w="9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D6C3D" w:rsidRDefault="00CD6C3D">
            <w:pPr>
              <w:pStyle w:val="NoSpacing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Contribution in the load of student (which should correspond with results of gain of the student)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Days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Weeks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CD6C3D" w:rsidTr="00CD6C3D">
        <w:trPr>
          <w:trHeight w:val="227"/>
        </w:trPr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Lectures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30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 xml:space="preserve">Exercises Theoretical /Laboratory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30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Practical work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Contacts with teacher/consultations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8426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188B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84264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1</w:t>
            </w:r>
            <w:r w:rsidR="0047188B">
              <w:rPr>
                <w:rFonts w:ascii="Book Antiqua" w:hAnsi="Book Antiqua"/>
                <w:color w:val="000000"/>
                <w:sz w:val="20"/>
                <w:lang w:val="sq-AL"/>
              </w:rPr>
              <w:t>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 xml:space="preserve">Practice in field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</w:pPr>
            <w: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 xml:space="preserve">Testing’s, seminars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10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Homework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20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Time of self study of student (in library or at home)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30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Final preparation for exam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10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Time spent in evaluation (tests, final exam)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5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Projects, presentations, etc.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r>
              <w:rPr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C3D" w:rsidRDefault="00CD6C3D">
            <w:pPr>
              <w:jc w:val="both"/>
              <w:rPr>
                <w:rFonts w:ascii="Book Antiqua" w:hAnsi="Book Antiqua"/>
                <w:color w:val="000000"/>
                <w:sz w:val="20"/>
                <w:lang w:val="sq-AL"/>
              </w:rPr>
            </w:pPr>
            <w:r>
              <w:rPr>
                <w:rFonts w:ascii="Book Antiqua" w:hAnsi="Book Antiqua"/>
                <w:color w:val="000000"/>
                <w:sz w:val="20"/>
                <w:lang w:val="sq-AL"/>
              </w:rPr>
              <w:t>0</w:t>
            </w:r>
          </w:p>
        </w:tc>
      </w:tr>
      <w:tr w:rsidR="00CD6C3D" w:rsidTr="00CD6C3D"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CD6C3D" w:rsidRDefault="00CD6C3D">
            <w:pPr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CD6C3D" w:rsidRDefault="00CD6C3D">
            <w:pPr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CD6C3D" w:rsidRDefault="00CD6C3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D6C3D" w:rsidRDefault="00CD6C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150 hour</w:t>
            </w:r>
          </w:p>
        </w:tc>
      </w:tr>
      <w:tr w:rsidR="00CD6C3D" w:rsidTr="00CD6C3D">
        <w:tc>
          <w:tcPr>
            <w:tcW w:w="9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CD6C3D" w:rsidRDefault="00CD6C3D">
            <w:pPr>
              <w:rPr>
                <w:b/>
                <w:sz w:val="8"/>
              </w:rPr>
            </w:pPr>
          </w:p>
        </w:tc>
      </w:tr>
      <w:tr w:rsidR="00CD6C3D" w:rsidTr="00CD6C3D"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Methodology of teaching:</w:t>
            </w:r>
          </w:p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Regular teaching, lecturing with presentations in groups, exercises with tasks and examples, exercises in the field, seminar tasks and works, tests, discussions.</w:t>
            </w:r>
          </w:p>
        </w:tc>
      </w:tr>
      <w:tr w:rsidR="00CD6C3D" w:rsidTr="00CD6C3D">
        <w:tc>
          <w:tcPr>
            <w:tcW w:w="32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>Report between practical and theoretical part of study: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Theoretical part (%)</w:t>
            </w:r>
          </w:p>
        </w:tc>
        <w:tc>
          <w:tcPr>
            <w:tcW w:w="2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pStyle w:val="NoSpacing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Practical part (%)</w:t>
            </w:r>
          </w:p>
        </w:tc>
      </w:tr>
      <w:tr w:rsidR="00CD6C3D" w:rsidTr="00CD6C3D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C3D" w:rsidRDefault="00CD6C3D">
            <w:pPr>
              <w:rPr>
                <w:b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tabs>
                <w:tab w:val="num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70%</w:t>
            </w:r>
          </w:p>
        </w:tc>
        <w:tc>
          <w:tcPr>
            <w:tcW w:w="2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tabs>
                <w:tab w:val="num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30%</w:t>
            </w:r>
          </w:p>
        </w:tc>
      </w:tr>
      <w:tr w:rsidR="00CD6C3D" w:rsidTr="00CD6C3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</w:rPr>
              <w:t xml:space="preserve">Basic literature:  </w:t>
            </w:r>
          </w:p>
          <w:p w:rsidR="00CD6C3D" w:rsidRDefault="00CD6C3D">
            <w:pPr>
              <w:pStyle w:val="NoSpacing"/>
              <w:rPr>
                <w:rFonts w:eastAsia="Times New Roman"/>
                <w:color w:val="0000FF"/>
                <w:szCs w:val="24"/>
                <w:lang w:val="en-US"/>
              </w:rPr>
            </w:pPr>
          </w:p>
        </w:tc>
        <w:tc>
          <w:tcPr>
            <w:tcW w:w="7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3D" w:rsidRDefault="00CD6C3D">
            <w:pPr>
              <w:ind w:left="270" w:hanging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Perjuci Xh., </w:t>
            </w:r>
            <w:r>
              <w:rPr>
                <w:i/>
                <w:sz w:val="20"/>
                <w:szCs w:val="20"/>
              </w:rPr>
              <w:t>Leksione nga Rregullimi dhe Dirigjimi i Qarkullimit në Komunikacion</w:t>
            </w:r>
            <w:r>
              <w:rPr>
                <w:sz w:val="20"/>
                <w:szCs w:val="20"/>
              </w:rPr>
              <w:t>, Prishtinë, 2004.</w:t>
            </w:r>
          </w:p>
          <w:p w:rsidR="00CD6C3D" w:rsidRDefault="00CD6C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Osoba M., etj., </w:t>
            </w:r>
            <w:r>
              <w:rPr>
                <w:i/>
                <w:sz w:val="20"/>
                <w:szCs w:val="20"/>
              </w:rPr>
              <w:t>Upravljanje Saobracajem Pomocu Svetlosnih Signala</w:t>
            </w:r>
            <w:r>
              <w:rPr>
                <w:sz w:val="20"/>
                <w:szCs w:val="20"/>
              </w:rPr>
              <w:t>, 1999.</w:t>
            </w:r>
          </w:p>
          <w:p w:rsidR="00CD6C3D" w:rsidRDefault="00CD6C3D">
            <w:pPr>
              <w:jc w:val="both"/>
            </w:pPr>
            <w:r>
              <w:rPr>
                <w:sz w:val="20"/>
                <w:szCs w:val="20"/>
              </w:rPr>
              <w:t xml:space="preserve">3. Akcelik R., </w:t>
            </w:r>
            <w:r>
              <w:rPr>
                <w:i/>
                <w:sz w:val="20"/>
                <w:szCs w:val="20"/>
              </w:rPr>
              <w:t>Traffic Signals-Capacity and Timing Analysis,</w:t>
            </w:r>
            <w:r>
              <w:rPr>
                <w:sz w:val="20"/>
                <w:szCs w:val="20"/>
              </w:rPr>
              <w:t xml:space="preserve"> Victoria, 1981.</w:t>
            </w:r>
          </w:p>
        </w:tc>
      </w:tr>
      <w:tr w:rsidR="00CD6C3D" w:rsidTr="00CD6C3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pStyle w:val="NoSpacing"/>
              <w:rPr>
                <w:rFonts w:eastAsia="Times New Roman"/>
                <w:b/>
                <w:szCs w:val="24"/>
                <w:lang w:val="en-US"/>
              </w:rPr>
            </w:pPr>
          </w:p>
        </w:tc>
        <w:tc>
          <w:tcPr>
            <w:tcW w:w="7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3D" w:rsidRDefault="00CD6C3D">
            <w:pPr>
              <w:jc w:val="both"/>
              <w:rPr>
                <w:sz w:val="20"/>
                <w:szCs w:val="20"/>
              </w:rPr>
            </w:pPr>
          </w:p>
        </w:tc>
      </w:tr>
    </w:tbl>
    <w:p w:rsidR="00332452" w:rsidRDefault="00332452"/>
    <w:sectPr w:rsidR="00332452" w:rsidSect="003324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3D"/>
    <w:rsid w:val="00003FD0"/>
    <w:rsid w:val="000172DD"/>
    <w:rsid w:val="000175E1"/>
    <w:rsid w:val="000314A2"/>
    <w:rsid w:val="00035328"/>
    <w:rsid w:val="00080320"/>
    <w:rsid w:val="000C028B"/>
    <w:rsid w:val="000C39F7"/>
    <w:rsid w:val="001235AA"/>
    <w:rsid w:val="00132C3B"/>
    <w:rsid w:val="00135AE2"/>
    <w:rsid w:val="00142DBB"/>
    <w:rsid w:val="00167C4F"/>
    <w:rsid w:val="001F63BD"/>
    <w:rsid w:val="00263929"/>
    <w:rsid w:val="002654BB"/>
    <w:rsid w:val="00265B15"/>
    <w:rsid w:val="002908DE"/>
    <w:rsid w:val="002A154F"/>
    <w:rsid w:val="002B679F"/>
    <w:rsid w:val="002D760F"/>
    <w:rsid w:val="003135EC"/>
    <w:rsid w:val="00317D00"/>
    <w:rsid w:val="0032309A"/>
    <w:rsid w:val="00324F20"/>
    <w:rsid w:val="00332452"/>
    <w:rsid w:val="00347C07"/>
    <w:rsid w:val="00352673"/>
    <w:rsid w:val="00366914"/>
    <w:rsid w:val="00367B05"/>
    <w:rsid w:val="0039786F"/>
    <w:rsid w:val="003A2C0A"/>
    <w:rsid w:val="003A46C5"/>
    <w:rsid w:val="003D59CE"/>
    <w:rsid w:val="004069E7"/>
    <w:rsid w:val="00407308"/>
    <w:rsid w:val="0041571F"/>
    <w:rsid w:val="0042760F"/>
    <w:rsid w:val="004441E3"/>
    <w:rsid w:val="00457DF6"/>
    <w:rsid w:val="00461528"/>
    <w:rsid w:val="0047188B"/>
    <w:rsid w:val="004A5408"/>
    <w:rsid w:val="004B5AEC"/>
    <w:rsid w:val="00502731"/>
    <w:rsid w:val="00582900"/>
    <w:rsid w:val="00583248"/>
    <w:rsid w:val="00595399"/>
    <w:rsid w:val="00622043"/>
    <w:rsid w:val="00632DE0"/>
    <w:rsid w:val="00661709"/>
    <w:rsid w:val="006755EC"/>
    <w:rsid w:val="0068024B"/>
    <w:rsid w:val="00692232"/>
    <w:rsid w:val="006A2F5D"/>
    <w:rsid w:val="006A640D"/>
    <w:rsid w:val="006E0448"/>
    <w:rsid w:val="007013A2"/>
    <w:rsid w:val="007222DF"/>
    <w:rsid w:val="0073305A"/>
    <w:rsid w:val="00743911"/>
    <w:rsid w:val="00765D5D"/>
    <w:rsid w:val="00783B8C"/>
    <w:rsid w:val="00786296"/>
    <w:rsid w:val="007D2A1A"/>
    <w:rsid w:val="007D71CA"/>
    <w:rsid w:val="007F05E1"/>
    <w:rsid w:val="007F3133"/>
    <w:rsid w:val="00801B55"/>
    <w:rsid w:val="008033A7"/>
    <w:rsid w:val="00831B6F"/>
    <w:rsid w:val="00834871"/>
    <w:rsid w:val="0084264D"/>
    <w:rsid w:val="00856A04"/>
    <w:rsid w:val="00857944"/>
    <w:rsid w:val="008729C2"/>
    <w:rsid w:val="00873F8B"/>
    <w:rsid w:val="00880C81"/>
    <w:rsid w:val="008C0C24"/>
    <w:rsid w:val="008F4687"/>
    <w:rsid w:val="00924DA9"/>
    <w:rsid w:val="009356E1"/>
    <w:rsid w:val="00943B46"/>
    <w:rsid w:val="0096278E"/>
    <w:rsid w:val="0098388B"/>
    <w:rsid w:val="009940E7"/>
    <w:rsid w:val="009A1711"/>
    <w:rsid w:val="009C29D5"/>
    <w:rsid w:val="009C4D14"/>
    <w:rsid w:val="009C568E"/>
    <w:rsid w:val="009E0684"/>
    <w:rsid w:val="00A02CA6"/>
    <w:rsid w:val="00A21107"/>
    <w:rsid w:val="00A431E5"/>
    <w:rsid w:val="00A43AC4"/>
    <w:rsid w:val="00A54DA9"/>
    <w:rsid w:val="00A6626F"/>
    <w:rsid w:val="00A757B9"/>
    <w:rsid w:val="00A96C7F"/>
    <w:rsid w:val="00AA6D6C"/>
    <w:rsid w:val="00AC6227"/>
    <w:rsid w:val="00B00820"/>
    <w:rsid w:val="00B05BB5"/>
    <w:rsid w:val="00B12E19"/>
    <w:rsid w:val="00B54ECE"/>
    <w:rsid w:val="00BB3F1D"/>
    <w:rsid w:val="00BD7F18"/>
    <w:rsid w:val="00BE7BD9"/>
    <w:rsid w:val="00C37DA3"/>
    <w:rsid w:val="00C422BA"/>
    <w:rsid w:val="00C5393B"/>
    <w:rsid w:val="00C91DA1"/>
    <w:rsid w:val="00C96A5C"/>
    <w:rsid w:val="00CA49FD"/>
    <w:rsid w:val="00CA559B"/>
    <w:rsid w:val="00CA733D"/>
    <w:rsid w:val="00CC6CF9"/>
    <w:rsid w:val="00CC762C"/>
    <w:rsid w:val="00CD6C3D"/>
    <w:rsid w:val="00CE2881"/>
    <w:rsid w:val="00CE723F"/>
    <w:rsid w:val="00D014F9"/>
    <w:rsid w:val="00D12EC2"/>
    <w:rsid w:val="00D5247D"/>
    <w:rsid w:val="00D7106B"/>
    <w:rsid w:val="00D868A2"/>
    <w:rsid w:val="00DA12D2"/>
    <w:rsid w:val="00DB7BD6"/>
    <w:rsid w:val="00DF1434"/>
    <w:rsid w:val="00E510B7"/>
    <w:rsid w:val="00E5601A"/>
    <w:rsid w:val="00E95ED8"/>
    <w:rsid w:val="00EA01DB"/>
    <w:rsid w:val="00EB3E94"/>
    <w:rsid w:val="00EB5AF8"/>
    <w:rsid w:val="00EF14AB"/>
    <w:rsid w:val="00FA09C3"/>
    <w:rsid w:val="00FC7A62"/>
    <w:rsid w:val="00FD5C49"/>
    <w:rsid w:val="00FF2EC6"/>
    <w:rsid w:val="00FF69B3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CD6C3D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99"/>
    <w:qFormat/>
    <w:rsid w:val="00CD6C3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ps">
    <w:name w:val="hps"/>
    <w:basedOn w:val="DefaultParagraphFont"/>
    <w:rsid w:val="00CD6C3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CD6C3D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99"/>
    <w:qFormat/>
    <w:rsid w:val="00CD6C3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ps">
    <w:name w:val="hps"/>
    <w:basedOn w:val="DefaultParagraphFont"/>
    <w:rsid w:val="00CD6C3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Sadullah Avdiu</dc:creator>
  <cp:lastModifiedBy>Shpetim Lajqi</cp:lastModifiedBy>
  <cp:revision>2</cp:revision>
  <dcterms:created xsi:type="dcterms:W3CDTF">2017-10-17T17:10:00Z</dcterms:created>
  <dcterms:modified xsi:type="dcterms:W3CDTF">2017-10-17T17:10:00Z</dcterms:modified>
</cp:coreProperties>
</file>