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proofErr w:type="spellStart"/>
      <w:r w:rsidR="0056171F" w:rsidRPr="006C5241">
        <w:t>Gjuhë</w:t>
      </w:r>
      <w:proofErr w:type="spellEnd"/>
      <w:r w:rsidR="0056171F" w:rsidRPr="006C5241">
        <w:t xml:space="preserve"> </w:t>
      </w:r>
      <w:proofErr w:type="spellStart"/>
      <w:r w:rsidR="0056171F" w:rsidRPr="006C5241">
        <w:t>gjermane</w:t>
      </w:r>
      <w:proofErr w:type="spellEnd"/>
      <w:r w:rsidR="0056171F" w:rsidRPr="006C5241">
        <w:t xml:space="preserve"> I</w:t>
      </w:r>
      <w:r w:rsidR="003A451D">
        <w:t>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56171F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Gjuhë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I</w:t>
            </w:r>
            <w:r w:rsidR="003A451D" w:rsidRPr="00D243C7">
              <w:rPr>
                <w:rFonts w:asciiTheme="minorHAnsi" w:hAnsiTheme="minorHAnsi"/>
                <w:b/>
                <w:szCs w:val="24"/>
              </w:rPr>
              <w:t>I</w:t>
            </w:r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I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obligueshëm</w:t>
            </w:r>
            <w:proofErr w:type="spellEnd"/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I-rë |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</w:t>
            </w:r>
            <w:r w:rsidR="0029798E" w:rsidRPr="00D243C7">
              <w:rPr>
                <w:rFonts w:asciiTheme="minorHAnsi" w:hAnsiTheme="minorHAnsi"/>
                <w:szCs w:val="24"/>
              </w:rPr>
              <w:t>I-</w:t>
            </w:r>
            <w:proofErr w:type="spellStart"/>
            <w:r w:rsidR="0029798E" w:rsidRPr="00D243C7">
              <w:rPr>
                <w:rFonts w:asciiTheme="minorHAnsi" w:hAnsiTheme="minorHAnsi"/>
                <w:szCs w:val="24"/>
              </w:rPr>
              <w:t>t</w:t>
            </w:r>
            <w:r w:rsidRPr="00D243C7">
              <w:rPr>
                <w:rFonts w:asciiTheme="minorHAnsi" w:hAnsiTheme="minorHAnsi"/>
                <w:szCs w:val="24"/>
              </w:rPr>
              <w:t>ë</w:t>
            </w:r>
            <w:proofErr w:type="spellEnd"/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</w:t>
            </w:r>
            <w:r w:rsidR="00F33383" w:rsidRPr="00D243C7">
              <w:rPr>
                <w:rFonts w:asciiTheme="minorHAnsi" w:hAnsiTheme="minorHAnsi"/>
                <w:szCs w:val="24"/>
              </w:rPr>
              <w:t>+</w:t>
            </w: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6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FE1BA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5F2E" w:rsidRPr="00765F45" w:rsidRDefault="00655F2E" w:rsidP="00655F2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E hënë, Gr. 1, ora 10:15 – 11:45</w:t>
            </w:r>
          </w:p>
          <w:p w:rsidR="00F33383" w:rsidRPr="00655F2E" w:rsidRDefault="00655F2E" w:rsidP="00655F2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               Gr. 2, ora 12:00 – 13:30</w:t>
            </w:r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Rexhepi</w:t>
            </w:r>
            <w:proofErr w:type="spellEnd"/>
          </w:p>
        </w:tc>
      </w:tr>
      <w:tr w:rsidR="00F33383" w:rsidRPr="00D243C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A7235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7" w:history="1">
              <w:r w:rsidR="0056171F" w:rsidRPr="00D243C7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FE1BA3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55F2E" w:rsidRDefault="0029798E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  <w:lang w:val="sq-AL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zhvillohet në vazhdimësi të lëndës “Gjuhë gjermane I” dhe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etj.</w:t>
            </w:r>
          </w:p>
        </w:tc>
      </w:tr>
      <w:tr w:rsidR="00F33383" w:rsidRPr="00D243C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lastRenderedPageBreak/>
              <w:t>Qëllimet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6171F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>:</w:t>
            </w:r>
          </w:p>
          <w:p w:rsidR="0029798E" w:rsidRPr="00D243C7" w:rsidRDefault="0029798E" w:rsidP="0029798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t’i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mundësohet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bëhet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përdorues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eficient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fleksibil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qëllime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personale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ashtu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ato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profesionale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;</w:t>
            </w:r>
          </w:p>
          <w:p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ngrisë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vetëbesimin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aftësinë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komunikuar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folësit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burimorë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joburimorë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gjermanishtes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; </w:t>
            </w:r>
          </w:p>
          <w:p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zhvillojë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studiuese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; </w:t>
            </w:r>
          </w:p>
          <w:p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t’i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aftësojë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kombinojnë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reale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jetësore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;</w:t>
            </w:r>
          </w:p>
          <w:p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inkurajohet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mësimnxënia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pavarur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  <w:p w:rsidR="00F33383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</w:tbl>
    <w:p w:rsidR="00F33383" w:rsidRPr="00D243C7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55F2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55F2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>Pas përfundimit të këtij kursi studenti do të jetë në gjendje që të:</w:t>
            </w:r>
          </w:p>
        </w:tc>
      </w:tr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55F2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FE1BA3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FE1BA3">
              <w:rPr>
                <w:rFonts w:asciiTheme="minorHAnsi" w:hAnsiTheme="minorHAnsi"/>
                <w:szCs w:val="24"/>
                <w:lang w:val="de-DE"/>
              </w:rPr>
              <w:t xml:space="preserve">- 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komunikojë më lirshëm dhe pa gabime në gjuhën gjermane, në përputhje me nivelin e mesëm</w:t>
            </w:r>
            <w:r w:rsidR="0056171F" w:rsidRPr="00FE1BA3">
              <w:rPr>
                <w:rFonts w:asciiTheme="minorHAnsi" w:hAnsiTheme="minorHAnsi"/>
                <w:color w:val="FF6600"/>
                <w:szCs w:val="24"/>
                <w:lang w:val="de-DE"/>
              </w:rPr>
              <w:t xml:space="preserve">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B1</w:t>
            </w:r>
          </w:p>
        </w:tc>
      </w:tr>
      <w:tr w:rsidR="00F33383" w:rsidRPr="00FE1BA3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FE1BA3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FE1BA3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FE1BA3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shkruajë tekste të ndryshme, mundësisht duke iu përmbajtur rregullave të drejtshkrimit dhe të strukturës së fjalisë së gjuhës gjermane,</w:t>
            </w:r>
            <w:r w:rsidRPr="00FE1BA3">
              <w:rPr>
                <w:rFonts w:asciiTheme="minorHAnsi" w:hAnsiTheme="minorHAnsi"/>
                <w:szCs w:val="24"/>
                <w:lang w:val="de-DE"/>
              </w:rPr>
              <w:t>.</w:t>
            </w:r>
          </w:p>
        </w:tc>
      </w:tr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FE1BA3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FE1BA3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FE1BA3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lexojë drejt duke iu përmbajtur rregullave të drejtshqiptimit të gjuhës gjermane, si dhe të kuptojë tekstet e lexuara,</w:t>
            </w:r>
          </w:p>
        </w:tc>
      </w:tr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FE1BA3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FE1BA3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FE1BA3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interpretojë temat dhe tekstet e caktuara të dëgjuara në gjuhën gjermane,</w:t>
            </w:r>
          </w:p>
        </w:tc>
      </w:tr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FE1BA3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FE1BA3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FE1BA3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FE1BA3">
              <w:rPr>
                <w:rFonts w:asciiTheme="minorHAnsi" w:hAnsiTheme="minorHAnsi"/>
                <w:szCs w:val="24"/>
                <w:lang w:val="de-DE"/>
              </w:rPr>
              <w:t>zgjerojë leksikun e tij në përputhje më leksikun që është përdorur në librin bazë</w:t>
            </w:r>
            <w:r w:rsidR="0056171F" w:rsidRPr="00FE1BA3">
              <w:rPr>
                <w:rFonts w:asciiTheme="minorHAnsi" w:hAnsiTheme="minorHAnsi"/>
                <w:b/>
                <w:bCs/>
                <w:i/>
                <w:iCs/>
                <w:szCs w:val="24"/>
                <w:lang w:val="de-DE"/>
              </w:rPr>
              <w:t>,</w:t>
            </w:r>
          </w:p>
        </w:tc>
      </w:tr>
      <w:tr w:rsidR="00F33383" w:rsidRPr="00FE1BA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FE1BA3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55F2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655F2E">
              <w:rPr>
                <w:rFonts w:asciiTheme="minorHAnsi" w:hAnsiTheme="minorHAnsi"/>
                <w:szCs w:val="24"/>
                <w:lang w:val="de-DE"/>
              </w:rPr>
              <w:t>aplikojë gjatë komunikimit gramatikën e trajtuar në librin bazë</w:t>
            </w:r>
            <w:r w:rsidR="0056171F" w:rsidRPr="00655F2E">
              <w:rPr>
                <w:rFonts w:asciiTheme="minorHAnsi" w:hAnsiTheme="minorHAnsi"/>
                <w:b/>
                <w:bCs/>
                <w:i/>
                <w:iCs/>
                <w:szCs w:val="24"/>
                <w:lang w:val="de-DE"/>
              </w:rPr>
              <w:t>.</w:t>
            </w:r>
          </w:p>
        </w:tc>
      </w:tr>
      <w:tr w:rsidR="00F33383" w:rsidRPr="00FE1BA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55F2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b/>
                <w:color w:val="FFFFFF"/>
                <w:szCs w:val="24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Teori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lastRenderedPageBreak/>
              <w:t>Punë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 w:cs="Arial"/>
                <w:szCs w:val="24"/>
              </w:rPr>
              <w:t>15 min.</w:t>
            </w: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167B2C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</w:t>
            </w:r>
            <w:r w:rsidR="0056171F" w:rsidRPr="00D243C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Projektet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145.5 </w:t>
            </w:r>
            <w:proofErr w:type="spellStart"/>
            <w:r w:rsidRPr="00D243C7">
              <w:rPr>
                <w:rFonts w:asciiTheme="minorHAnsi" w:hAnsiTheme="minorHAnsi" w:cs="Arial"/>
                <w:b/>
                <w:szCs w:val="24"/>
              </w:rPr>
              <w:t>orë</w:t>
            </w:r>
            <w:proofErr w:type="spellEnd"/>
            <w:r w:rsidRPr="00D243C7">
              <w:rPr>
                <w:rFonts w:asciiTheme="minorHAnsi" w:hAnsiTheme="minorHAnsi" w:cs="Arial"/>
                <w:b/>
                <w:szCs w:val="24"/>
              </w:rPr>
              <w:t xml:space="preserve">: </w:t>
            </w:r>
          </w:p>
          <w:p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FE1BA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6171F" w:rsidRPr="00D243C7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:rsidR="00F33383" w:rsidRPr="00655F2E" w:rsidRDefault="0056171F" w:rsidP="0056171F">
            <w:pPr>
              <w:rPr>
                <w:rFonts w:asciiTheme="minorHAnsi" w:hAnsiTheme="minorHAnsi"/>
                <w:szCs w:val="24"/>
                <w:lang w:val="sq-AL"/>
              </w:rPr>
            </w:pPr>
            <w:r w:rsidRPr="00655F2E">
              <w:rPr>
                <w:rFonts w:asciiTheme="minorHAnsi" w:hAnsiTheme="minorHAnsi"/>
                <w:szCs w:val="24"/>
                <w:lang w:val="sq-AL"/>
              </w:rPr>
              <w:t>Përmes metodës bashkëbiseduese – punohet në mënyrë individuale, në çifte dhe në grupe.</w:t>
            </w:r>
          </w:p>
        </w:tc>
      </w:tr>
      <w:tr w:rsidR="00F33383" w:rsidRPr="00D243C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D243C7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50</w:t>
            </w:r>
            <w:r w:rsidRPr="00D243C7">
              <w:rPr>
                <w:rFonts w:asciiTheme="minorHAnsi" w:hAnsiTheme="minorHAnsi"/>
                <w:szCs w:val="24"/>
              </w:rPr>
              <w:t xml:space="preserve">%. </w:t>
            </w:r>
          </w:p>
          <w:p w:rsidR="00F33383" w:rsidRPr="00D243C7" w:rsidRDefault="0056171F" w:rsidP="00FE1BA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="00FE1BA3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E1BA3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FE1BA3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E1BA3">
              <w:rPr>
                <w:rFonts w:asciiTheme="minorHAnsi" w:hAnsiTheme="minorHAnsi"/>
                <w:szCs w:val="24"/>
              </w:rPr>
              <w:t>d</w:t>
            </w:r>
            <w:r w:rsidR="00F33383" w:rsidRPr="00D243C7">
              <w:rPr>
                <w:rFonts w:asciiTheme="minorHAnsi" w:hAnsiTheme="minorHAnsi"/>
                <w:szCs w:val="24"/>
              </w:rPr>
              <w:t>etyrat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E1BA3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FE1BA3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E1BA3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FE1BA3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E1BA3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="00FE1BA3">
              <w:rPr>
                <w:rFonts w:asciiTheme="minorHAnsi" w:hAnsiTheme="minorHAnsi"/>
                <w:szCs w:val="24"/>
              </w:rPr>
              <w:t xml:space="preserve"> 10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:rsidR="00F33383" w:rsidRPr="00D243C7" w:rsidRDefault="00FE1BA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Vlerësimi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nga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testi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gjysëmsemestral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5</w:t>
            </w:r>
            <w:r w:rsidR="0056171F" w:rsidRPr="00D243C7">
              <w:rPr>
                <w:rFonts w:asciiTheme="minorHAnsi" w:hAnsiTheme="minorHAnsi"/>
                <w:szCs w:val="24"/>
              </w:rPr>
              <w:t>0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:rsidR="0056171F" w:rsidRPr="00D243C7" w:rsidRDefault="00FE1BA3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Provimi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final 4</w:t>
            </w:r>
            <w:r w:rsidR="0056171F" w:rsidRPr="00D243C7">
              <w:rPr>
                <w:rFonts w:asciiTheme="minorHAnsi" w:hAnsiTheme="minorHAnsi"/>
                <w:szCs w:val="24"/>
              </w:rPr>
              <w:t>0</w:t>
            </w:r>
            <w:r w:rsidR="00F33383" w:rsidRPr="00D243C7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FE1BA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25F2F" w:rsidRPr="00D243C7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>1</w:t>
            </w:r>
            <w:r w:rsidR="00930544">
              <w:rPr>
                <w:rFonts w:asciiTheme="minorHAnsi" w:hAnsiTheme="minorHAnsi"/>
                <w:szCs w:val="24"/>
                <w:lang w:val="de-DE"/>
              </w:rPr>
              <w:t>.</w:t>
            </w:r>
            <w:bookmarkStart w:id="0" w:name="_GoBack"/>
            <w:bookmarkEnd w:id="0"/>
            <w:r w:rsidR="00E25F2F" w:rsidRPr="00655F2E">
              <w:rPr>
                <w:rFonts w:asciiTheme="minorHAnsi" w:hAnsiTheme="minorHAnsi"/>
                <w:szCs w:val="24"/>
                <w:lang w:val="de-DE"/>
              </w:rPr>
              <w:t xml:space="preserve"> Koithan, U / Schmitz, H. / Sieber, T. / Sonntag. (2014): Aspekte neu B1 plus, Langenscheidt. München.</w:t>
            </w:r>
          </w:p>
          <w:p w:rsidR="00F33383" w:rsidRPr="00655F2E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>2. Axel Hering, Magdalena Matussek, Michaela Perlmann-Balme. (2002)</w:t>
            </w:r>
            <w:r w:rsidRPr="00655F2E">
              <w:rPr>
                <w:rFonts w:asciiTheme="minorHAnsi" w:hAnsiTheme="minorHAnsi"/>
                <w:i/>
                <w:szCs w:val="24"/>
                <w:lang w:val="de-DE"/>
              </w:rPr>
              <w:t>: em Übungsgrammatik, Deutsch als Fremdsprache</w:t>
            </w:r>
            <w:r w:rsidRPr="00655F2E">
              <w:rPr>
                <w:rFonts w:asciiTheme="minorHAnsi" w:hAnsiTheme="minorHAnsi"/>
                <w:szCs w:val="24"/>
                <w:lang w:val="de-DE"/>
              </w:rPr>
              <w:t>, Ismaning.</w:t>
            </w:r>
          </w:p>
        </w:tc>
      </w:tr>
      <w:tr w:rsidR="00F33383" w:rsidRPr="00D243C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shtesë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r w:rsidRPr="00655F2E">
              <w:rPr>
                <w:rFonts w:asciiTheme="minorHAnsi" w:hAnsiTheme="minorHAnsi"/>
                <w:i/>
                <w:iCs/>
                <w:szCs w:val="24"/>
                <w:lang w:val="de-DE"/>
              </w:rPr>
              <w:t>Übungsbuch der deutshen Grammatik aktuell</w:t>
            </w: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, Die Gelbe aktuell.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  <w:p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Helbig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Buscha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. (2000):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D243C7">
              <w:rPr>
                <w:rFonts w:asciiTheme="minorHAnsi" w:hAnsiTheme="minorHAnsi"/>
                <w:szCs w:val="24"/>
              </w:rPr>
              <w:t>Leipzig.</w:t>
            </w:r>
          </w:p>
          <w:p w:rsidR="00E25F2F" w:rsidRPr="00655F2E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Karin Hall / Barbara Schneider. (2001): </w:t>
            </w:r>
            <w:r w:rsidRPr="00655F2E">
              <w:rPr>
                <w:rFonts w:asciiTheme="minorHAnsi" w:hAnsiTheme="minorHAnsi"/>
                <w:i/>
                <w:szCs w:val="24"/>
                <w:lang w:val="de-DE"/>
              </w:rPr>
              <w:t>Übungsgrammatik für Fortgeschrittene DaF.</w:t>
            </w:r>
            <w:r w:rsidRPr="00655F2E">
              <w:rPr>
                <w:rFonts w:asciiTheme="minorHAnsi" w:hAnsiTheme="minorHAnsi"/>
                <w:i/>
                <w:color w:val="FF0000"/>
                <w:szCs w:val="24"/>
                <w:lang w:val="de-DE"/>
              </w:rPr>
              <w:t xml:space="preserve"> </w:t>
            </w:r>
          </w:p>
          <w:p w:rsidR="00E25F2F" w:rsidRPr="00655F2E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Duden. (2009): Duden 4, </w:t>
            </w:r>
            <w:r w:rsidRPr="00655F2E">
              <w:rPr>
                <w:rFonts w:asciiTheme="minorHAnsi" w:hAnsiTheme="minorHAnsi"/>
                <w:i/>
                <w:szCs w:val="24"/>
                <w:lang w:val="de-DE"/>
              </w:rPr>
              <w:t xml:space="preserve">Die Grammatik, </w:t>
            </w:r>
            <w:r w:rsidRPr="00655F2E">
              <w:rPr>
                <w:rFonts w:asciiTheme="minorHAnsi" w:hAnsiTheme="minorHAnsi"/>
                <w:szCs w:val="24"/>
                <w:lang w:val="de-DE"/>
              </w:rPr>
              <w:t>Unentbehrlich für richtiges Deutsch: Band 4 von Cathrine Fabricius-Hansen, Mannheim.</w:t>
            </w:r>
          </w:p>
          <w:p w:rsidR="00F33383" w:rsidRPr="00D243C7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Duden. (2009): </w:t>
            </w:r>
            <w:r w:rsidRPr="00655F2E">
              <w:rPr>
                <w:rFonts w:asciiTheme="minorHAnsi" w:hAnsiTheme="minorHAnsi"/>
                <w:i/>
                <w:szCs w:val="24"/>
                <w:lang w:val="de-DE"/>
              </w:rPr>
              <w:t xml:space="preserve">Fit für das Bachelorstudium. </w:t>
            </w:r>
            <w:r w:rsidRPr="00D243C7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:rsidR="00F33383" w:rsidRPr="00D243C7" w:rsidRDefault="00F33383" w:rsidP="00F33383">
      <w:pPr>
        <w:pStyle w:val="NoSpacing"/>
        <w:rPr>
          <w:rFonts w:asciiTheme="minorHAnsi" w:hAnsiTheme="minorHAnsi"/>
          <w:szCs w:val="24"/>
        </w:rPr>
      </w:pPr>
      <w:r w:rsidRPr="00D243C7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F33383" w:rsidRPr="00D243C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D243C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lastRenderedPageBreak/>
              <w:t>Hartimi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29798E" w:rsidRPr="00FE1BA3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655F2E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Zukünftiges und Vermutungen ausdrücken (Futur I und Präsens) </w:t>
            </w:r>
          </w:p>
        </w:tc>
      </w:tr>
      <w:tr w:rsidR="0029798E" w:rsidRPr="00FE1BA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655F2E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Verben mit Präpositionen und Pronominaladverbien 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 Reflexive Verben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Relativsätze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Finalsätze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Testi gjysëmsemestral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8:  Konjunktiv II (Formen)  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Konjunktiv II (Verwendung)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9: Konnektoren; Temporalsätze </w:t>
            </w:r>
          </w:p>
        </w:tc>
      </w:tr>
      <w:tr w:rsidR="0029798E" w:rsidRPr="00D243C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9: Temporale Präpositionen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</w:t>
            </w:r>
          </w:p>
        </w:tc>
      </w:tr>
      <w:tr w:rsidR="0029798E" w:rsidRPr="00FE1BA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655F2E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Passiversatzformen, Passiv mit Modalverb</w:t>
            </w:r>
          </w:p>
        </w:tc>
      </w:tr>
      <w:tr w:rsidR="0029798E" w:rsidRPr="00D243C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Lektion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</w:t>
            </w:r>
          </w:p>
        </w:tc>
      </w:tr>
      <w:tr w:rsidR="0029798E" w:rsidRPr="00FE1BA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9798E" w:rsidRPr="00655F2E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szCs w:val="24"/>
                <w:lang w:val="de-DE"/>
              </w:rPr>
              <w:t xml:space="preserve">Lektion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 (mit Wechselpräpositionen)</w:t>
            </w:r>
          </w:p>
        </w:tc>
      </w:tr>
      <w:tr w:rsidR="0029798E" w:rsidRPr="00D243C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Testi final</w:t>
            </w:r>
          </w:p>
        </w:tc>
      </w:tr>
      <w:tr w:rsidR="00F33383" w:rsidRPr="00FE1BA3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55F2E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655F2E">
              <w:rPr>
                <w:rFonts w:asciiTheme="minorHAnsi" w:hAnsiTheme="minorHAnsi"/>
                <w:b/>
                <w:szCs w:val="24"/>
                <w:lang w:val="de-DE"/>
              </w:rPr>
              <w:t>Politikat akademike dhe kodi i sjelljes</w:t>
            </w:r>
          </w:p>
        </w:tc>
      </w:tr>
      <w:tr w:rsidR="00F33383" w:rsidRPr="00D243C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243C7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Për të fituar të drejtën për të hyrë në teste dhe provim, s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tj</w:t>
            </w:r>
            <w:r w:rsidRPr="00D243C7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fikën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29798E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A5" w:rsidRDefault="00C121A5" w:rsidP="00F33383">
      <w:pPr>
        <w:spacing w:after="0" w:line="240" w:lineRule="auto"/>
      </w:pPr>
      <w:r>
        <w:separator/>
      </w:r>
    </w:p>
  </w:endnote>
  <w:endnote w:type="continuationSeparator" w:id="0">
    <w:p w:rsidR="00C121A5" w:rsidRDefault="00C121A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9798E" w:rsidRDefault="0029798E">
            <w:pPr>
              <w:pStyle w:val="Footer"/>
              <w:jc w:val="center"/>
            </w:pPr>
            <w:r>
              <w:t xml:space="preserve">Page </w:t>
            </w:r>
            <w:r w:rsidR="00A7235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72353">
              <w:rPr>
                <w:b/>
                <w:bCs/>
                <w:szCs w:val="24"/>
              </w:rPr>
              <w:fldChar w:fldCharType="separate"/>
            </w:r>
            <w:r w:rsidR="00FE1BA3">
              <w:rPr>
                <w:b/>
                <w:bCs/>
                <w:noProof/>
              </w:rPr>
              <w:t>3</w:t>
            </w:r>
            <w:r w:rsidR="00A7235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7235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72353">
              <w:rPr>
                <w:b/>
                <w:bCs/>
                <w:szCs w:val="24"/>
              </w:rPr>
              <w:fldChar w:fldCharType="separate"/>
            </w:r>
            <w:r w:rsidR="00FE1BA3">
              <w:rPr>
                <w:b/>
                <w:bCs/>
                <w:noProof/>
              </w:rPr>
              <w:t>4</w:t>
            </w:r>
            <w:r w:rsidR="00A7235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9798E" w:rsidRDefault="00297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A5" w:rsidRDefault="00C121A5" w:rsidP="00F33383">
      <w:pPr>
        <w:spacing w:after="0" w:line="240" w:lineRule="auto"/>
      </w:pPr>
      <w:r>
        <w:separator/>
      </w:r>
    </w:p>
  </w:footnote>
  <w:footnote w:type="continuationSeparator" w:id="0">
    <w:p w:rsidR="00C121A5" w:rsidRDefault="00C121A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82707"/>
    <w:rsid w:val="00167B2C"/>
    <w:rsid w:val="002009C8"/>
    <w:rsid w:val="0029798E"/>
    <w:rsid w:val="002E6286"/>
    <w:rsid w:val="003A451D"/>
    <w:rsid w:val="004D4C48"/>
    <w:rsid w:val="0056171F"/>
    <w:rsid w:val="00655F2E"/>
    <w:rsid w:val="006A5986"/>
    <w:rsid w:val="007707FF"/>
    <w:rsid w:val="00930544"/>
    <w:rsid w:val="00A72353"/>
    <w:rsid w:val="00A84284"/>
    <w:rsid w:val="00B13600"/>
    <w:rsid w:val="00BA3E82"/>
    <w:rsid w:val="00C121A5"/>
    <w:rsid w:val="00D243C7"/>
    <w:rsid w:val="00D75D08"/>
    <w:rsid w:val="00DD3B38"/>
    <w:rsid w:val="00E25F2F"/>
    <w:rsid w:val="00F33383"/>
    <w:rsid w:val="00F72A82"/>
    <w:rsid w:val="00FE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dije.rexhep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sadije.rexhepi</cp:lastModifiedBy>
  <cp:revision>3</cp:revision>
  <cp:lastPrinted>2020-02-18T10:26:00Z</cp:lastPrinted>
  <dcterms:created xsi:type="dcterms:W3CDTF">2020-02-18T10:26:00Z</dcterms:created>
  <dcterms:modified xsi:type="dcterms:W3CDTF">2020-02-24T14:09:00Z</dcterms:modified>
</cp:coreProperties>
</file>