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11" w:rsidRDefault="002A4811" w:rsidP="002A4811">
      <w:pPr>
        <w:rPr>
          <w:rFonts w:ascii="Calibri" w:hAnsi="Calibri"/>
          <w:b/>
          <w:sz w:val="28"/>
          <w:szCs w:val="28"/>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për</w:t>
      </w:r>
      <w:proofErr w:type="spellEnd"/>
      <w:r>
        <w:rPr>
          <w:rFonts w:ascii="Calibri" w:hAnsi="Calibri"/>
          <w:b/>
          <w:sz w:val="32"/>
          <w:szCs w:val="32"/>
          <w:u w:val="single"/>
        </w:rPr>
        <w:t xml:space="preserve"> SYLLABUS </w:t>
      </w:r>
      <w:proofErr w:type="spellStart"/>
      <w:r>
        <w:rPr>
          <w:rFonts w:ascii="Calibri" w:hAnsi="Calibri"/>
          <w:b/>
          <w:sz w:val="32"/>
          <w:szCs w:val="32"/>
          <w:u w:val="single"/>
        </w:rPr>
        <w:t>të</w:t>
      </w:r>
      <w:proofErr w:type="spellEnd"/>
      <w:r>
        <w:rPr>
          <w:rFonts w:ascii="Calibri" w:hAnsi="Calibri"/>
          <w:b/>
          <w:sz w:val="32"/>
          <w:szCs w:val="32"/>
          <w:u w:val="single"/>
        </w:rPr>
        <w:t xml:space="preserve"> </w:t>
      </w:r>
      <w:proofErr w:type="spellStart"/>
      <w:r>
        <w:rPr>
          <w:rFonts w:ascii="Calibri" w:hAnsi="Calibri"/>
          <w:b/>
          <w:sz w:val="32"/>
          <w:szCs w:val="32"/>
          <w:u w:val="single"/>
        </w:rPr>
        <w:t>Lëndës</w:t>
      </w:r>
      <w:proofErr w:type="spellEnd"/>
      <w:r>
        <w:rPr>
          <w:rFonts w:ascii="Calibri" w:hAnsi="Calibri"/>
          <w:b/>
          <w:sz w:val="32"/>
          <w:szCs w:val="32"/>
          <w:u w:val="single"/>
        </w:rPr>
        <w:t xml:space="preserve"> </w:t>
      </w:r>
    </w:p>
    <w:p w:rsidR="002A4811" w:rsidRDefault="002A4811" w:rsidP="002A4811">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1704"/>
        <w:gridCol w:w="2444"/>
        <w:gridCol w:w="2643"/>
      </w:tblGrid>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2A4811" w:rsidRDefault="002A4811">
            <w:pPr>
              <w:pStyle w:val="NoSpacing"/>
              <w:rPr>
                <w:rFonts w:ascii="Calibri" w:hAnsi="Calibri"/>
                <w:b/>
              </w:rPr>
            </w:pPr>
            <w:proofErr w:type="spellStart"/>
            <w:r>
              <w:rPr>
                <w:rFonts w:ascii="Calibri" w:hAnsi="Calibri"/>
                <w:b/>
              </w:rPr>
              <w:t>Të</w:t>
            </w:r>
            <w:proofErr w:type="spellEnd"/>
            <w:r>
              <w:rPr>
                <w:rFonts w:ascii="Calibri" w:hAnsi="Calibri"/>
                <w:b/>
              </w:rPr>
              <w:t xml:space="preserve"> </w:t>
            </w:r>
            <w:proofErr w:type="spellStart"/>
            <w:r>
              <w:rPr>
                <w:rFonts w:ascii="Calibri" w:hAnsi="Calibri"/>
                <w:b/>
              </w:rPr>
              <w:t>dhëna</w:t>
            </w:r>
            <w:proofErr w:type="spellEnd"/>
            <w:r>
              <w:rPr>
                <w:rFonts w:ascii="Calibri" w:hAnsi="Calibri"/>
                <w:b/>
              </w:rPr>
              <w:t xml:space="preserve"> </w:t>
            </w:r>
            <w:proofErr w:type="spellStart"/>
            <w:r>
              <w:rPr>
                <w:rFonts w:ascii="Calibri" w:hAnsi="Calibri"/>
                <w:b/>
              </w:rPr>
              <w:t>bazike</w:t>
            </w:r>
            <w:proofErr w:type="spellEnd"/>
            <w:r>
              <w:rPr>
                <w:rFonts w:ascii="Calibri" w:hAnsi="Calibri"/>
                <w:b/>
              </w:rPr>
              <w:t xml:space="preserve"> </w:t>
            </w:r>
            <w:proofErr w:type="spellStart"/>
            <w:r>
              <w:rPr>
                <w:rFonts w:ascii="Calibri" w:hAnsi="Calibri"/>
                <w:b/>
              </w:rPr>
              <w:t>të</w:t>
            </w:r>
            <w:proofErr w:type="spellEnd"/>
            <w:r>
              <w:rPr>
                <w:rFonts w:ascii="Calibri" w:hAnsi="Calibri"/>
                <w:b/>
              </w:rPr>
              <w:t xml:space="preserve"> </w:t>
            </w:r>
            <w:proofErr w:type="spellStart"/>
            <w:r>
              <w:rPr>
                <w:rFonts w:ascii="Calibri" w:hAnsi="Calibri"/>
                <w:b/>
              </w:rPr>
              <w:t>lëndës</w:t>
            </w:r>
            <w:proofErr w:type="spellEnd"/>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Njësia</w:t>
            </w:r>
            <w:proofErr w:type="spellEnd"/>
            <w:r>
              <w:rPr>
                <w:rFonts w:ascii="Calibri" w:hAnsi="Calibri"/>
                <w:b/>
                <w:szCs w:val="28"/>
              </w:rPr>
              <w:t xml:space="preserve"> </w:t>
            </w:r>
            <w:proofErr w:type="spellStart"/>
            <w:r>
              <w:rPr>
                <w:rFonts w:ascii="Calibri" w:hAnsi="Calibri"/>
                <w:b/>
                <w:szCs w:val="28"/>
              </w:rPr>
              <w:t>akademike</w:t>
            </w:r>
            <w:proofErr w:type="spellEnd"/>
            <w:r>
              <w:rPr>
                <w:rFonts w:ascii="Calibri" w:hAnsi="Calibri"/>
                <w:b/>
                <w:szCs w:val="28"/>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proofErr w:type="spellStart"/>
            <w:r>
              <w:rPr>
                <w:b/>
                <w:szCs w:val="28"/>
              </w:rPr>
              <w:t>Fakulteti</w:t>
            </w:r>
            <w:proofErr w:type="spellEnd"/>
            <w:r>
              <w:rPr>
                <w:b/>
                <w:szCs w:val="28"/>
              </w:rPr>
              <w:t xml:space="preserve"> </w:t>
            </w:r>
            <w:proofErr w:type="spellStart"/>
            <w:r>
              <w:rPr>
                <w:b/>
                <w:szCs w:val="28"/>
              </w:rPr>
              <w:t>Juridik</w:t>
            </w:r>
            <w:proofErr w:type="spellEnd"/>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Titulli</w:t>
            </w:r>
            <w:proofErr w:type="spellEnd"/>
            <w:r>
              <w:rPr>
                <w:rFonts w:ascii="Calibri" w:hAnsi="Calibri"/>
                <w:b/>
                <w:szCs w:val="28"/>
              </w:rPr>
              <w:t xml:space="preserve"> </w:t>
            </w:r>
            <w:proofErr w:type="spellStart"/>
            <w:r>
              <w:rPr>
                <w:rFonts w:ascii="Calibri" w:hAnsi="Calibri"/>
                <w:b/>
                <w:szCs w:val="28"/>
              </w:rPr>
              <w:t>i</w:t>
            </w:r>
            <w:proofErr w:type="spellEnd"/>
            <w:r>
              <w:rPr>
                <w:rFonts w:ascii="Calibri" w:hAnsi="Calibri"/>
                <w:b/>
                <w:szCs w:val="28"/>
              </w:rPr>
              <w:t xml:space="preserve"> </w:t>
            </w:r>
            <w:proofErr w:type="spellStart"/>
            <w:r>
              <w:rPr>
                <w:rFonts w:ascii="Calibri" w:hAnsi="Calibri"/>
                <w:b/>
                <w:szCs w:val="28"/>
              </w:rPr>
              <w:t>lëndës</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r>
              <w:rPr>
                <w:b/>
                <w:szCs w:val="28"/>
              </w:rPr>
              <w:t xml:space="preserve">E </w:t>
            </w:r>
            <w:proofErr w:type="spellStart"/>
            <w:r>
              <w:rPr>
                <w:b/>
                <w:szCs w:val="28"/>
              </w:rPr>
              <w:t>drejta</w:t>
            </w:r>
            <w:proofErr w:type="spellEnd"/>
            <w:r>
              <w:rPr>
                <w:b/>
                <w:szCs w:val="28"/>
              </w:rPr>
              <w:t xml:space="preserve"> </w:t>
            </w:r>
            <w:proofErr w:type="spellStart"/>
            <w:r>
              <w:rPr>
                <w:b/>
                <w:szCs w:val="28"/>
              </w:rPr>
              <w:t>procedurale</w:t>
            </w:r>
            <w:proofErr w:type="spellEnd"/>
            <w:r>
              <w:rPr>
                <w:b/>
                <w:szCs w:val="28"/>
              </w:rPr>
              <w:t xml:space="preserve"> </w:t>
            </w:r>
            <w:proofErr w:type="spellStart"/>
            <w:r>
              <w:rPr>
                <w:b/>
                <w:szCs w:val="28"/>
              </w:rPr>
              <w:t>civile</w:t>
            </w:r>
            <w:proofErr w:type="spellEnd"/>
            <w:r>
              <w:rPr>
                <w:b/>
                <w:szCs w:val="28"/>
              </w:rPr>
              <w:t xml:space="preserve"> (</w:t>
            </w:r>
            <w:proofErr w:type="spellStart"/>
            <w:r>
              <w:rPr>
                <w:b/>
                <w:szCs w:val="28"/>
              </w:rPr>
              <w:t>Pjesa</w:t>
            </w:r>
            <w:proofErr w:type="spellEnd"/>
            <w:r>
              <w:rPr>
                <w:b/>
                <w:szCs w:val="28"/>
              </w:rPr>
              <w:t xml:space="preserve"> e </w:t>
            </w:r>
            <w:proofErr w:type="spellStart"/>
            <w:r>
              <w:rPr>
                <w:b/>
                <w:szCs w:val="28"/>
              </w:rPr>
              <w:t>Posaçme</w:t>
            </w:r>
            <w:proofErr w:type="spellEnd"/>
            <w:r>
              <w:rPr>
                <w:b/>
                <w:szCs w:val="28"/>
              </w:rPr>
              <w:t>)</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Niveli</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r>
              <w:rPr>
                <w:b/>
                <w:szCs w:val="28"/>
              </w:rPr>
              <w:t>Bachelor (</w:t>
            </w:r>
            <w:proofErr w:type="spellStart"/>
            <w:r>
              <w:rPr>
                <w:b/>
                <w:szCs w:val="28"/>
              </w:rPr>
              <w:t>Studimet</w:t>
            </w:r>
            <w:proofErr w:type="spellEnd"/>
            <w:r>
              <w:rPr>
                <w:b/>
                <w:szCs w:val="28"/>
              </w:rPr>
              <w:t xml:space="preserve"> </w:t>
            </w:r>
            <w:proofErr w:type="spellStart"/>
            <w:r>
              <w:rPr>
                <w:b/>
                <w:szCs w:val="28"/>
              </w:rPr>
              <w:t>themelore</w:t>
            </w:r>
            <w:proofErr w:type="spellEnd"/>
            <w:r>
              <w:rPr>
                <w:b/>
                <w:szCs w:val="28"/>
              </w:rPr>
              <w:t>)</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Statusi</w:t>
            </w:r>
            <w:proofErr w:type="spellEnd"/>
            <w:r>
              <w:rPr>
                <w:rFonts w:ascii="Calibri" w:hAnsi="Calibri"/>
                <w:b/>
                <w:szCs w:val="28"/>
              </w:rPr>
              <w:t xml:space="preserve"> </w:t>
            </w:r>
            <w:proofErr w:type="spellStart"/>
            <w:r>
              <w:rPr>
                <w:rFonts w:ascii="Calibri" w:hAnsi="Calibri"/>
                <w:b/>
                <w:szCs w:val="28"/>
              </w:rPr>
              <w:t>lëndës</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proofErr w:type="spellStart"/>
            <w:r>
              <w:rPr>
                <w:b/>
                <w:szCs w:val="28"/>
              </w:rPr>
              <w:t>Moduli</w:t>
            </w:r>
            <w:proofErr w:type="spellEnd"/>
            <w:r>
              <w:rPr>
                <w:b/>
                <w:szCs w:val="28"/>
              </w:rPr>
              <w:t xml:space="preserve"> Civil</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Viti</w:t>
            </w:r>
            <w:proofErr w:type="spellEnd"/>
            <w:r>
              <w:rPr>
                <w:rFonts w:ascii="Calibri" w:hAnsi="Calibri"/>
                <w:b/>
                <w:szCs w:val="28"/>
              </w:rPr>
              <w:t xml:space="preserve"> </w:t>
            </w:r>
            <w:proofErr w:type="spellStart"/>
            <w:r>
              <w:rPr>
                <w:rFonts w:ascii="Calibri" w:hAnsi="Calibri"/>
                <w:b/>
                <w:szCs w:val="28"/>
              </w:rPr>
              <w:t>i</w:t>
            </w:r>
            <w:proofErr w:type="spellEnd"/>
            <w:r>
              <w:rPr>
                <w:rFonts w:ascii="Calibri" w:hAnsi="Calibri"/>
                <w:b/>
                <w:szCs w:val="28"/>
              </w:rPr>
              <w:t xml:space="preserve"> </w:t>
            </w:r>
            <w:proofErr w:type="spellStart"/>
            <w:r>
              <w:rPr>
                <w:rFonts w:ascii="Calibri" w:hAnsi="Calibri"/>
                <w:b/>
                <w:szCs w:val="28"/>
              </w:rPr>
              <w:t>studimeve</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r>
              <w:rPr>
                <w:b/>
                <w:szCs w:val="28"/>
              </w:rPr>
              <w:t>IV (</w:t>
            </w:r>
            <w:proofErr w:type="spellStart"/>
            <w:r>
              <w:rPr>
                <w:b/>
                <w:szCs w:val="28"/>
              </w:rPr>
              <w:t>semestri</w:t>
            </w:r>
            <w:proofErr w:type="spellEnd"/>
            <w:r>
              <w:rPr>
                <w:b/>
                <w:szCs w:val="28"/>
              </w:rPr>
              <w:t xml:space="preserve"> VIII)</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Numri</w:t>
            </w:r>
            <w:proofErr w:type="spellEnd"/>
            <w:r>
              <w:rPr>
                <w:rFonts w:ascii="Calibri" w:hAnsi="Calibri"/>
                <w:b/>
                <w:szCs w:val="28"/>
              </w:rPr>
              <w:t xml:space="preserve"> </w:t>
            </w:r>
            <w:proofErr w:type="spellStart"/>
            <w:r>
              <w:rPr>
                <w:rFonts w:ascii="Calibri" w:hAnsi="Calibri"/>
                <w:b/>
                <w:szCs w:val="28"/>
              </w:rPr>
              <w:t>i</w:t>
            </w:r>
            <w:proofErr w:type="spellEnd"/>
            <w:r>
              <w:rPr>
                <w:rFonts w:ascii="Calibri" w:hAnsi="Calibri"/>
                <w:b/>
                <w:szCs w:val="28"/>
              </w:rPr>
              <w:t xml:space="preserve"> </w:t>
            </w:r>
            <w:proofErr w:type="spellStart"/>
            <w:r>
              <w:rPr>
                <w:rFonts w:ascii="Calibri" w:hAnsi="Calibri"/>
                <w:b/>
                <w:szCs w:val="28"/>
              </w:rPr>
              <w:t>orëve</w:t>
            </w:r>
            <w:proofErr w:type="spellEnd"/>
            <w:r>
              <w:rPr>
                <w:rFonts w:ascii="Calibri" w:hAnsi="Calibri"/>
                <w:b/>
                <w:szCs w:val="28"/>
              </w:rPr>
              <w:t xml:space="preserve"> </w:t>
            </w:r>
            <w:proofErr w:type="spellStart"/>
            <w:r>
              <w:rPr>
                <w:rFonts w:ascii="Calibri" w:hAnsi="Calibri"/>
                <w:b/>
                <w:szCs w:val="28"/>
              </w:rPr>
              <w:t>në</w:t>
            </w:r>
            <w:proofErr w:type="spellEnd"/>
            <w:r>
              <w:rPr>
                <w:rFonts w:ascii="Calibri" w:hAnsi="Calibri"/>
                <w:b/>
                <w:szCs w:val="28"/>
              </w:rPr>
              <w:t xml:space="preserve"> </w:t>
            </w:r>
            <w:proofErr w:type="spellStart"/>
            <w:r>
              <w:rPr>
                <w:rFonts w:ascii="Calibri" w:hAnsi="Calibri"/>
                <w:b/>
                <w:szCs w:val="28"/>
              </w:rPr>
              <w:t>javë</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lang w:val="de-DE"/>
              </w:rPr>
            </w:pPr>
            <w:r>
              <w:rPr>
                <w:b/>
                <w:szCs w:val="28"/>
              </w:rPr>
              <w:t>3 + 2</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Vlera</w:t>
            </w:r>
            <w:proofErr w:type="spellEnd"/>
            <w:r>
              <w:rPr>
                <w:rFonts w:ascii="Calibri" w:hAnsi="Calibri"/>
                <w:b/>
                <w:szCs w:val="28"/>
              </w:rPr>
              <w:t xml:space="preserve"> </w:t>
            </w:r>
            <w:proofErr w:type="spellStart"/>
            <w:r>
              <w:rPr>
                <w:rFonts w:ascii="Calibri" w:hAnsi="Calibri"/>
                <w:b/>
                <w:szCs w:val="28"/>
              </w:rPr>
              <w:t>në</w:t>
            </w:r>
            <w:proofErr w:type="spellEnd"/>
            <w:r>
              <w:rPr>
                <w:rFonts w:ascii="Calibri" w:hAnsi="Calibri"/>
                <w:b/>
                <w:szCs w:val="28"/>
              </w:rPr>
              <w:t xml:space="preserve"> </w:t>
            </w:r>
            <w:proofErr w:type="spellStart"/>
            <w:r>
              <w:rPr>
                <w:rFonts w:ascii="Calibri" w:hAnsi="Calibri"/>
                <w:b/>
                <w:szCs w:val="28"/>
              </w:rPr>
              <w:t>kredi</w:t>
            </w:r>
            <w:proofErr w:type="spellEnd"/>
            <w:r>
              <w:rPr>
                <w:rFonts w:ascii="Calibri" w:hAnsi="Calibri"/>
                <w:b/>
                <w:szCs w:val="28"/>
              </w:rPr>
              <w:t xml:space="preserve"> – ECTS: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r>
              <w:rPr>
                <w:b/>
                <w:szCs w:val="28"/>
              </w:rPr>
              <w:t>8</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Koha</w:t>
            </w:r>
            <w:proofErr w:type="spellEnd"/>
            <w:r>
              <w:rPr>
                <w:rFonts w:ascii="Calibri" w:hAnsi="Calibri"/>
                <w:b/>
                <w:szCs w:val="28"/>
              </w:rPr>
              <w:t xml:space="preserve"> / </w:t>
            </w:r>
            <w:proofErr w:type="spellStart"/>
            <w:r>
              <w:rPr>
                <w:rFonts w:ascii="Calibri" w:hAnsi="Calibri"/>
                <w:b/>
                <w:szCs w:val="28"/>
              </w:rPr>
              <w:t>lokacioni</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lang w:val="sq-AL"/>
              </w:rPr>
            </w:pPr>
            <w:proofErr w:type="spellStart"/>
            <w:r>
              <w:rPr>
                <w:b/>
                <w:szCs w:val="28"/>
              </w:rPr>
              <w:t>Prishtinë</w:t>
            </w:r>
            <w:proofErr w:type="spellEnd"/>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Mësimëdhënësi</w:t>
            </w:r>
            <w:proofErr w:type="spellEnd"/>
            <w:r>
              <w:rPr>
                <w:rFonts w:ascii="Calibri" w:hAnsi="Calibri"/>
                <w:b/>
                <w:szCs w:val="28"/>
              </w:rPr>
              <w:t xml:space="preserve"> </w:t>
            </w:r>
            <w:proofErr w:type="spellStart"/>
            <w:r>
              <w:rPr>
                <w:rFonts w:ascii="Calibri" w:hAnsi="Calibri"/>
                <w:b/>
                <w:szCs w:val="28"/>
              </w:rPr>
              <w:t>i</w:t>
            </w:r>
            <w:proofErr w:type="spellEnd"/>
            <w:r>
              <w:rPr>
                <w:rFonts w:ascii="Calibri" w:hAnsi="Calibri"/>
                <w:b/>
                <w:szCs w:val="28"/>
              </w:rPr>
              <w:t xml:space="preserve"> </w:t>
            </w:r>
            <w:proofErr w:type="spellStart"/>
            <w:r>
              <w:rPr>
                <w:rFonts w:ascii="Calibri" w:hAnsi="Calibri"/>
                <w:b/>
                <w:szCs w:val="28"/>
              </w:rPr>
              <w:t>lëndës</w:t>
            </w:r>
            <w:proofErr w:type="spellEnd"/>
            <w:r>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b/>
                <w:szCs w:val="28"/>
              </w:rPr>
            </w:pPr>
            <w:r>
              <w:rPr>
                <w:b/>
                <w:szCs w:val="28"/>
              </w:rPr>
              <w:t xml:space="preserve">Prof. Dr. </w:t>
            </w:r>
            <w:proofErr w:type="spellStart"/>
            <w:r>
              <w:rPr>
                <w:b/>
                <w:szCs w:val="28"/>
              </w:rPr>
              <w:t>iur</w:t>
            </w:r>
            <w:proofErr w:type="spellEnd"/>
            <w:r>
              <w:rPr>
                <w:b/>
                <w:szCs w:val="28"/>
              </w:rPr>
              <w:t xml:space="preserve"> </w:t>
            </w:r>
            <w:proofErr w:type="spellStart"/>
            <w:r>
              <w:rPr>
                <w:b/>
                <w:szCs w:val="28"/>
              </w:rPr>
              <w:t>Iset</w:t>
            </w:r>
            <w:proofErr w:type="spellEnd"/>
            <w:r>
              <w:rPr>
                <w:b/>
                <w:szCs w:val="28"/>
              </w:rPr>
              <w:t xml:space="preserve"> </w:t>
            </w:r>
            <w:proofErr w:type="spellStart"/>
            <w:r>
              <w:rPr>
                <w:b/>
                <w:szCs w:val="28"/>
              </w:rPr>
              <w:t>Morina</w:t>
            </w:r>
            <w:proofErr w:type="spellEnd"/>
            <w:r>
              <w:rPr>
                <w:b/>
                <w:szCs w:val="28"/>
              </w:rPr>
              <w:t xml:space="preserve"> LL. M. </w:t>
            </w:r>
            <w:proofErr w:type="spellStart"/>
            <w:r>
              <w:rPr>
                <w:b/>
                <w:szCs w:val="28"/>
              </w:rPr>
              <w:t>dhe</w:t>
            </w:r>
            <w:proofErr w:type="spellEnd"/>
            <w:r>
              <w:rPr>
                <w:b/>
                <w:szCs w:val="28"/>
              </w:rPr>
              <w:t xml:space="preserve"> Prof. Dr. </w:t>
            </w:r>
            <w:proofErr w:type="spellStart"/>
            <w:r>
              <w:rPr>
                <w:b/>
                <w:szCs w:val="28"/>
              </w:rPr>
              <w:t>Rrustem</w:t>
            </w:r>
            <w:proofErr w:type="spellEnd"/>
            <w:r>
              <w:rPr>
                <w:b/>
                <w:szCs w:val="28"/>
              </w:rPr>
              <w:t xml:space="preserve"> </w:t>
            </w:r>
            <w:proofErr w:type="spellStart"/>
            <w:r>
              <w:rPr>
                <w:b/>
                <w:szCs w:val="28"/>
              </w:rPr>
              <w:t>Qehaja</w:t>
            </w:r>
            <w:proofErr w:type="spellEnd"/>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szCs w:val="28"/>
              </w:rPr>
            </w:pPr>
            <w:proofErr w:type="spellStart"/>
            <w:r>
              <w:rPr>
                <w:rFonts w:ascii="Calibri" w:hAnsi="Calibri"/>
                <w:b/>
                <w:szCs w:val="28"/>
              </w:rPr>
              <w:t>Detajet</w:t>
            </w:r>
            <w:proofErr w:type="spellEnd"/>
            <w:r>
              <w:rPr>
                <w:rFonts w:ascii="Calibri" w:hAnsi="Calibri"/>
                <w:b/>
                <w:szCs w:val="28"/>
              </w:rPr>
              <w:t xml:space="preserve"> </w:t>
            </w:r>
            <w:proofErr w:type="spellStart"/>
            <w:r>
              <w:rPr>
                <w:rFonts w:ascii="Calibri" w:hAnsi="Calibri"/>
                <w:b/>
                <w:szCs w:val="28"/>
              </w:rPr>
              <w:t>kontaktuese</w:t>
            </w:r>
            <w:proofErr w:type="spellEnd"/>
            <w:r>
              <w:rPr>
                <w:rFonts w:ascii="Calibri" w:hAnsi="Calibri"/>
                <w:b/>
                <w:szCs w:val="28"/>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jc w:val="both"/>
              <w:rPr>
                <w:rFonts w:ascii="Cambria" w:hAnsi="Cambria"/>
                <w:lang w:val="sq-AL"/>
              </w:rPr>
            </w:pPr>
            <w:r>
              <w:rPr>
                <w:rFonts w:ascii="Cambria" w:hAnsi="Cambria"/>
                <w:b/>
                <w:lang w:val="sq-AL"/>
              </w:rPr>
              <w:t xml:space="preserve">Konsultimet: </w:t>
            </w:r>
          </w:p>
          <w:p w:rsidR="002A4811" w:rsidRDefault="002A4811">
            <w:pPr>
              <w:pStyle w:val="NoSpacing"/>
              <w:rPr>
                <w:b/>
                <w:szCs w:val="28"/>
                <w:lang w:val="de-DE"/>
              </w:rPr>
            </w:pPr>
            <w:r>
              <w:rPr>
                <w:rFonts w:ascii="Cambria" w:hAnsi="Cambria"/>
                <w:b/>
                <w:lang w:val="sq-AL"/>
              </w:rPr>
              <w:t>Adresa elektronike</w:t>
            </w:r>
            <w:r>
              <w:rPr>
                <w:rFonts w:ascii="Cambria" w:hAnsi="Cambria"/>
                <w:lang w:val="sq-AL"/>
              </w:rPr>
              <w:t xml:space="preserve">: </w:t>
            </w:r>
            <w:hyperlink r:id="rId5" w:history="1">
              <w:r>
                <w:rPr>
                  <w:rStyle w:val="Hyperlink"/>
                  <w:rFonts w:ascii="Cambria" w:hAnsi="Cambria"/>
                  <w:lang w:val="sq-AL"/>
                </w:rPr>
                <w:t>iset.morina@uni-pr.edu</w:t>
              </w:r>
            </w:hyperlink>
            <w:r>
              <w:rPr>
                <w:rFonts w:ascii="Cambria" w:hAnsi="Cambria"/>
                <w:lang w:val="sq-AL"/>
              </w:rPr>
              <w:t xml:space="preserve"> dhe rrustem.qehaja@uni-pr.edu</w:t>
            </w:r>
          </w:p>
        </w:tc>
      </w:tr>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tcPr>
          <w:p w:rsidR="002A4811" w:rsidRDefault="002A4811">
            <w:pPr>
              <w:pStyle w:val="NoSpacing"/>
              <w:rPr>
                <w:rFonts w:ascii="Calibri" w:hAnsi="Calibri"/>
                <w:lang w:val="de-DE"/>
              </w:rPr>
            </w:pP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rPr>
            </w:pPr>
            <w:proofErr w:type="spellStart"/>
            <w:r>
              <w:rPr>
                <w:rFonts w:ascii="Calibri" w:hAnsi="Calibri"/>
                <w:b/>
              </w:rPr>
              <w:t>Përshkrimi</w:t>
            </w:r>
            <w:proofErr w:type="spellEnd"/>
            <w:r>
              <w:rPr>
                <w:rFonts w:ascii="Calibri" w:hAnsi="Calibri"/>
                <w:b/>
              </w:rPr>
              <w:t xml:space="preserve"> </w:t>
            </w:r>
            <w:proofErr w:type="spellStart"/>
            <w:r>
              <w:rPr>
                <w:rFonts w:ascii="Calibri" w:hAnsi="Calibri"/>
                <w:b/>
              </w:rPr>
              <w:t>i</w:t>
            </w:r>
            <w:proofErr w:type="spellEnd"/>
            <w:r>
              <w:rPr>
                <w:rFonts w:ascii="Calibri" w:hAnsi="Calibri"/>
                <w:b/>
              </w:rPr>
              <w:t xml:space="preserve"> </w:t>
            </w:r>
            <w:proofErr w:type="spellStart"/>
            <w:r>
              <w:rPr>
                <w:rFonts w:ascii="Calibri" w:hAnsi="Calibri"/>
                <w:b/>
              </w:rPr>
              <w:t>lëndës</w:t>
            </w:r>
            <w:proofErr w:type="spellEnd"/>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jc w:val="both"/>
              <w:rPr>
                <w:sz w:val="22"/>
                <w:szCs w:val="22"/>
              </w:rPr>
            </w:pPr>
            <w:r>
              <w:rPr>
                <w:sz w:val="22"/>
                <w:szCs w:val="22"/>
              </w:rPr>
              <w:t xml:space="preserve">E </w:t>
            </w:r>
            <w:proofErr w:type="spellStart"/>
            <w:r>
              <w:rPr>
                <w:sz w:val="22"/>
                <w:szCs w:val="22"/>
              </w:rPr>
              <w:t>drejta</w:t>
            </w:r>
            <w:proofErr w:type="spellEnd"/>
            <w:r>
              <w:rPr>
                <w:sz w:val="22"/>
                <w:szCs w:val="22"/>
              </w:rPr>
              <w:t xml:space="preserve"> </w:t>
            </w:r>
            <w:proofErr w:type="spellStart"/>
            <w:r>
              <w:rPr>
                <w:sz w:val="22"/>
                <w:szCs w:val="22"/>
              </w:rPr>
              <w:t>përmbarimore</w:t>
            </w:r>
            <w:proofErr w:type="spellEnd"/>
          </w:p>
          <w:p w:rsidR="002A4811" w:rsidRDefault="002A4811">
            <w:pPr>
              <w:pStyle w:val="NoSpacing"/>
              <w:jc w:val="both"/>
              <w:rPr>
                <w:rFonts w:ascii="Calibri" w:hAnsi="Calibri"/>
                <w:i/>
                <w:sz w:val="22"/>
                <w:szCs w:val="22"/>
              </w:rPr>
            </w:pPr>
            <w:r>
              <w:rPr>
                <w:sz w:val="22"/>
                <w:szCs w:val="22"/>
              </w:rPr>
              <w:t xml:space="preserve">E </w:t>
            </w:r>
            <w:proofErr w:type="spellStart"/>
            <w:r>
              <w:rPr>
                <w:sz w:val="22"/>
                <w:szCs w:val="22"/>
              </w:rPr>
              <w:t>drejta</w:t>
            </w:r>
            <w:proofErr w:type="spellEnd"/>
            <w:r>
              <w:rPr>
                <w:sz w:val="22"/>
                <w:szCs w:val="22"/>
              </w:rPr>
              <w:t xml:space="preserve"> e </w:t>
            </w:r>
            <w:proofErr w:type="spellStart"/>
            <w:r>
              <w:rPr>
                <w:sz w:val="22"/>
                <w:szCs w:val="22"/>
              </w:rPr>
              <w:t>procedurës</w:t>
            </w:r>
            <w:proofErr w:type="spellEnd"/>
            <w:r>
              <w:rPr>
                <w:sz w:val="22"/>
                <w:szCs w:val="22"/>
              </w:rPr>
              <w:t xml:space="preserve"> </w:t>
            </w:r>
            <w:proofErr w:type="spellStart"/>
            <w:r>
              <w:rPr>
                <w:sz w:val="22"/>
                <w:szCs w:val="22"/>
              </w:rPr>
              <w:t>jokontestimore</w:t>
            </w:r>
            <w:proofErr w:type="spellEnd"/>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rPr>
            </w:pPr>
            <w:proofErr w:type="spellStart"/>
            <w:r>
              <w:rPr>
                <w:rFonts w:ascii="Calibri" w:hAnsi="Calibri"/>
                <w:b/>
              </w:rPr>
              <w:t>Qëllimet</w:t>
            </w:r>
            <w:proofErr w:type="spellEnd"/>
            <w:r>
              <w:rPr>
                <w:rFonts w:ascii="Calibri" w:hAnsi="Calibri"/>
                <w:b/>
              </w:rPr>
              <w:t xml:space="preserve"> e </w:t>
            </w:r>
            <w:proofErr w:type="spellStart"/>
            <w:r>
              <w:rPr>
                <w:rFonts w:ascii="Calibri" w:hAnsi="Calibri"/>
                <w:b/>
              </w:rPr>
              <w:t>lëndës</w:t>
            </w:r>
            <w:proofErr w:type="spellEnd"/>
            <w:r>
              <w:rPr>
                <w:rFonts w:ascii="Calibri" w:hAnsi="Calibri"/>
                <w:b/>
              </w:rPr>
              <w: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jc w:val="both"/>
              <w:rPr>
                <w:rFonts w:ascii="Calibri" w:hAnsi="Calibri"/>
                <w:i/>
                <w:sz w:val="22"/>
                <w:szCs w:val="22"/>
              </w:rPr>
            </w:pPr>
            <w:r>
              <w:rPr>
                <w:szCs w:val="22"/>
                <w:lang w:val="sq-AL"/>
              </w:rPr>
              <w:t xml:space="preserve">Me këtë lëndë tentohen të arrihen njohuritë bazë dhe të domosdoshme për realizimin faktik të një të drejte subjektive private, të konstatuar në procedurën civile dhe për të ashtuquajturën gjyqësinë vullnetare, pra procedurën </w:t>
            </w:r>
            <w:proofErr w:type="spellStart"/>
            <w:r>
              <w:rPr>
                <w:szCs w:val="22"/>
                <w:lang w:val="sq-AL"/>
              </w:rPr>
              <w:t>jokontestimore</w:t>
            </w:r>
            <w:proofErr w:type="spellEnd"/>
            <w:r>
              <w:rPr>
                <w:szCs w:val="22"/>
                <w:lang w:val="sq-AL"/>
              </w:rPr>
              <w:t>.</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lang w:val="de-DE"/>
              </w:rPr>
            </w:pPr>
            <w:r>
              <w:rPr>
                <w:rFonts w:ascii="Calibri" w:hAnsi="Calibri"/>
                <w:b/>
                <w:lang w:val="de-DE"/>
              </w:rPr>
              <w:t>Rezultatet e pritura të nxënies: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rsidP="00204AD4">
            <w:pPr>
              <w:pStyle w:val="NoSpacing"/>
              <w:numPr>
                <w:ilvl w:val="0"/>
                <w:numId w:val="1"/>
              </w:numPr>
              <w:jc w:val="both"/>
              <w:rPr>
                <w:szCs w:val="22"/>
                <w:lang w:val="sq-AL"/>
              </w:rPr>
            </w:pPr>
            <w:r>
              <w:rPr>
                <w:szCs w:val="22"/>
                <w:lang w:val="sq-AL"/>
              </w:rPr>
              <w:t>Studenti do të jetë në gjendje që të kuptojë drejtë, se si realizohet faktikisht një e drejtë subjektive private nëpërmjet procedurës së përmbarimit;</w:t>
            </w:r>
          </w:p>
          <w:p w:rsidR="002A4811" w:rsidRDefault="002A4811" w:rsidP="00204AD4">
            <w:pPr>
              <w:pStyle w:val="NoSpacing"/>
              <w:numPr>
                <w:ilvl w:val="0"/>
                <w:numId w:val="1"/>
              </w:numPr>
              <w:jc w:val="both"/>
              <w:rPr>
                <w:szCs w:val="22"/>
                <w:lang w:val="sq-AL"/>
              </w:rPr>
            </w:pPr>
            <w:r>
              <w:rPr>
                <w:szCs w:val="22"/>
                <w:lang w:val="sq-AL"/>
              </w:rPr>
              <w:t>Studenti do të jetë në gjendje që të kuptojë sistemin e ri të përmbarimit në Kosovë;</w:t>
            </w:r>
          </w:p>
          <w:p w:rsidR="002A4811" w:rsidRDefault="002A4811" w:rsidP="00204AD4">
            <w:pPr>
              <w:pStyle w:val="NoSpacing"/>
              <w:numPr>
                <w:ilvl w:val="0"/>
                <w:numId w:val="1"/>
              </w:numPr>
              <w:jc w:val="both"/>
              <w:rPr>
                <w:rFonts w:ascii="Calibri" w:hAnsi="Calibri"/>
                <w:i/>
                <w:sz w:val="22"/>
                <w:szCs w:val="22"/>
              </w:rPr>
            </w:pPr>
            <w:r>
              <w:rPr>
                <w:szCs w:val="22"/>
                <w:lang w:val="sq-AL"/>
              </w:rPr>
              <w:t xml:space="preserve">Studenti do të merr njohuritë bazë dhe të domosdoshme për procedurën </w:t>
            </w:r>
            <w:proofErr w:type="spellStart"/>
            <w:r>
              <w:rPr>
                <w:szCs w:val="22"/>
                <w:lang w:val="sq-AL"/>
              </w:rPr>
              <w:t>jokontestimore</w:t>
            </w:r>
            <w:proofErr w:type="spellEnd"/>
            <w:r>
              <w:rPr>
                <w:szCs w:val="22"/>
                <w:lang w:val="sq-AL"/>
              </w:rPr>
              <w:t xml:space="preserve"> si procedurë vullnetare!</w:t>
            </w:r>
          </w:p>
        </w:tc>
      </w:tr>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tcPr>
          <w:p w:rsidR="002A4811" w:rsidRDefault="002A4811">
            <w:pPr>
              <w:pStyle w:val="NoSpacing"/>
              <w:rPr>
                <w:rFonts w:ascii="Calibri" w:hAnsi="Calibri"/>
                <w:i/>
                <w:sz w:val="22"/>
                <w:szCs w:val="22"/>
              </w:rPr>
            </w:pPr>
          </w:p>
        </w:tc>
      </w:tr>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2A4811" w:rsidRDefault="002A4811">
            <w:pPr>
              <w:pStyle w:val="NoSpacing"/>
              <w:jc w:val="center"/>
              <w:rPr>
                <w:rFonts w:ascii="Calibri" w:hAnsi="Calibri"/>
                <w:b/>
              </w:rPr>
            </w:pPr>
            <w:proofErr w:type="spellStart"/>
            <w:r>
              <w:rPr>
                <w:rFonts w:ascii="Calibri" w:hAnsi="Calibri"/>
                <w:b/>
              </w:rPr>
              <w:t>Kontributi</w:t>
            </w:r>
            <w:proofErr w:type="spellEnd"/>
            <w:r>
              <w:rPr>
                <w:rFonts w:ascii="Calibri" w:hAnsi="Calibri"/>
                <w:b/>
              </w:rPr>
              <w:t xml:space="preserve"> </w:t>
            </w:r>
            <w:proofErr w:type="spellStart"/>
            <w:r>
              <w:rPr>
                <w:rFonts w:ascii="Calibri" w:hAnsi="Calibri"/>
                <w:b/>
              </w:rPr>
              <w:t>nё</w:t>
            </w:r>
            <w:proofErr w:type="spellEnd"/>
            <w:r>
              <w:rPr>
                <w:rFonts w:ascii="Calibri" w:hAnsi="Calibri"/>
                <w:b/>
              </w:rPr>
              <w:t xml:space="preserve"> </w:t>
            </w:r>
            <w:proofErr w:type="spellStart"/>
            <w:r>
              <w:rPr>
                <w:rFonts w:ascii="Calibri" w:hAnsi="Calibri"/>
                <w:b/>
              </w:rPr>
              <w:t>ngarkesёn</w:t>
            </w:r>
            <w:proofErr w:type="spellEnd"/>
            <w:r>
              <w:rPr>
                <w:rFonts w:ascii="Calibri" w:hAnsi="Calibri"/>
                <w:b/>
              </w:rPr>
              <w:t xml:space="preserve"> e </w:t>
            </w:r>
            <w:proofErr w:type="spellStart"/>
            <w:r>
              <w:rPr>
                <w:rFonts w:ascii="Calibri" w:hAnsi="Calibri"/>
                <w:b/>
              </w:rPr>
              <w:t>studentit</w:t>
            </w:r>
            <w:proofErr w:type="spellEnd"/>
            <w:r>
              <w:rPr>
                <w:rFonts w:ascii="Calibri" w:hAnsi="Calibri"/>
                <w:b/>
              </w:rPr>
              <w:t xml:space="preserve"> ( </w:t>
            </w:r>
            <w:proofErr w:type="spellStart"/>
            <w:r>
              <w:rPr>
                <w:rFonts w:ascii="Calibri" w:hAnsi="Calibri"/>
                <w:b/>
              </w:rPr>
              <w:t>gjё</w:t>
            </w:r>
            <w:proofErr w:type="spellEnd"/>
            <w:r>
              <w:rPr>
                <w:rFonts w:ascii="Calibri" w:hAnsi="Calibri"/>
                <w:b/>
              </w:rPr>
              <w:t xml:space="preserve"> </w:t>
            </w:r>
            <w:proofErr w:type="spellStart"/>
            <w:r>
              <w:rPr>
                <w:rFonts w:ascii="Calibri" w:hAnsi="Calibri"/>
                <w:b/>
              </w:rPr>
              <w:t>qё</w:t>
            </w:r>
            <w:proofErr w:type="spellEnd"/>
            <w:r>
              <w:rPr>
                <w:rFonts w:ascii="Calibri" w:hAnsi="Calibri"/>
                <w:b/>
              </w:rPr>
              <w:t xml:space="preserve"> </w:t>
            </w:r>
            <w:proofErr w:type="spellStart"/>
            <w:r>
              <w:rPr>
                <w:rFonts w:ascii="Calibri" w:hAnsi="Calibri"/>
                <w:b/>
              </w:rPr>
              <w:t>duhet</w:t>
            </w:r>
            <w:proofErr w:type="spellEnd"/>
            <w:r>
              <w:rPr>
                <w:rFonts w:ascii="Calibri" w:hAnsi="Calibri"/>
                <w:b/>
              </w:rPr>
              <w:t xml:space="preserve"> </w:t>
            </w:r>
            <w:proofErr w:type="spellStart"/>
            <w:r>
              <w:rPr>
                <w:rFonts w:ascii="Calibri" w:hAnsi="Calibri"/>
                <w:b/>
              </w:rPr>
              <w:t>tё</w:t>
            </w:r>
            <w:proofErr w:type="spellEnd"/>
            <w:r>
              <w:rPr>
                <w:rFonts w:ascii="Calibri" w:hAnsi="Calibri"/>
                <w:b/>
              </w:rPr>
              <w:t xml:space="preserve"> </w:t>
            </w:r>
            <w:proofErr w:type="spellStart"/>
            <w:r>
              <w:rPr>
                <w:rFonts w:ascii="Calibri" w:hAnsi="Calibri"/>
                <w:b/>
              </w:rPr>
              <w:t>korrespondoj</w:t>
            </w:r>
            <w:proofErr w:type="spellEnd"/>
            <w:r>
              <w:rPr>
                <w:rFonts w:ascii="Calibri" w:hAnsi="Calibri"/>
                <w:b/>
              </w:rPr>
              <w:t xml:space="preserve"> me </w:t>
            </w:r>
            <w:proofErr w:type="spellStart"/>
            <w:r>
              <w:rPr>
                <w:rFonts w:ascii="Calibri" w:hAnsi="Calibri"/>
                <w:b/>
              </w:rPr>
              <w:t>rezultatet</w:t>
            </w:r>
            <w:proofErr w:type="spellEnd"/>
            <w:r>
              <w:rPr>
                <w:rFonts w:ascii="Calibri" w:hAnsi="Calibri"/>
                <w:b/>
              </w:rPr>
              <w:t xml:space="preserve"> e </w:t>
            </w:r>
            <w:proofErr w:type="spellStart"/>
            <w:r>
              <w:rPr>
                <w:rFonts w:ascii="Calibri" w:hAnsi="Calibri"/>
                <w:b/>
              </w:rPr>
              <w:t>tё</w:t>
            </w:r>
            <w:proofErr w:type="spellEnd"/>
            <w:r>
              <w:rPr>
                <w:rFonts w:ascii="Calibri" w:hAnsi="Calibri"/>
                <w:b/>
              </w:rPr>
              <w:t xml:space="preserve"> </w:t>
            </w:r>
            <w:proofErr w:type="spellStart"/>
            <w:r>
              <w:rPr>
                <w:rFonts w:ascii="Calibri" w:hAnsi="Calibri"/>
                <w:b/>
              </w:rPr>
              <w:t>nxёnit</w:t>
            </w:r>
            <w:proofErr w:type="spellEnd"/>
            <w:r>
              <w:rPr>
                <w:rFonts w:ascii="Calibri" w:hAnsi="Calibri"/>
                <w:b/>
              </w:rPr>
              <w:t xml:space="preserve"> </w:t>
            </w:r>
            <w:proofErr w:type="spellStart"/>
            <w:r>
              <w:rPr>
                <w:rFonts w:ascii="Calibri" w:hAnsi="Calibri"/>
                <w:b/>
              </w:rPr>
              <w:t>tё</w:t>
            </w:r>
            <w:proofErr w:type="spellEnd"/>
            <w:r>
              <w:rPr>
                <w:rFonts w:ascii="Calibri" w:hAnsi="Calibri"/>
                <w:b/>
              </w:rPr>
              <w:t xml:space="preserve"> </w:t>
            </w:r>
            <w:proofErr w:type="spellStart"/>
            <w:r>
              <w:rPr>
                <w:rFonts w:ascii="Calibri" w:hAnsi="Calibri"/>
                <w:b/>
              </w:rPr>
              <w:t>studentit</w:t>
            </w:r>
            <w:proofErr w:type="spellEnd"/>
            <w:r>
              <w:rPr>
                <w:rFonts w:ascii="Calibri" w:hAnsi="Calibri"/>
                <w:b/>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D9D9D9"/>
            <w:hideMark/>
          </w:tcPr>
          <w:p w:rsidR="002A4811" w:rsidRDefault="002A4811">
            <w:pPr>
              <w:rPr>
                <w:rFonts w:ascii="Calibri" w:hAnsi="Calibri" w:cs="Arial"/>
                <w:b/>
                <w:sz w:val="22"/>
                <w:szCs w:val="22"/>
              </w:rPr>
            </w:pPr>
            <w:proofErr w:type="spellStart"/>
            <w:r>
              <w:rPr>
                <w:rFonts w:ascii="Calibri" w:hAnsi="Calibri" w:cs="Arial"/>
                <w:b/>
                <w:sz w:val="22"/>
                <w:szCs w:val="22"/>
              </w:rPr>
              <w:t>Aktiviteti</w:t>
            </w:r>
            <w:proofErr w:type="spellEnd"/>
            <w:r>
              <w:rPr>
                <w:rFonts w:ascii="Calibri" w:hAnsi="Calibri" w:cs="Arial"/>
                <w:b/>
                <w:sz w:val="22"/>
                <w:szCs w:val="22"/>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D9D9D9"/>
            <w:hideMark/>
          </w:tcPr>
          <w:p w:rsidR="002A4811" w:rsidRDefault="002A4811">
            <w:pPr>
              <w:rPr>
                <w:rFonts w:ascii="Calibri" w:hAnsi="Calibri" w:cs="Arial"/>
                <w:b/>
                <w:sz w:val="22"/>
                <w:szCs w:val="22"/>
              </w:rPr>
            </w:pPr>
            <w:proofErr w:type="spellStart"/>
            <w:r>
              <w:rPr>
                <w:rFonts w:ascii="Calibri" w:hAnsi="Calibri" w:cs="Arial"/>
                <w:b/>
                <w:sz w:val="22"/>
                <w:szCs w:val="22"/>
              </w:rPr>
              <w:t>Orë</w:t>
            </w:r>
            <w:proofErr w:type="spellEnd"/>
            <w:r>
              <w:rPr>
                <w:rFonts w:ascii="Calibri" w:hAnsi="Calibri" w:cs="Arial"/>
                <w:b/>
                <w:sz w:val="22"/>
                <w:szCs w:val="22"/>
              </w:rPr>
              <w:t xml:space="preserve">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2A4811" w:rsidRDefault="002A4811">
            <w:pPr>
              <w:rPr>
                <w:rFonts w:ascii="Calibri" w:hAnsi="Calibri" w:cs="Arial"/>
                <w:b/>
                <w:sz w:val="22"/>
                <w:szCs w:val="22"/>
              </w:rPr>
            </w:pPr>
            <w:r>
              <w:rPr>
                <w:rFonts w:ascii="Calibri" w:hAnsi="Calibri" w:cs="Arial"/>
                <w:b/>
                <w:sz w:val="22"/>
                <w:szCs w:val="22"/>
              </w:rPr>
              <w:t xml:space="preserve"> </w:t>
            </w:r>
            <w:proofErr w:type="spellStart"/>
            <w:r>
              <w:rPr>
                <w:rFonts w:ascii="Calibri" w:hAnsi="Calibri" w:cs="Arial"/>
                <w:b/>
                <w:sz w:val="22"/>
                <w:szCs w:val="22"/>
              </w:rPr>
              <w:t>Ditë</w:t>
            </w:r>
            <w:proofErr w:type="spellEnd"/>
            <w:r>
              <w:rPr>
                <w:rFonts w:ascii="Calibri" w:hAnsi="Calibri" w:cs="Arial"/>
                <w:b/>
                <w:sz w:val="22"/>
                <w:szCs w:val="22"/>
              </w:rPr>
              <w:t>/</w:t>
            </w:r>
            <w:proofErr w:type="spellStart"/>
            <w:r>
              <w:rPr>
                <w:rFonts w:ascii="Calibri" w:hAnsi="Calibri" w:cs="Arial"/>
                <w:b/>
                <w:sz w:val="22"/>
                <w:szCs w:val="22"/>
              </w:rPr>
              <w:t>javë</w:t>
            </w:r>
            <w:proofErr w:type="spellEnd"/>
            <w:r>
              <w:rPr>
                <w:rFonts w:ascii="Calibri" w:hAnsi="Calibri" w:cs="Arial"/>
                <w:b/>
                <w:sz w:val="22"/>
                <w:szCs w:val="22"/>
              </w:rPr>
              <w:t xml:space="preserve">  </w:t>
            </w:r>
          </w:p>
        </w:tc>
        <w:tc>
          <w:tcPr>
            <w:tcW w:w="2044" w:type="dxa"/>
            <w:tcBorders>
              <w:top w:val="single" w:sz="4" w:space="0" w:color="000000"/>
              <w:left w:val="single" w:sz="4" w:space="0" w:color="auto"/>
              <w:bottom w:val="single" w:sz="4" w:space="0" w:color="000000"/>
              <w:right w:val="single" w:sz="4" w:space="0" w:color="000000"/>
            </w:tcBorders>
            <w:shd w:val="clear" w:color="auto" w:fill="D9D9D9"/>
            <w:hideMark/>
          </w:tcPr>
          <w:p w:rsidR="002A4811" w:rsidRDefault="002A4811">
            <w:pPr>
              <w:rPr>
                <w:rFonts w:ascii="Calibri" w:hAnsi="Calibri" w:cs="Arial"/>
                <w:b/>
                <w:sz w:val="22"/>
                <w:szCs w:val="22"/>
              </w:rPr>
            </w:pPr>
            <w:proofErr w:type="spellStart"/>
            <w:r>
              <w:rPr>
                <w:rFonts w:ascii="Calibri" w:hAnsi="Calibri" w:cs="Arial"/>
                <w:b/>
                <w:sz w:val="22"/>
                <w:szCs w:val="22"/>
              </w:rPr>
              <w:t>Gjithësej</w:t>
            </w:r>
            <w:proofErr w:type="spellEnd"/>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Ligjërata</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3</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teorike</w:t>
            </w:r>
            <w:proofErr w:type="spellEnd"/>
            <w:r>
              <w:rPr>
                <w:rFonts w:ascii="Calibri" w:hAnsi="Calibri" w:cs="Arial"/>
                <w:sz w:val="22"/>
                <w:szCs w:val="22"/>
              </w:rPr>
              <w:t>/</w:t>
            </w:r>
            <w:proofErr w:type="spellStart"/>
            <w:r>
              <w:rPr>
                <w:rFonts w:ascii="Calibri" w:hAnsi="Calibri" w:cs="Arial"/>
                <w:sz w:val="22"/>
                <w:szCs w:val="22"/>
              </w:rPr>
              <w:t>laboratorike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2</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Punë</w:t>
            </w:r>
            <w:proofErr w:type="spellEnd"/>
            <w:r>
              <w:rPr>
                <w:rFonts w:ascii="Calibri" w:hAnsi="Calibri" w:cs="Arial"/>
                <w:sz w:val="22"/>
                <w:szCs w:val="22"/>
              </w:rPr>
              <w:t xml:space="preserve"> </w:t>
            </w:r>
            <w:proofErr w:type="spellStart"/>
            <w:r>
              <w:rPr>
                <w:rFonts w:ascii="Calibri" w:hAnsi="Calibri" w:cs="Arial"/>
                <w:sz w:val="22"/>
                <w:szCs w:val="22"/>
              </w:rPr>
              <w:t>praktike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lang w:val="nb-NO"/>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4</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4</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teren</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Kollokfiume,seminare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1</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Detyra</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shtëpisë</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studimit</w:t>
            </w:r>
            <w:proofErr w:type="spellEnd"/>
            <w:r>
              <w:rPr>
                <w:rFonts w:ascii="Calibri" w:hAnsi="Calibri" w:cs="Arial"/>
                <w:sz w:val="22"/>
                <w:szCs w:val="22"/>
              </w:rPr>
              <w:t xml:space="preserve"> </w:t>
            </w:r>
            <w:proofErr w:type="spellStart"/>
            <w:r>
              <w:rPr>
                <w:rFonts w:ascii="Calibri" w:hAnsi="Calibri" w:cs="Arial"/>
                <w:sz w:val="22"/>
                <w:szCs w:val="22"/>
              </w:rPr>
              <w:t>vetanak</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studentit</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bibliotekë</w:t>
            </w:r>
            <w:proofErr w:type="spellEnd"/>
            <w:r>
              <w:rPr>
                <w:rFonts w:ascii="Calibri" w:hAnsi="Calibri" w:cs="Arial"/>
                <w:sz w:val="22"/>
                <w:szCs w:val="22"/>
              </w:rPr>
              <w:t xml:space="preserve"> </w:t>
            </w:r>
            <w:proofErr w:type="spellStart"/>
            <w:r>
              <w:rPr>
                <w:rFonts w:ascii="Calibri" w:hAnsi="Calibri" w:cs="Arial"/>
                <w:sz w:val="22"/>
                <w:szCs w:val="22"/>
              </w:rPr>
              <w:t>ose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shtëpi</w:t>
            </w:r>
            <w:proofErr w:type="spellEnd"/>
            <w:r>
              <w:rPr>
                <w:rFonts w:ascii="Calibri" w:hAnsi="Calibri" w:cs="Arial"/>
                <w:sz w:val="22"/>
                <w:szCs w:val="22"/>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lastRenderedPageBreak/>
              <w:t>Përgaditja</w:t>
            </w:r>
            <w:proofErr w:type="spellEnd"/>
            <w:r>
              <w:rPr>
                <w:rFonts w:ascii="Calibri" w:hAnsi="Calibri" w:cs="Arial"/>
                <w:sz w:val="22"/>
                <w:szCs w:val="22"/>
              </w:rPr>
              <w:t xml:space="preserve"> </w:t>
            </w:r>
            <w:proofErr w:type="spellStart"/>
            <w:r>
              <w:rPr>
                <w:rFonts w:ascii="Calibri" w:hAnsi="Calibri" w:cs="Arial"/>
                <w:sz w:val="22"/>
                <w:szCs w:val="22"/>
              </w:rPr>
              <w:t>përfundimtare</w:t>
            </w:r>
            <w:proofErr w:type="spellEnd"/>
            <w:r>
              <w:rPr>
                <w:rFonts w:ascii="Calibri" w:hAnsi="Calibri" w:cs="Arial"/>
                <w:sz w:val="22"/>
                <w:szCs w:val="22"/>
              </w:rPr>
              <w:t xml:space="preserve"> </w:t>
            </w:r>
            <w:proofErr w:type="spellStart"/>
            <w:r>
              <w:rPr>
                <w:rFonts w:ascii="Calibri" w:hAnsi="Calibri" w:cs="Arial"/>
                <w:sz w:val="22"/>
                <w:szCs w:val="22"/>
              </w:rPr>
              <w:t>për</w:t>
            </w:r>
            <w:proofErr w:type="spellEnd"/>
            <w:r>
              <w:rPr>
                <w:rFonts w:ascii="Calibri" w:hAnsi="Calibri" w:cs="Arial"/>
                <w:sz w:val="22"/>
                <w:szCs w:val="22"/>
              </w:rPr>
              <w:t xml:space="preserve"> </w:t>
            </w:r>
            <w:proofErr w:type="spellStart"/>
            <w:r>
              <w:rPr>
                <w:rFonts w:ascii="Calibri" w:hAnsi="Calibri" w:cs="Arial"/>
                <w:sz w:val="22"/>
                <w:szCs w:val="22"/>
              </w:rPr>
              <w:t>provim</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lang w:val="de-DE"/>
              </w:rPr>
            </w:pPr>
            <w:r>
              <w:rPr>
                <w:rFonts w:ascii="Calibri" w:hAnsi="Calibri" w:cs="Arial"/>
                <w:sz w:val="22"/>
                <w:szCs w:val="22"/>
                <w:lang w:val="de-DE"/>
              </w:rPr>
              <w:t>Koha e kaluar në vlerësim (teste,kuiz,provim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proofErr w:type="spellStart"/>
            <w:r>
              <w:rPr>
                <w:rFonts w:ascii="Calibri" w:hAnsi="Calibri" w:cs="Arial"/>
                <w:sz w:val="22"/>
                <w:szCs w:val="22"/>
              </w:rPr>
              <w:t>Projektet,prezentimet</w:t>
            </w:r>
            <w:proofErr w:type="spellEnd"/>
            <w:r>
              <w:rPr>
                <w:rFonts w:ascii="Calibri" w:hAnsi="Calibri" w:cs="Arial"/>
                <w:sz w:val="22"/>
                <w:szCs w:val="22"/>
              </w:rPr>
              <w:t xml:space="preserve"> ,</w:t>
            </w:r>
            <w:proofErr w:type="spellStart"/>
            <w:r>
              <w:rPr>
                <w:rFonts w:ascii="Calibri" w:hAnsi="Calibri" w:cs="Arial"/>
                <w:sz w:val="22"/>
                <w:szCs w:val="22"/>
              </w:rPr>
              <w:t>etj</w:t>
            </w:r>
            <w:proofErr w:type="spellEnd"/>
          </w:p>
          <w:p w:rsidR="002A4811" w:rsidRDefault="002A4811">
            <w:pPr>
              <w:rPr>
                <w:rFonts w:ascii="Calibri" w:hAnsi="Calibri" w:cs="Arial"/>
                <w:sz w:val="22"/>
                <w:szCs w:val="22"/>
              </w:rPr>
            </w:pPr>
            <w:r>
              <w:rPr>
                <w:rFonts w:ascii="Calibri" w:hAnsi="Calibri" w:cs="Arial"/>
                <w:sz w:val="22"/>
                <w:szCs w:val="22"/>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2A4811" w:rsidRDefault="002A4811">
            <w:pPr>
              <w:rPr>
                <w:rFonts w:ascii="Calibri" w:hAnsi="Calibri" w:cs="Arial"/>
                <w:sz w:val="22"/>
                <w:szCs w:val="22"/>
              </w:rPr>
            </w:pPr>
            <w:r>
              <w:rPr>
                <w:rFonts w:ascii="Calibri" w:hAnsi="Calibri" w:cs="Arial"/>
                <w:sz w:val="22"/>
                <w:szCs w:val="22"/>
              </w:rPr>
              <w:t>/</w:t>
            </w:r>
          </w:p>
        </w:tc>
      </w:tr>
      <w:tr w:rsidR="002A4811" w:rsidTr="002A4811">
        <w:tc>
          <w:tcPr>
            <w:tcW w:w="3617" w:type="dxa"/>
            <w:tcBorders>
              <w:top w:val="single" w:sz="4" w:space="0" w:color="000000"/>
              <w:left w:val="single" w:sz="4" w:space="0" w:color="000000"/>
              <w:bottom w:val="single" w:sz="4" w:space="0" w:color="000000"/>
              <w:right w:val="single" w:sz="4" w:space="0" w:color="auto"/>
            </w:tcBorders>
            <w:shd w:val="clear" w:color="auto" w:fill="D9D9D9"/>
          </w:tcPr>
          <w:p w:rsidR="002A4811" w:rsidRDefault="002A4811">
            <w:pPr>
              <w:rPr>
                <w:rFonts w:ascii="Calibri" w:hAnsi="Calibri" w:cs="Arial"/>
                <w:b/>
                <w:sz w:val="22"/>
                <w:szCs w:val="22"/>
              </w:rPr>
            </w:pPr>
            <w:proofErr w:type="spellStart"/>
            <w:r>
              <w:rPr>
                <w:rFonts w:ascii="Calibri" w:hAnsi="Calibri" w:cs="Arial"/>
                <w:b/>
                <w:sz w:val="22"/>
                <w:szCs w:val="22"/>
              </w:rPr>
              <w:t>Totali</w:t>
            </w:r>
            <w:proofErr w:type="spellEnd"/>
            <w:r>
              <w:rPr>
                <w:rFonts w:ascii="Calibri" w:hAnsi="Calibri" w:cs="Arial"/>
                <w:b/>
                <w:sz w:val="22"/>
                <w:szCs w:val="22"/>
              </w:rPr>
              <w:t xml:space="preserve"> </w:t>
            </w:r>
          </w:p>
          <w:p w:rsidR="002A4811" w:rsidRDefault="002A4811">
            <w:pPr>
              <w:rPr>
                <w:rFonts w:ascii="Calibri" w:hAnsi="Calibri" w:cs="Arial"/>
                <w:b/>
                <w:sz w:val="22"/>
                <w:szCs w:val="22"/>
              </w:rPr>
            </w:pPr>
          </w:p>
        </w:tc>
        <w:tc>
          <w:tcPr>
            <w:tcW w:w="1425" w:type="dxa"/>
            <w:tcBorders>
              <w:top w:val="single" w:sz="4" w:space="0" w:color="000000"/>
              <w:left w:val="single" w:sz="4" w:space="0" w:color="auto"/>
              <w:bottom w:val="single" w:sz="4" w:space="0" w:color="000000"/>
              <w:right w:val="single" w:sz="4" w:space="0" w:color="auto"/>
            </w:tcBorders>
            <w:shd w:val="clear" w:color="auto" w:fill="D9D9D9"/>
          </w:tcPr>
          <w:p w:rsidR="002A4811" w:rsidRDefault="002A4811">
            <w:pPr>
              <w:rPr>
                <w:rFonts w:ascii="Calibri" w:hAnsi="Calibri" w:cs="Arial"/>
                <w:b/>
                <w:sz w:val="22"/>
                <w:szCs w:val="22"/>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2A4811" w:rsidRDefault="002A4811">
            <w:pPr>
              <w:rPr>
                <w:rFonts w:ascii="Calibri" w:hAnsi="Calibri" w:cs="Arial"/>
                <w:b/>
                <w:sz w:val="22"/>
                <w:szCs w:val="22"/>
              </w:rPr>
            </w:pPr>
          </w:p>
        </w:tc>
        <w:tc>
          <w:tcPr>
            <w:tcW w:w="2044" w:type="dxa"/>
            <w:tcBorders>
              <w:top w:val="single" w:sz="4" w:space="0" w:color="000000"/>
              <w:left w:val="single" w:sz="4" w:space="0" w:color="auto"/>
              <w:bottom w:val="single" w:sz="4" w:space="0" w:color="000000"/>
              <w:right w:val="single" w:sz="4" w:space="0" w:color="000000"/>
            </w:tcBorders>
            <w:shd w:val="clear" w:color="auto" w:fill="D9D9D9"/>
          </w:tcPr>
          <w:p w:rsidR="002A4811" w:rsidRDefault="002A4811">
            <w:pPr>
              <w:rPr>
                <w:rFonts w:ascii="Calibri" w:hAnsi="Calibri" w:cs="Arial"/>
                <w:b/>
                <w:sz w:val="22"/>
                <w:szCs w:val="22"/>
              </w:rPr>
            </w:pPr>
          </w:p>
        </w:tc>
      </w:tr>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tcPr>
          <w:p w:rsidR="002A4811" w:rsidRDefault="002A4811">
            <w:pPr>
              <w:rPr>
                <w:rFonts w:ascii="Calibri" w:hAnsi="Calibri" w:cs="Arial"/>
                <w:b/>
                <w:sz w:val="22"/>
                <w:szCs w:val="22"/>
              </w:rPr>
            </w:pP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rPr>
            </w:pPr>
            <w:proofErr w:type="spellStart"/>
            <w:r>
              <w:rPr>
                <w:rFonts w:ascii="Calibri" w:hAnsi="Calibri"/>
                <w:b/>
              </w:rPr>
              <w:t>Metodologjia</w:t>
            </w:r>
            <w:proofErr w:type="spellEnd"/>
            <w:r>
              <w:rPr>
                <w:rFonts w:ascii="Calibri" w:hAnsi="Calibri"/>
                <w:b/>
              </w:rPr>
              <w:t xml:space="preserve"> e </w:t>
            </w:r>
            <w:proofErr w:type="spellStart"/>
            <w:r>
              <w:rPr>
                <w:rFonts w:ascii="Calibri" w:hAnsi="Calibri"/>
                <w:b/>
              </w:rPr>
              <w:t>mësimëdhënies</w:t>
            </w:r>
            <w:proofErr w:type="spellEnd"/>
            <w:r>
              <w:rPr>
                <w:rFonts w:ascii="Calibri" w:hAnsi="Calibri"/>
                <w:b/>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jc w:val="both"/>
              <w:rPr>
                <w:sz w:val="22"/>
                <w:szCs w:val="22"/>
                <w:lang w:val="sq-AL"/>
              </w:rPr>
            </w:pPr>
            <w:r>
              <w:rPr>
                <w:sz w:val="22"/>
                <w:szCs w:val="22"/>
                <w:lang w:val="sq-AL"/>
              </w:rPr>
              <w:t xml:space="preserve">Koncepti didaktik do të jetë i tillë </w:t>
            </w:r>
            <w:proofErr w:type="spellStart"/>
            <w:r>
              <w:rPr>
                <w:sz w:val="22"/>
                <w:szCs w:val="22"/>
                <w:lang w:val="sq-AL"/>
              </w:rPr>
              <w:t>interaktiv</w:t>
            </w:r>
            <w:proofErr w:type="spellEnd"/>
            <w:r>
              <w:rPr>
                <w:sz w:val="22"/>
                <w:szCs w:val="22"/>
                <w:lang w:val="sq-AL"/>
              </w:rPr>
              <w:t xml:space="preserve"> në shqyrtimin e instituteve </w:t>
            </w:r>
            <w:proofErr w:type="spellStart"/>
            <w:r>
              <w:rPr>
                <w:sz w:val="22"/>
                <w:szCs w:val="22"/>
                <w:lang w:val="sq-AL"/>
              </w:rPr>
              <w:t>qëndrore</w:t>
            </w:r>
            <w:proofErr w:type="spellEnd"/>
            <w:r>
              <w:rPr>
                <w:sz w:val="22"/>
                <w:szCs w:val="22"/>
                <w:lang w:val="sq-AL"/>
              </w:rPr>
              <w:t xml:space="preserve"> juridike për këtë lëndë. Kjo lëndë është shumë voluminoze dhe kështu do të shqyrtohen aspektet bazë të </w:t>
            </w:r>
            <w:proofErr w:type="spellStart"/>
            <w:r>
              <w:rPr>
                <w:sz w:val="22"/>
                <w:szCs w:val="22"/>
                <w:lang w:val="sq-AL"/>
              </w:rPr>
              <w:t>procedures</w:t>
            </w:r>
            <w:proofErr w:type="spellEnd"/>
            <w:r>
              <w:rPr>
                <w:sz w:val="22"/>
                <w:szCs w:val="22"/>
                <w:lang w:val="sq-AL"/>
              </w:rPr>
              <w:t xml:space="preserve"> përmbarimore dhe </w:t>
            </w:r>
            <w:proofErr w:type="spellStart"/>
            <w:r>
              <w:rPr>
                <w:sz w:val="22"/>
                <w:szCs w:val="22"/>
                <w:lang w:val="sq-AL"/>
              </w:rPr>
              <w:t>jokontestiomore</w:t>
            </w:r>
            <w:proofErr w:type="spellEnd"/>
            <w:r>
              <w:rPr>
                <w:sz w:val="22"/>
                <w:szCs w:val="22"/>
                <w:lang w:val="sq-AL"/>
              </w:rPr>
              <w:t xml:space="preserve"> dhe atë më shumë në aspektin teorik. Do të ofrohen disa raste për të trajtuar disa institute qendrore juridike të </w:t>
            </w:r>
            <w:proofErr w:type="spellStart"/>
            <w:r>
              <w:rPr>
                <w:sz w:val="22"/>
                <w:szCs w:val="22"/>
                <w:lang w:val="sq-AL"/>
              </w:rPr>
              <w:t>procedures</w:t>
            </w:r>
            <w:proofErr w:type="spellEnd"/>
            <w:r>
              <w:rPr>
                <w:sz w:val="22"/>
                <w:szCs w:val="22"/>
                <w:lang w:val="sq-AL"/>
              </w:rPr>
              <w:t xml:space="preserve"> </w:t>
            </w:r>
            <w:proofErr w:type="spellStart"/>
            <w:r>
              <w:rPr>
                <w:sz w:val="22"/>
                <w:szCs w:val="22"/>
                <w:lang w:val="sq-AL"/>
              </w:rPr>
              <w:t>jonkontestimore</w:t>
            </w:r>
            <w:proofErr w:type="spellEnd"/>
            <w:r>
              <w:rPr>
                <w:sz w:val="22"/>
                <w:szCs w:val="22"/>
                <w:lang w:val="sq-AL"/>
              </w:rPr>
              <w:t xml:space="preserve"> dhe përmbarimore. </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tcPr>
          <w:p w:rsidR="002A4811" w:rsidRDefault="002A4811">
            <w:pPr>
              <w:pStyle w:val="NoSpacing"/>
              <w:rPr>
                <w:rFonts w:ascii="Calibri" w:hAnsi="Calibri"/>
                <w:b/>
              </w:rPr>
            </w:pPr>
          </w:p>
        </w:tc>
        <w:tc>
          <w:tcPr>
            <w:tcW w:w="5239" w:type="dxa"/>
            <w:gridSpan w:val="3"/>
            <w:tcBorders>
              <w:top w:val="single" w:sz="4" w:space="0" w:color="000000"/>
              <w:left w:val="single" w:sz="4" w:space="0" w:color="000000"/>
              <w:bottom w:val="single" w:sz="4" w:space="0" w:color="000000"/>
              <w:right w:val="single" w:sz="4" w:space="0" w:color="000000"/>
            </w:tcBorders>
          </w:tcPr>
          <w:p w:rsidR="002A4811" w:rsidRDefault="002A4811">
            <w:pPr>
              <w:pStyle w:val="NoSpacing"/>
              <w:rPr>
                <w:rFonts w:ascii="Calibri" w:hAnsi="Calibri"/>
                <w:i/>
                <w:sz w:val="22"/>
                <w:szCs w:val="22"/>
              </w:rPr>
            </w:pP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rPr>
            </w:pPr>
            <w:proofErr w:type="spellStart"/>
            <w:r>
              <w:rPr>
                <w:rFonts w:ascii="Calibri" w:hAnsi="Calibri"/>
                <w:b/>
              </w:rPr>
              <w:t>Metodat</w:t>
            </w:r>
            <w:proofErr w:type="spellEnd"/>
            <w:r>
              <w:rPr>
                <w:rFonts w:ascii="Calibri" w:hAnsi="Calibri"/>
                <w:b/>
              </w:rPr>
              <w:t xml:space="preserve"> e </w:t>
            </w:r>
            <w:proofErr w:type="spellStart"/>
            <w:r>
              <w:rPr>
                <w:rFonts w:ascii="Calibri" w:hAnsi="Calibri"/>
                <w:b/>
              </w:rPr>
              <w:t>vlerësimit</w:t>
            </w:r>
            <w:proofErr w:type="spellEnd"/>
            <w:r>
              <w:rPr>
                <w:rFonts w:ascii="Calibri" w:hAnsi="Calibri"/>
                <w:b/>
              </w:rPr>
              <w:t>:</w:t>
            </w:r>
          </w:p>
        </w:tc>
        <w:tc>
          <w:tcPr>
            <w:tcW w:w="5239" w:type="dxa"/>
            <w:gridSpan w:val="3"/>
            <w:tcBorders>
              <w:top w:val="single" w:sz="4" w:space="0" w:color="000000"/>
              <w:left w:val="single" w:sz="4" w:space="0" w:color="000000"/>
              <w:bottom w:val="single" w:sz="4" w:space="0" w:color="000000"/>
              <w:right w:val="single" w:sz="4" w:space="0" w:color="000000"/>
            </w:tcBorders>
          </w:tcPr>
          <w:p w:rsidR="002A4811" w:rsidRDefault="002A4811" w:rsidP="002A4811">
            <w:pPr>
              <w:pStyle w:val="BodyTextIndent"/>
              <w:spacing w:line="276" w:lineRule="auto"/>
              <w:ind w:left="0" w:firstLine="0"/>
              <w:jc w:val="both"/>
              <w:rPr>
                <w:bCs/>
                <w:sz w:val="24"/>
                <w:szCs w:val="24"/>
                <w:lang w:val="sq-AL"/>
              </w:rPr>
            </w:pPr>
            <w:r>
              <w:rPr>
                <w:bCs/>
                <w:sz w:val="24"/>
                <w:szCs w:val="24"/>
                <w:lang w:val="sq-AL"/>
              </w:rPr>
              <w:t xml:space="preserve">Çdo student do të vlerësohet në fund të semestrit në bazë të numrit të pikëve të akumuluara nga kriteret të cilat merren si bazë për notim. Në vazhdim po japim tabelën ku paraqitet mënyra e notimit të studentëve. </w:t>
            </w:r>
          </w:p>
          <w:p w:rsidR="002A4811" w:rsidRDefault="002A4811" w:rsidP="002A4811">
            <w:pPr>
              <w:pStyle w:val="BodyTextIndent"/>
              <w:spacing w:line="276" w:lineRule="auto"/>
              <w:ind w:left="0" w:firstLine="0"/>
              <w:jc w:val="both"/>
              <w:rPr>
                <w:sz w:val="24"/>
                <w:szCs w:val="24"/>
                <w:lang w:val="sq-AL"/>
              </w:rPr>
            </w:pPr>
          </w:p>
          <w:tbl>
            <w:tblPr>
              <w:tblW w:w="447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82"/>
              <w:gridCol w:w="2033"/>
              <w:gridCol w:w="858"/>
            </w:tblGrid>
            <w:tr w:rsidR="002A4811" w:rsidTr="00204AD4">
              <w:tc>
                <w:tcPr>
                  <w:tcW w:w="1582" w:type="dxa"/>
                  <w:tcBorders>
                    <w:top w:val="single" w:sz="4" w:space="0" w:color="auto"/>
                    <w:left w:val="single" w:sz="4" w:space="0" w:color="auto"/>
                    <w:bottom w:val="single" w:sz="4" w:space="0" w:color="auto"/>
                    <w:right w:val="single" w:sz="4" w:space="0" w:color="auto"/>
                  </w:tcBorders>
                  <w:shd w:val="pct12" w:color="auto" w:fill="auto"/>
                  <w:hideMark/>
                </w:tcPr>
                <w:p w:rsidR="002A4811" w:rsidRDefault="002A4811" w:rsidP="00204AD4">
                  <w:pPr>
                    <w:spacing w:line="276" w:lineRule="auto"/>
                    <w:rPr>
                      <w:lang w:val="sq-AL"/>
                    </w:rPr>
                  </w:pPr>
                  <w:r>
                    <w:rPr>
                      <w:lang w:val="sq-AL"/>
                    </w:rPr>
                    <w:t xml:space="preserve">Shkalla </w:t>
                  </w:r>
                </w:p>
              </w:tc>
              <w:tc>
                <w:tcPr>
                  <w:tcW w:w="2033" w:type="dxa"/>
                  <w:tcBorders>
                    <w:top w:val="single" w:sz="4" w:space="0" w:color="auto"/>
                    <w:left w:val="single" w:sz="4" w:space="0" w:color="auto"/>
                    <w:bottom w:val="single" w:sz="4" w:space="0" w:color="auto"/>
                    <w:right w:val="single" w:sz="4" w:space="0" w:color="auto"/>
                  </w:tcBorders>
                  <w:shd w:val="pct12" w:color="auto" w:fill="auto"/>
                </w:tcPr>
                <w:p w:rsidR="002A4811" w:rsidRDefault="002A4811" w:rsidP="00204AD4">
                  <w:pPr>
                    <w:spacing w:line="276" w:lineRule="auto"/>
                    <w:rPr>
                      <w:lang w:val="sq-AL"/>
                    </w:rPr>
                  </w:pPr>
                  <w:r>
                    <w:rPr>
                      <w:lang w:val="sq-AL"/>
                    </w:rPr>
                    <w:t>Përshkrimi</w:t>
                  </w:r>
                </w:p>
                <w:p w:rsidR="002A4811" w:rsidRDefault="002A4811" w:rsidP="00204AD4">
                  <w:pPr>
                    <w:spacing w:line="276" w:lineRule="auto"/>
                    <w:rPr>
                      <w:lang w:val="sq-AL"/>
                    </w:rPr>
                  </w:pPr>
                </w:p>
              </w:tc>
              <w:tc>
                <w:tcPr>
                  <w:tcW w:w="858" w:type="dxa"/>
                  <w:tcBorders>
                    <w:top w:val="single" w:sz="4" w:space="0" w:color="auto"/>
                    <w:left w:val="single" w:sz="4" w:space="0" w:color="auto"/>
                    <w:bottom w:val="single" w:sz="4" w:space="0" w:color="auto"/>
                    <w:right w:val="single" w:sz="4" w:space="0" w:color="auto"/>
                  </w:tcBorders>
                  <w:shd w:val="pct12" w:color="auto" w:fill="auto"/>
                </w:tcPr>
                <w:p w:rsidR="002A4811" w:rsidRDefault="002A4811" w:rsidP="00204AD4">
                  <w:pPr>
                    <w:spacing w:line="276" w:lineRule="auto"/>
                    <w:jc w:val="center"/>
                    <w:rPr>
                      <w:lang w:val="sq-AL"/>
                    </w:rPr>
                  </w:pPr>
                  <w:r>
                    <w:rPr>
                      <w:lang w:val="sq-AL"/>
                    </w:rPr>
                    <w:t>Nota</w:t>
                  </w:r>
                </w:p>
                <w:p w:rsidR="002A4811" w:rsidRDefault="002A4811" w:rsidP="00204AD4">
                  <w:pPr>
                    <w:spacing w:line="276" w:lineRule="auto"/>
                    <w:jc w:val="center"/>
                    <w:rPr>
                      <w:lang w:val="sq-AL"/>
                    </w:rPr>
                  </w:pPr>
                </w:p>
              </w:tc>
            </w:tr>
            <w:tr w:rsidR="002A4811" w:rsidTr="00204AD4">
              <w:tc>
                <w:tcPr>
                  <w:tcW w:w="1582"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90% - 100%</w:t>
                  </w:r>
                </w:p>
              </w:tc>
              <w:tc>
                <w:tcPr>
                  <w:tcW w:w="2033"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Notë maksimale</w:t>
                  </w:r>
                </w:p>
              </w:tc>
              <w:tc>
                <w:tcPr>
                  <w:tcW w:w="858"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jc w:val="center"/>
                    <w:rPr>
                      <w:lang w:val="sq-AL"/>
                    </w:rPr>
                  </w:pPr>
                  <w:r>
                    <w:rPr>
                      <w:lang w:val="sq-AL"/>
                    </w:rPr>
                    <w:t>10.0</w:t>
                  </w:r>
                </w:p>
              </w:tc>
            </w:tr>
            <w:tr w:rsidR="002A4811" w:rsidTr="00204AD4">
              <w:tc>
                <w:tcPr>
                  <w:tcW w:w="1582"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80% - 89%</w:t>
                  </w:r>
                </w:p>
              </w:tc>
              <w:tc>
                <w:tcPr>
                  <w:tcW w:w="2033"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Shkëlqyeshëm</w:t>
                  </w:r>
                </w:p>
              </w:tc>
              <w:tc>
                <w:tcPr>
                  <w:tcW w:w="858"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jc w:val="center"/>
                    <w:rPr>
                      <w:lang w:val="sq-AL"/>
                    </w:rPr>
                  </w:pPr>
                  <w:r>
                    <w:rPr>
                      <w:lang w:val="sq-AL"/>
                    </w:rPr>
                    <w:t>9.0</w:t>
                  </w:r>
                </w:p>
              </w:tc>
            </w:tr>
            <w:tr w:rsidR="002A4811" w:rsidTr="00204AD4">
              <w:tc>
                <w:tcPr>
                  <w:tcW w:w="1582"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70% - 79%</w:t>
                  </w:r>
                </w:p>
              </w:tc>
              <w:tc>
                <w:tcPr>
                  <w:tcW w:w="2033"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Shumë mirë</w:t>
                  </w:r>
                </w:p>
              </w:tc>
              <w:tc>
                <w:tcPr>
                  <w:tcW w:w="858"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jc w:val="center"/>
                    <w:rPr>
                      <w:lang w:val="sq-AL"/>
                    </w:rPr>
                  </w:pPr>
                  <w:r>
                    <w:rPr>
                      <w:lang w:val="sq-AL"/>
                    </w:rPr>
                    <w:t>8.0</w:t>
                  </w:r>
                </w:p>
              </w:tc>
            </w:tr>
            <w:tr w:rsidR="002A4811" w:rsidTr="00204AD4">
              <w:tc>
                <w:tcPr>
                  <w:tcW w:w="1582"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60% - 69%</w:t>
                  </w:r>
                </w:p>
              </w:tc>
              <w:tc>
                <w:tcPr>
                  <w:tcW w:w="2033"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Mirë</w:t>
                  </w:r>
                </w:p>
              </w:tc>
              <w:tc>
                <w:tcPr>
                  <w:tcW w:w="858"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jc w:val="center"/>
                    <w:rPr>
                      <w:lang w:val="sq-AL"/>
                    </w:rPr>
                  </w:pPr>
                  <w:r>
                    <w:rPr>
                      <w:lang w:val="sq-AL"/>
                    </w:rPr>
                    <w:t>7.0</w:t>
                  </w:r>
                </w:p>
              </w:tc>
            </w:tr>
            <w:tr w:rsidR="002A4811" w:rsidTr="00204AD4">
              <w:tc>
                <w:tcPr>
                  <w:tcW w:w="1582"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50% - 59%</w:t>
                  </w:r>
                </w:p>
              </w:tc>
              <w:tc>
                <w:tcPr>
                  <w:tcW w:w="2033"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Kaluese</w:t>
                  </w:r>
                </w:p>
              </w:tc>
              <w:tc>
                <w:tcPr>
                  <w:tcW w:w="858"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jc w:val="center"/>
                    <w:rPr>
                      <w:lang w:val="sq-AL"/>
                    </w:rPr>
                  </w:pPr>
                  <w:r>
                    <w:rPr>
                      <w:lang w:val="sq-AL"/>
                    </w:rPr>
                    <w:t>6.0</w:t>
                  </w:r>
                </w:p>
              </w:tc>
            </w:tr>
            <w:tr w:rsidR="002A4811" w:rsidTr="00204AD4">
              <w:tc>
                <w:tcPr>
                  <w:tcW w:w="1582"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r>
                    <w:rPr>
                      <w:lang w:val="sq-AL"/>
                    </w:rPr>
                    <w:t>49% dhe nën</w:t>
                  </w:r>
                </w:p>
              </w:tc>
              <w:tc>
                <w:tcPr>
                  <w:tcW w:w="2033"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rPr>
                      <w:lang w:val="sq-AL"/>
                    </w:rPr>
                  </w:pPr>
                  <w:proofErr w:type="spellStart"/>
                  <w:r>
                    <w:rPr>
                      <w:lang w:val="sq-AL"/>
                    </w:rPr>
                    <w:t>Jokaluese</w:t>
                  </w:r>
                  <w:proofErr w:type="spellEnd"/>
                </w:p>
              </w:tc>
              <w:tc>
                <w:tcPr>
                  <w:tcW w:w="858" w:type="dxa"/>
                  <w:tcBorders>
                    <w:top w:val="single" w:sz="4" w:space="0" w:color="auto"/>
                    <w:left w:val="single" w:sz="4" w:space="0" w:color="auto"/>
                    <w:bottom w:val="single" w:sz="4" w:space="0" w:color="auto"/>
                    <w:right w:val="single" w:sz="4" w:space="0" w:color="auto"/>
                  </w:tcBorders>
                  <w:hideMark/>
                </w:tcPr>
                <w:p w:rsidR="002A4811" w:rsidRDefault="002A4811" w:rsidP="00204AD4">
                  <w:pPr>
                    <w:spacing w:line="276" w:lineRule="auto"/>
                    <w:jc w:val="center"/>
                    <w:rPr>
                      <w:lang w:val="sq-AL"/>
                    </w:rPr>
                  </w:pPr>
                  <w:r>
                    <w:rPr>
                      <w:lang w:val="sq-AL"/>
                    </w:rPr>
                    <w:t>5.0</w:t>
                  </w:r>
                </w:p>
              </w:tc>
            </w:tr>
          </w:tbl>
          <w:p w:rsidR="002A4811" w:rsidRDefault="002A4811" w:rsidP="002A4811">
            <w:pPr>
              <w:spacing w:line="276" w:lineRule="auto"/>
              <w:rPr>
                <w:lang w:val="sq-AL"/>
              </w:rPr>
            </w:pPr>
          </w:p>
          <w:p w:rsidR="002A4811" w:rsidRDefault="002A4811" w:rsidP="002A4811">
            <w:pPr>
              <w:spacing w:line="276" w:lineRule="auto"/>
              <w:ind w:left="2160" w:hanging="2160"/>
              <w:rPr>
                <w:lang w:val="sq-AL"/>
              </w:rPr>
            </w:pPr>
            <w:r>
              <w:rPr>
                <w:lang w:val="sq-AL"/>
              </w:rPr>
              <w:t xml:space="preserve">Gjatë notimit do të merren parasysh kriteret vijuese: </w:t>
            </w:r>
          </w:p>
          <w:p w:rsidR="002A4811" w:rsidRDefault="002A4811" w:rsidP="002A4811">
            <w:pPr>
              <w:pStyle w:val="ListParagraph1"/>
              <w:numPr>
                <w:ilvl w:val="0"/>
                <w:numId w:val="3"/>
              </w:numPr>
              <w:jc w:val="both"/>
              <w:rPr>
                <w:rFonts w:ascii="Times New Roman" w:hAnsi="Times New Roman"/>
                <w:sz w:val="24"/>
                <w:szCs w:val="24"/>
                <w:lang w:val="sq-AL"/>
              </w:rPr>
            </w:pPr>
            <w:r>
              <w:rPr>
                <w:rFonts w:ascii="Times New Roman" w:hAnsi="Times New Roman"/>
                <w:i/>
                <w:sz w:val="24"/>
                <w:szCs w:val="24"/>
                <w:lang w:val="sq-AL"/>
              </w:rPr>
              <w:t>Vijimi i rregullt në ligjërata</w:t>
            </w:r>
            <w:r>
              <w:rPr>
                <w:rFonts w:ascii="Times New Roman" w:hAnsi="Times New Roman"/>
                <w:sz w:val="24"/>
                <w:szCs w:val="24"/>
                <w:lang w:val="sq-AL"/>
              </w:rPr>
              <w:t xml:space="preserve">   .......................... </w:t>
            </w:r>
            <w:r>
              <w:rPr>
                <w:rFonts w:ascii="Times New Roman" w:hAnsi="Times New Roman"/>
                <w:b/>
                <w:sz w:val="24"/>
                <w:szCs w:val="24"/>
                <w:lang w:val="sq-AL"/>
              </w:rPr>
              <w:t>5%</w:t>
            </w:r>
          </w:p>
          <w:p w:rsidR="002A4811" w:rsidRDefault="002A4811" w:rsidP="002A4811">
            <w:pPr>
              <w:pStyle w:val="ListParagraph1"/>
              <w:numPr>
                <w:ilvl w:val="0"/>
                <w:numId w:val="3"/>
              </w:numPr>
              <w:jc w:val="both"/>
              <w:rPr>
                <w:rFonts w:ascii="Times New Roman" w:hAnsi="Times New Roman"/>
                <w:sz w:val="24"/>
                <w:szCs w:val="24"/>
                <w:lang w:val="sq-AL"/>
              </w:rPr>
            </w:pPr>
            <w:r>
              <w:rPr>
                <w:rFonts w:ascii="Times New Roman" w:hAnsi="Times New Roman"/>
                <w:i/>
                <w:sz w:val="24"/>
                <w:szCs w:val="24"/>
                <w:lang w:val="sq-AL"/>
              </w:rPr>
              <w:t>Pjesëmarrja aktive në ligjërata –</w:t>
            </w:r>
            <w:r>
              <w:rPr>
                <w:rFonts w:ascii="Times New Roman" w:hAnsi="Times New Roman"/>
                <w:sz w:val="24"/>
                <w:szCs w:val="24"/>
                <w:lang w:val="sq-AL"/>
              </w:rPr>
              <w:t xml:space="preserve"> </w:t>
            </w:r>
            <w:r>
              <w:rPr>
                <w:rFonts w:ascii="Times New Roman" w:hAnsi="Times New Roman"/>
                <w:i/>
                <w:sz w:val="24"/>
                <w:szCs w:val="24"/>
                <w:lang w:val="sq-AL"/>
              </w:rPr>
              <w:t>ushtrime</w:t>
            </w:r>
            <w:r>
              <w:rPr>
                <w:rFonts w:ascii="Times New Roman" w:hAnsi="Times New Roman"/>
                <w:sz w:val="24"/>
                <w:szCs w:val="24"/>
                <w:lang w:val="sq-AL"/>
              </w:rPr>
              <w:t xml:space="preserve"> ..... </w:t>
            </w:r>
            <w:r>
              <w:rPr>
                <w:rFonts w:ascii="Times New Roman" w:hAnsi="Times New Roman"/>
                <w:b/>
                <w:sz w:val="24"/>
                <w:szCs w:val="24"/>
                <w:lang w:val="sq-AL"/>
              </w:rPr>
              <w:t>5%</w:t>
            </w:r>
          </w:p>
          <w:p w:rsidR="002A4811" w:rsidRDefault="002A4811" w:rsidP="002A4811">
            <w:pPr>
              <w:pStyle w:val="ListParagraph1"/>
              <w:numPr>
                <w:ilvl w:val="0"/>
                <w:numId w:val="3"/>
              </w:numPr>
              <w:jc w:val="both"/>
              <w:rPr>
                <w:rFonts w:ascii="Times New Roman" w:hAnsi="Times New Roman"/>
                <w:sz w:val="24"/>
                <w:szCs w:val="24"/>
                <w:lang w:val="sq-AL"/>
              </w:rPr>
            </w:pPr>
            <w:r>
              <w:rPr>
                <w:rFonts w:ascii="Times New Roman" w:hAnsi="Times New Roman"/>
                <w:i/>
                <w:sz w:val="24"/>
                <w:szCs w:val="24"/>
                <w:lang w:val="sq-AL"/>
              </w:rPr>
              <w:t xml:space="preserve">Puna në grupe </w:t>
            </w:r>
            <w:r>
              <w:rPr>
                <w:rFonts w:ascii="Times New Roman" w:hAnsi="Times New Roman"/>
                <w:sz w:val="24"/>
                <w:szCs w:val="24"/>
                <w:lang w:val="sq-AL"/>
              </w:rPr>
              <w:t xml:space="preserve">– </w:t>
            </w:r>
            <w:r>
              <w:rPr>
                <w:rFonts w:ascii="Times New Roman" w:hAnsi="Times New Roman"/>
                <w:i/>
                <w:sz w:val="24"/>
                <w:szCs w:val="24"/>
                <w:lang w:val="sq-AL"/>
              </w:rPr>
              <w:t>prezantime  ..........................</w:t>
            </w:r>
            <w:r>
              <w:rPr>
                <w:rFonts w:ascii="Times New Roman" w:hAnsi="Times New Roman"/>
                <w:b/>
                <w:sz w:val="24"/>
                <w:szCs w:val="24"/>
                <w:lang w:val="sq-AL"/>
              </w:rPr>
              <w:t>10%</w:t>
            </w:r>
          </w:p>
          <w:p w:rsidR="002A4811" w:rsidRDefault="002A4811" w:rsidP="002A4811">
            <w:pPr>
              <w:pStyle w:val="ListParagraph1"/>
              <w:numPr>
                <w:ilvl w:val="0"/>
                <w:numId w:val="3"/>
              </w:numPr>
              <w:jc w:val="both"/>
              <w:rPr>
                <w:rFonts w:ascii="Times New Roman" w:hAnsi="Times New Roman"/>
                <w:sz w:val="24"/>
                <w:szCs w:val="24"/>
                <w:lang w:val="sq-AL"/>
              </w:rPr>
            </w:pPr>
            <w:r>
              <w:rPr>
                <w:rFonts w:ascii="Times New Roman" w:hAnsi="Times New Roman"/>
                <w:i/>
                <w:sz w:val="24"/>
                <w:szCs w:val="24"/>
                <w:lang w:val="sq-AL"/>
              </w:rPr>
              <w:t xml:space="preserve">Vlerësimi i parë </w:t>
            </w:r>
            <w:proofErr w:type="spellStart"/>
            <w:r>
              <w:rPr>
                <w:rFonts w:ascii="Times New Roman" w:hAnsi="Times New Roman"/>
                <w:i/>
                <w:sz w:val="24"/>
                <w:szCs w:val="24"/>
                <w:lang w:val="sq-AL"/>
              </w:rPr>
              <w:t>intermediar</w:t>
            </w:r>
            <w:proofErr w:type="spellEnd"/>
            <w:r>
              <w:rPr>
                <w:rFonts w:ascii="Times New Roman" w:hAnsi="Times New Roman"/>
                <w:sz w:val="24"/>
                <w:szCs w:val="24"/>
                <w:lang w:val="sq-AL"/>
              </w:rPr>
              <w:t xml:space="preserve">  ......................... </w:t>
            </w:r>
            <w:r>
              <w:rPr>
                <w:rFonts w:ascii="Times New Roman" w:hAnsi="Times New Roman"/>
                <w:b/>
                <w:sz w:val="24"/>
                <w:szCs w:val="24"/>
                <w:lang w:val="sq-AL"/>
              </w:rPr>
              <w:t>10%</w:t>
            </w:r>
          </w:p>
          <w:p w:rsidR="002A4811" w:rsidRDefault="002A4811" w:rsidP="002A4811">
            <w:pPr>
              <w:pStyle w:val="ListParagraph1"/>
              <w:numPr>
                <w:ilvl w:val="0"/>
                <w:numId w:val="3"/>
              </w:numPr>
              <w:jc w:val="both"/>
              <w:rPr>
                <w:rFonts w:ascii="Times New Roman" w:hAnsi="Times New Roman"/>
                <w:sz w:val="24"/>
                <w:szCs w:val="24"/>
                <w:lang w:val="sq-AL"/>
              </w:rPr>
            </w:pPr>
            <w:r>
              <w:rPr>
                <w:rFonts w:ascii="Times New Roman" w:hAnsi="Times New Roman"/>
                <w:i/>
                <w:sz w:val="24"/>
                <w:szCs w:val="24"/>
                <w:lang w:val="sq-AL"/>
              </w:rPr>
              <w:t xml:space="preserve">Vlerësimi i dytë </w:t>
            </w:r>
            <w:proofErr w:type="spellStart"/>
            <w:r>
              <w:rPr>
                <w:rFonts w:ascii="Times New Roman" w:hAnsi="Times New Roman"/>
                <w:i/>
                <w:sz w:val="24"/>
                <w:szCs w:val="24"/>
                <w:lang w:val="sq-AL"/>
              </w:rPr>
              <w:t>intermediar</w:t>
            </w:r>
            <w:proofErr w:type="spellEnd"/>
            <w:r>
              <w:rPr>
                <w:rFonts w:ascii="Times New Roman" w:hAnsi="Times New Roman"/>
                <w:sz w:val="24"/>
                <w:szCs w:val="24"/>
                <w:lang w:val="sq-AL"/>
              </w:rPr>
              <w:t xml:space="preserve">   ......................... </w:t>
            </w:r>
            <w:r>
              <w:rPr>
                <w:rFonts w:ascii="Times New Roman" w:hAnsi="Times New Roman"/>
                <w:b/>
                <w:sz w:val="24"/>
                <w:szCs w:val="24"/>
                <w:lang w:val="sq-AL"/>
              </w:rPr>
              <w:t>10%</w:t>
            </w:r>
          </w:p>
          <w:p w:rsidR="002A4811" w:rsidRDefault="002A4811" w:rsidP="002A4811">
            <w:pPr>
              <w:pStyle w:val="ListParagraph1"/>
              <w:numPr>
                <w:ilvl w:val="0"/>
                <w:numId w:val="3"/>
              </w:numPr>
              <w:jc w:val="both"/>
              <w:rPr>
                <w:rFonts w:ascii="Times New Roman" w:hAnsi="Times New Roman"/>
                <w:sz w:val="24"/>
                <w:szCs w:val="24"/>
                <w:lang w:val="sq-AL"/>
              </w:rPr>
            </w:pPr>
            <w:r>
              <w:rPr>
                <w:rFonts w:ascii="Times New Roman" w:hAnsi="Times New Roman"/>
                <w:i/>
                <w:sz w:val="24"/>
                <w:szCs w:val="24"/>
                <w:lang w:val="sq-AL"/>
              </w:rPr>
              <w:t>Provimi final</w:t>
            </w:r>
            <w:r>
              <w:rPr>
                <w:rFonts w:ascii="Times New Roman" w:hAnsi="Times New Roman"/>
                <w:sz w:val="24"/>
                <w:szCs w:val="24"/>
                <w:lang w:val="sq-AL"/>
              </w:rPr>
              <w:t xml:space="preserve"> </w:t>
            </w:r>
            <w:r>
              <w:rPr>
                <w:rFonts w:ascii="Times New Roman" w:hAnsi="Times New Roman"/>
                <w:sz w:val="24"/>
                <w:szCs w:val="24"/>
                <w:lang w:val="sq-AL"/>
              </w:rPr>
              <w:tab/>
            </w:r>
            <w:r>
              <w:rPr>
                <w:rFonts w:ascii="Times New Roman" w:hAnsi="Times New Roman"/>
                <w:sz w:val="24"/>
                <w:szCs w:val="24"/>
                <w:lang w:val="sq-AL"/>
              </w:rPr>
              <w:tab/>
              <w:t xml:space="preserve">      ..........................</w:t>
            </w:r>
            <w:r>
              <w:rPr>
                <w:rFonts w:ascii="Times New Roman" w:hAnsi="Times New Roman"/>
                <w:b/>
                <w:sz w:val="24"/>
                <w:szCs w:val="24"/>
                <w:lang w:val="sq-AL"/>
              </w:rPr>
              <w:t>60%</w:t>
            </w:r>
          </w:p>
          <w:p w:rsidR="002A4811" w:rsidRDefault="002A4811" w:rsidP="002A4811">
            <w:pPr>
              <w:spacing w:line="276" w:lineRule="auto"/>
              <w:ind w:left="2160" w:hanging="2160"/>
              <w:rPr>
                <w:bCs/>
                <w:lang w:val="sq-AL"/>
              </w:rPr>
            </w:pPr>
          </w:p>
          <w:p w:rsidR="002A4811" w:rsidRDefault="002A4811" w:rsidP="002A4811">
            <w:pPr>
              <w:pStyle w:val="NoSpacing"/>
              <w:spacing w:line="276" w:lineRule="auto"/>
              <w:rPr>
                <w:rFonts w:ascii="Calibri" w:hAnsi="Calibri"/>
                <w:i/>
                <w:sz w:val="22"/>
                <w:szCs w:val="22"/>
                <w:lang w:val="sq-AL"/>
              </w:rPr>
            </w:pPr>
          </w:p>
          <w:p w:rsidR="002A4811" w:rsidRDefault="002A4811" w:rsidP="002A4811">
            <w:pPr>
              <w:pStyle w:val="NoSpacing"/>
              <w:rPr>
                <w:rFonts w:ascii="Calibri" w:hAnsi="Calibri"/>
                <w:i/>
                <w:sz w:val="20"/>
                <w:szCs w:val="20"/>
              </w:rPr>
            </w:pPr>
          </w:p>
        </w:tc>
      </w:tr>
      <w:tr w:rsidR="002A4811" w:rsidTr="002A4811">
        <w:tc>
          <w:tcPr>
            <w:tcW w:w="3617" w:type="dxa"/>
            <w:tcBorders>
              <w:top w:val="single" w:sz="4" w:space="0" w:color="000000"/>
              <w:left w:val="single" w:sz="4" w:space="0" w:color="000000"/>
              <w:bottom w:val="single" w:sz="4" w:space="0" w:color="000000"/>
              <w:right w:val="single" w:sz="4" w:space="0" w:color="000000"/>
            </w:tcBorders>
          </w:tcPr>
          <w:p w:rsidR="002A4811" w:rsidRDefault="002A4811">
            <w:pPr>
              <w:pStyle w:val="NoSpacing"/>
              <w:rPr>
                <w:rFonts w:ascii="Calibri" w:hAnsi="Calibri"/>
                <w:b/>
              </w:rPr>
            </w:pPr>
          </w:p>
          <w:p w:rsidR="002A4811" w:rsidRDefault="002A4811">
            <w:pPr>
              <w:pStyle w:val="NoSpacing"/>
              <w:rPr>
                <w:rFonts w:ascii="Calibri" w:hAnsi="Calibri"/>
                <w:b/>
              </w:rPr>
            </w:pPr>
          </w:p>
        </w:tc>
        <w:tc>
          <w:tcPr>
            <w:tcW w:w="5239" w:type="dxa"/>
            <w:gridSpan w:val="3"/>
            <w:tcBorders>
              <w:top w:val="single" w:sz="4" w:space="0" w:color="000000"/>
              <w:left w:val="single" w:sz="4" w:space="0" w:color="000000"/>
              <w:bottom w:val="single" w:sz="4" w:space="0" w:color="000000"/>
              <w:right w:val="single" w:sz="4" w:space="0" w:color="000000"/>
            </w:tcBorders>
          </w:tcPr>
          <w:p w:rsidR="002A4811" w:rsidRDefault="002A4811">
            <w:pPr>
              <w:autoSpaceDE w:val="0"/>
              <w:autoSpaceDN w:val="0"/>
              <w:adjustRightInd w:val="0"/>
              <w:rPr>
                <w:bCs/>
                <w:iCs/>
                <w:lang w:val="sq-AL" w:eastAsia="de-DE"/>
              </w:rPr>
            </w:pPr>
          </w:p>
        </w:tc>
      </w:tr>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2A4811" w:rsidRDefault="002A4811">
            <w:pPr>
              <w:pStyle w:val="NoSpacing"/>
              <w:rPr>
                <w:rFonts w:ascii="Calibri" w:hAnsi="Calibri"/>
                <w:b/>
              </w:rPr>
            </w:pPr>
            <w:proofErr w:type="spellStart"/>
            <w:r>
              <w:rPr>
                <w:rFonts w:ascii="Calibri" w:hAnsi="Calibri"/>
                <w:b/>
              </w:rPr>
              <w:lastRenderedPageBreak/>
              <w:t>Literatura</w:t>
            </w:r>
            <w:proofErr w:type="spellEnd"/>
            <w:r>
              <w:rPr>
                <w:rFonts w:ascii="Calibri" w:hAnsi="Calibri"/>
                <w:b/>
              </w:rPr>
              <w:t xml:space="preserve"> </w:t>
            </w:r>
          </w:p>
        </w:tc>
      </w:tr>
      <w:tr w:rsidR="002A4811" w:rsidTr="002A4811">
        <w:tc>
          <w:tcPr>
            <w:tcW w:w="8856" w:type="dxa"/>
            <w:gridSpan w:val="4"/>
            <w:tcBorders>
              <w:top w:val="single" w:sz="4" w:space="0" w:color="000000"/>
              <w:left w:val="single" w:sz="4" w:space="0" w:color="000000"/>
              <w:bottom w:val="single" w:sz="4" w:space="0" w:color="000000"/>
              <w:right w:val="single" w:sz="4" w:space="0" w:color="000000"/>
            </w:tcBorders>
            <w:shd w:val="clear" w:color="auto" w:fill="D9D9D9"/>
          </w:tcPr>
          <w:p w:rsidR="002A4811" w:rsidRDefault="002A4811">
            <w:pPr>
              <w:pStyle w:val="NoSpacing"/>
              <w:rPr>
                <w:rFonts w:ascii="Calibri" w:hAnsi="Calibri"/>
                <w:b/>
              </w:rPr>
            </w:pP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rPr>
            </w:pPr>
            <w:proofErr w:type="spellStart"/>
            <w:r>
              <w:rPr>
                <w:rFonts w:ascii="Calibri" w:hAnsi="Calibri"/>
                <w:b/>
              </w:rPr>
              <w:t>Literatura</w:t>
            </w:r>
            <w:proofErr w:type="spellEnd"/>
            <w:r>
              <w:rPr>
                <w:rFonts w:ascii="Calibri" w:hAnsi="Calibri"/>
                <w:b/>
              </w:rPr>
              <w:t xml:space="preserve"> </w:t>
            </w:r>
            <w:proofErr w:type="spellStart"/>
            <w:r>
              <w:rPr>
                <w:rFonts w:ascii="Calibri" w:hAnsi="Calibri"/>
                <w:b/>
              </w:rPr>
              <w:t>bazë</w:t>
            </w:r>
            <w:proofErr w:type="spellEnd"/>
            <w:r>
              <w:rPr>
                <w:rFonts w:ascii="Calibri" w:hAnsi="Calibri"/>
                <w:b/>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Default="002A4811">
            <w:pPr>
              <w:rPr>
                <w:lang w:val="sq-AL" w:eastAsia="de-DE"/>
              </w:rPr>
            </w:pPr>
            <w:r>
              <w:rPr>
                <w:lang w:val="sq-AL" w:eastAsia="de-DE"/>
              </w:rPr>
              <w:t xml:space="preserve">- </w:t>
            </w:r>
            <w:proofErr w:type="spellStart"/>
            <w:r>
              <w:rPr>
                <w:lang w:val="sq-AL" w:eastAsia="de-DE"/>
              </w:rPr>
              <w:t>Brestovci</w:t>
            </w:r>
            <w:proofErr w:type="spellEnd"/>
            <w:r>
              <w:rPr>
                <w:lang w:val="sq-AL" w:eastAsia="de-DE"/>
              </w:rPr>
              <w:t xml:space="preserve">, Faik, E drejta procedurale civile II, Prishtinë 2oo4 </w:t>
            </w:r>
          </w:p>
          <w:p w:rsidR="002A4811" w:rsidRDefault="002A4811">
            <w:pPr>
              <w:rPr>
                <w:lang w:val="sq-AL" w:eastAsia="de-DE"/>
              </w:rPr>
            </w:pPr>
            <w:r>
              <w:rPr>
                <w:lang w:val="sq-AL" w:eastAsia="de-DE"/>
              </w:rPr>
              <w:t>- Morina,</w:t>
            </w:r>
            <w:r>
              <w:rPr>
                <w:bCs/>
                <w:noProof/>
                <w:lang w:val="sq-AL"/>
              </w:rPr>
              <w:t xml:space="preserve"> Iset, </w:t>
            </w:r>
            <w:r>
              <w:rPr>
                <w:lang w:val="sq-AL"/>
              </w:rPr>
              <w:t>E drejta e procedurës civile, në: Hyrje në sistemin ligjor në Kosovë, Akademia e Drejtësisë, Prishtinë 2019</w:t>
            </w:r>
          </w:p>
          <w:p w:rsidR="002A4811" w:rsidRDefault="002A4811">
            <w:pPr>
              <w:ind w:left="1440" w:hanging="1440"/>
              <w:rPr>
                <w:rFonts w:ascii="Cambria" w:hAnsi="Cambria"/>
                <w:b/>
                <w:noProof/>
                <w:lang w:val="sq-AL"/>
              </w:rPr>
            </w:pPr>
            <w:r>
              <w:rPr>
                <w:rFonts w:ascii="Cambria" w:hAnsi="Cambria"/>
                <w:b/>
                <w:noProof/>
                <w:lang w:val="sq-AL"/>
              </w:rPr>
              <w:t xml:space="preserve">Ligjet: </w:t>
            </w:r>
          </w:p>
          <w:p w:rsidR="002A4811" w:rsidRDefault="002A4811">
            <w:pPr>
              <w:ind w:left="1440" w:hanging="1440"/>
              <w:jc w:val="both"/>
              <w:rPr>
                <w:rFonts w:ascii="Cambria" w:hAnsi="Cambria"/>
                <w:noProof/>
                <w:lang w:val="sq-AL"/>
              </w:rPr>
            </w:pPr>
            <w:r>
              <w:rPr>
                <w:rFonts w:ascii="Cambria" w:hAnsi="Cambria"/>
                <w:noProof/>
                <w:lang w:val="sq-AL"/>
              </w:rPr>
              <w:t>Ligji për procedurën kontestimore</w:t>
            </w:r>
          </w:p>
          <w:p w:rsidR="002A4811" w:rsidRDefault="002A4811">
            <w:pPr>
              <w:jc w:val="both"/>
              <w:rPr>
                <w:rFonts w:ascii="Cambria" w:hAnsi="Cambria"/>
                <w:i/>
                <w:noProof/>
                <w:u w:val="single"/>
                <w:lang w:val="sq-AL"/>
              </w:rPr>
            </w:pPr>
            <w:r>
              <w:rPr>
                <w:rFonts w:ascii="Cambria" w:hAnsi="Cambria"/>
                <w:noProof/>
                <w:lang w:val="sq-AL"/>
              </w:rPr>
              <w:t>Ligji për procedurën përmbarimore</w:t>
            </w:r>
          </w:p>
          <w:p w:rsidR="002A4811" w:rsidRDefault="002A4811">
            <w:pPr>
              <w:autoSpaceDE w:val="0"/>
              <w:autoSpaceDN w:val="0"/>
              <w:adjustRightInd w:val="0"/>
              <w:jc w:val="both"/>
              <w:rPr>
                <w:rFonts w:ascii="Cambria" w:hAnsi="Cambria"/>
                <w:noProof/>
                <w:lang w:val="sq-AL" w:eastAsia="de-DE"/>
              </w:rPr>
            </w:pPr>
            <w:r>
              <w:rPr>
                <w:rFonts w:ascii="Cambria" w:hAnsi="Cambria"/>
                <w:noProof/>
                <w:lang w:val="sq-AL"/>
              </w:rPr>
              <w:t xml:space="preserve">Ligji për procedurën jokontestimore </w:t>
            </w:r>
          </w:p>
          <w:p w:rsidR="002A4811" w:rsidRDefault="002A4811">
            <w:pPr>
              <w:autoSpaceDE w:val="0"/>
              <w:autoSpaceDN w:val="0"/>
              <w:adjustRightInd w:val="0"/>
              <w:jc w:val="both"/>
              <w:rPr>
                <w:rFonts w:ascii="Calibri" w:hAnsi="Calibri"/>
                <w:i/>
                <w:sz w:val="22"/>
                <w:szCs w:val="22"/>
              </w:rPr>
            </w:pPr>
            <w:r>
              <w:rPr>
                <w:rFonts w:ascii="Cambria" w:hAnsi="Cambria"/>
                <w:noProof/>
                <w:lang w:val="sq-AL" w:eastAsia="de-DE"/>
              </w:rPr>
              <w:t>Ligji për  gjykatat</w:t>
            </w:r>
          </w:p>
        </w:tc>
      </w:tr>
      <w:tr w:rsidR="002A4811" w:rsidTr="002A4811">
        <w:tc>
          <w:tcPr>
            <w:tcW w:w="3617" w:type="dxa"/>
            <w:tcBorders>
              <w:top w:val="single" w:sz="4" w:space="0" w:color="000000"/>
              <w:left w:val="single" w:sz="4" w:space="0" w:color="000000"/>
              <w:bottom w:val="single" w:sz="4" w:space="0" w:color="000000"/>
              <w:right w:val="single" w:sz="4" w:space="0" w:color="000000"/>
            </w:tcBorders>
            <w:hideMark/>
          </w:tcPr>
          <w:p w:rsidR="002A4811" w:rsidRDefault="002A4811">
            <w:pPr>
              <w:pStyle w:val="NoSpacing"/>
              <w:rPr>
                <w:rFonts w:ascii="Calibri" w:hAnsi="Calibri"/>
                <w:b/>
              </w:rPr>
            </w:pPr>
            <w:proofErr w:type="spellStart"/>
            <w:r>
              <w:rPr>
                <w:rFonts w:ascii="Calibri" w:hAnsi="Calibri"/>
                <w:b/>
              </w:rPr>
              <w:t>Literatura</w:t>
            </w:r>
            <w:proofErr w:type="spellEnd"/>
            <w:r>
              <w:rPr>
                <w:rFonts w:ascii="Calibri" w:hAnsi="Calibri"/>
                <w:b/>
              </w:rPr>
              <w:t xml:space="preserve"> </w:t>
            </w:r>
            <w:proofErr w:type="spellStart"/>
            <w:r>
              <w:rPr>
                <w:rFonts w:ascii="Calibri" w:hAnsi="Calibri"/>
                <w:b/>
              </w:rPr>
              <w:t>shtesë</w:t>
            </w:r>
            <w:proofErr w:type="spellEnd"/>
            <w:r>
              <w:rPr>
                <w:rFonts w:ascii="Calibri" w:hAnsi="Calibri"/>
                <w:b/>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2A4811" w:rsidRPr="002A4811" w:rsidRDefault="002A4811" w:rsidP="00204AD4">
            <w:pPr>
              <w:numPr>
                <w:ilvl w:val="0"/>
                <w:numId w:val="2"/>
              </w:numPr>
              <w:autoSpaceDE w:val="0"/>
              <w:autoSpaceDN w:val="0"/>
              <w:adjustRightInd w:val="0"/>
              <w:spacing w:line="276" w:lineRule="auto"/>
              <w:jc w:val="both"/>
              <w:rPr>
                <w:bCs/>
                <w:lang w:val="sq-AL" w:eastAsia="de-DE"/>
              </w:rPr>
            </w:pPr>
            <w:proofErr w:type="spellStart"/>
            <w:r>
              <w:rPr>
                <w:rStyle w:val="Strong"/>
                <w:rFonts w:ascii="Segoe UI" w:hAnsi="Segoe UI" w:cs="Segoe UI"/>
                <w:color w:val="2C2C2C"/>
                <w:sz w:val="17"/>
                <w:szCs w:val="17"/>
                <w:shd w:val="clear" w:color="auto" w:fill="FFFFFF"/>
              </w:rPr>
              <w:t>Rrustem</w:t>
            </w:r>
            <w:proofErr w:type="spellEnd"/>
            <w:r>
              <w:rPr>
                <w:rStyle w:val="Strong"/>
                <w:rFonts w:ascii="Segoe UI" w:hAnsi="Segoe UI" w:cs="Segoe UI"/>
                <w:color w:val="2C2C2C"/>
                <w:sz w:val="17"/>
                <w:szCs w:val="17"/>
                <w:shd w:val="clear" w:color="auto" w:fill="FFFFFF"/>
              </w:rPr>
              <w:t xml:space="preserve"> </w:t>
            </w:r>
            <w:proofErr w:type="spellStart"/>
            <w:r>
              <w:rPr>
                <w:rStyle w:val="Strong"/>
                <w:rFonts w:ascii="Segoe UI" w:hAnsi="Segoe UI" w:cs="Segoe UI"/>
                <w:color w:val="2C2C2C"/>
                <w:sz w:val="17"/>
                <w:szCs w:val="17"/>
                <w:shd w:val="clear" w:color="auto" w:fill="FFFFFF"/>
              </w:rPr>
              <w:t>Qehaja</w:t>
            </w:r>
            <w:proofErr w:type="spellEnd"/>
            <w:r>
              <w:rPr>
                <w:rStyle w:val="Strong"/>
                <w:rFonts w:ascii="Segoe UI" w:hAnsi="Segoe UI" w:cs="Segoe UI"/>
                <w:color w:val="2C2C2C"/>
                <w:sz w:val="17"/>
                <w:szCs w:val="17"/>
                <w:shd w:val="clear" w:color="auto" w:fill="FFFFFF"/>
              </w:rPr>
              <w:t xml:space="preserve"> “LEGAL BARRIERS IN THE COUNTER-EXECUTION PROCEDURE AND CONTRADICTIONS BETWEEN THE LAW ON EXECUTION PROCEDURE AND THE LAW ON OBLIGATIONS OF KOSOVO”, </w:t>
            </w:r>
            <w:proofErr w:type="gramStart"/>
            <w:r>
              <w:rPr>
                <w:rStyle w:val="Strong"/>
                <w:rFonts w:ascii="Segoe UI" w:hAnsi="Segoe UI" w:cs="Segoe UI"/>
                <w:color w:val="2C2C2C"/>
                <w:sz w:val="17"/>
                <w:szCs w:val="17"/>
                <w:shd w:val="clear" w:color="auto" w:fill="FFFFFF"/>
              </w:rPr>
              <w:t>The</w:t>
            </w:r>
            <w:proofErr w:type="gramEnd"/>
            <w:r>
              <w:rPr>
                <w:rStyle w:val="Strong"/>
                <w:rFonts w:ascii="Segoe UI" w:hAnsi="Segoe UI" w:cs="Segoe UI"/>
                <w:color w:val="2C2C2C"/>
                <w:sz w:val="17"/>
                <w:szCs w:val="17"/>
                <w:shd w:val="clear" w:color="auto" w:fill="FFFFFF"/>
              </w:rPr>
              <w:t xml:space="preserve"> Lawyer Quarterly, 2019.</w:t>
            </w:r>
          </w:p>
          <w:p w:rsidR="002A4811" w:rsidRDefault="002A4811" w:rsidP="00204AD4">
            <w:pPr>
              <w:numPr>
                <w:ilvl w:val="0"/>
                <w:numId w:val="2"/>
              </w:numPr>
              <w:autoSpaceDE w:val="0"/>
              <w:autoSpaceDN w:val="0"/>
              <w:adjustRightInd w:val="0"/>
              <w:spacing w:line="276" w:lineRule="auto"/>
              <w:jc w:val="both"/>
              <w:rPr>
                <w:bCs/>
                <w:lang w:val="sq-AL" w:eastAsia="de-DE"/>
              </w:rPr>
            </w:pPr>
            <w:r>
              <w:rPr>
                <w:noProof/>
                <w:lang w:val="sq-AL" w:eastAsia="de-DE"/>
              </w:rPr>
              <w:t xml:space="preserve">Morina, Iset (Editor), </w:t>
            </w:r>
            <w:r>
              <w:rPr>
                <w:rFonts w:eastAsia="Calibri"/>
                <w:lang w:val="sq-AL"/>
              </w:rPr>
              <w:t>Fjalor juridik – E drejta private, publike dhe penale (shqip-serbisht-anglisht-gjermanisht), Prishtinë 2019</w:t>
            </w:r>
          </w:p>
          <w:p w:rsidR="002A4811" w:rsidRDefault="002A4811" w:rsidP="00204AD4">
            <w:pPr>
              <w:numPr>
                <w:ilvl w:val="0"/>
                <w:numId w:val="2"/>
              </w:numPr>
              <w:autoSpaceDE w:val="0"/>
              <w:autoSpaceDN w:val="0"/>
              <w:adjustRightInd w:val="0"/>
              <w:spacing w:line="276" w:lineRule="auto"/>
              <w:rPr>
                <w:rFonts w:ascii="Calibri" w:hAnsi="Calibri"/>
                <w:i/>
                <w:sz w:val="22"/>
                <w:szCs w:val="22"/>
              </w:rPr>
            </w:pPr>
            <w:r>
              <w:rPr>
                <w:bCs/>
                <w:lang w:val="sq-AL" w:eastAsia="de-DE"/>
              </w:rPr>
              <w:t xml:space="preserve">Morina, </w:t>
            </w:r>
            <w:proofErr w:type="spellStart"/>
            <w:r>
              <w:rPr>
                <w:bCs/>
                <w:lang w:val="sq-AL" w:eastAsia="de-DE"/>
              </w:rPr>
              <w:t>Iset</w:t>
            </w:r>
            <w:proofErr w:type="spellEnd"/>
            <w:r>
              <w:rPr>
                <w:bCs/>
                <w:lang w:val="sq-AL" w:eastAsia="de-DE"/>
              </w:rPr>
              <w:t>/</w:t>
            </w:r>
            <w:proofErr w:type="spellStart"/>
            <w:r>
              <w:rPr>
                <w:bCs/>
                <w:lang w:val="sq-AL" w:eastAsia="de-DE"/>
              </w:rPr>
              <w:t>Nikqi</w:t>
            </w:r>
            <w:proofErr w:type="spellEnd"/>
            <w:r>
              <w:rPr>
                <w:bCs/>
                <w:lang w:val="sq-AL" w:eastAsia="de-DE"/>
              </w:rPr>
              <w:t xml:space="preserve">, </w:t>
            </w:r>
            <w:proofErr w:type="spellStart"/>
            <w:r>
              <w:rPr>
                <w:bCs/>
                <w:lang w:val="sq-AL" w:eastAsia="de-DE"/>
              </w:rPr>
              <w:t>Selim</w:t>
            </w:r>
            <w:proofErr w:type="spellEnd"/>
            <w:r>
              <w:rPr>
                <w:bCs/>
                <w:lang w:val="sq-AL" w:eastAsia="de-DE"/>
              </w:rPr>
              <w:t>, LPK-</w:t>
            </w:r>
            <w:proofErr w:type="spellStart"/>
            <w:r>
              <w:rPr>
                <w:bCs/>
                <w:lang w:val="sq-AL" w:eastAsia="de-DE"/>
              </w:rPr>
              <w:t>Komentar</w:t>
            </w:r>
            <w:proofErr w:type="spellEnd"/>
            <w:r>
              <w:rPr>
                <w:bCs/>
                <w:lang w:val="sq-AL" w:eastAsia="de-DE"/>
              </w:rPr>
              <w:t>, Prishtinë, 2012</w:t>
            </w:r>
          </w:p>
          <w:p w:rsidR="002A4811" w:rsidRDefault="002A4811" w:rsidP="002A4811">
            <w:pPr>
              <w:autoSpaceDE w:val="0"/>
              <w:autoSpaceDN w:val="0"/>
              <w:adjustRightInd w:val="0"/>
              <w:spacing w:line="276" w:lineRule="auto"/>
              <w:ind w:left="720"/>
              <w:rPr>
                <w:rFonts w:ascii="Calibri" w:hAnsi="Calibri"/>
                <w:i/>
                <w:sz w:val="22"/>
                <w:szCs w:val="22"/>
              </w:rPr>
            </w:pPr>
            <w:r>
              <w:rPr>
                <w:lang w:val="sq-AL" w:eastAsia="de-DE"/>
              </w:rPr>
              <w:t>)</w:t>
            </w:r>
          </w:p>
        </w:tc>
      </w:tr>
    </w:tbl>
    <w:p w:rsidR="002A4811" w:rsidRDefault="002A4811" w:rsidP="002A4811">
      <w:pPr>
        <w:rPr>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138"/>
      </w:tblGrid>
      <w:tr w:rsidR="002A4811" w:rsidTr="002A4811">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2A4811" w:rsidRDefault="002A4811">
            <w:pPr>
              <w:rPr>
                <w:rFonts w:ascii="Calibri" w:hAnsi="Calibri"/>
                <w:b/>
              </w:rPr>
            </w:pPr>
            <w:proofErr w:type="spellStart"/>
            <w:r>
              <w:rPr>
                <w:rFonts w:ascii="Calibri" w:hAnsi="Calibri"/>
                <w:b/>
              </w:rPr>
              <w:t>Plani</w:t>
            </w:r>
            <w:proofErr w:type="spellEnd"/>
            <w:r>
              <w:rPr>
                <w:rFonts w:ascii="Calibri" w:hAnsi="Calibri"/>
                <w:b/>
              </w:rPr>
              <w:t xml:space="preserve"> </w:t>
            </w:r>
            <w:proofErr w:type="spellStart"/>
            <w:r>
              <w:rPr>
                <w:rFonts w:ascii="Calibri" w:hAnsi="Calibri"/>
                <w:b/>
              </w:rPr>
              <w:t>i</w:t>
            </w:r>
            <w:proofErr w:type="spellEnd"/>
            <w:r>
              <w:rPr>
                <w:rFonts w:ascii="Calibri" w:hAnsi="Calibri"/>
                <w:b/>
              </w:rPr>
              <w:t xml:space="preserve"> </w:t>
            </w:r>
            <w:proofErr w:type="spellStart"/>
            <w:r>
              <w:rPr>
                <w:rFonts w:ascii="Calibri" w:hAnsi="Calibri"/>
                <w:b/>
              </w:rPr>
              <w:t>dizejnuar</w:t>
            </w:r>
            <w:proofErr w:type="spellEnd"/>
            <w:r>
              <w:rPr>
                <w:rFonts w:ascii="Calibri" w:hAnsi="Calibri"/>
                <w:b/>
              </w:rPr>
              <w:t xml:space="preserve"> </w:t>
            </w:r>
            <w:proofErr w:type="spellStart"/>
            <w:r>
              <w:rPr>
                <w:rFonts w:ascii="Calibri" w:hAnsi="Calibri"/>
                <w:b/>
              </w:rPr>
              <w:t>i</w:t>
            </w:r>
            <w:proofErr w:type="spellEnd"/>
            <w:r>
              <w:rPr>
                <w:rFonts w:ascii="Calibri" w:hAnsi="Calibri"/>
                <w:b/>
              </w:rPr>
              <w:t xml:space="preserve"> </w:t>
            </w:r>
            <w:proofErr w:type="spellStart"/>
            <w:r>
              <w:rPr>
                <w:rFonts w:ascii="Calibri" w:hAnsi="Calibri"/>
                <w:b/>
              </w:rPr>
              <w:t>mësimit</w:t>
            </w:r>
            <w:proofErr w:type="spellEnd"/>
            <w:r>
              <w:rPr>
                <w:rFonts w:ascii="Calibri" w:hAnsi="Calibri"/>
                <w:b/>
              </w:rPr>
              <w:t xml:space="preserve">:  </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rsidR="002A4811" w:rsidRDefault="002A4811">
            <w:pPr>
              <w:rPr>
                <w:rFonts w:ascii="Calibri" w:hAnsi="Calibri"/>
                <w:b/>
              </w:rPr>
            </w:pPr>
            <w:r>
              <w:rPr>
                <w:rFonts w:ascii="Calibri" w:hAnsi="Calibri"/>
                <w:b/>
              </w:rPr>
              <w:t>Java</w:t>
            </w:r>
          </w:p>
        </w:tc>
        <w:tc>
          <w:tcPr>
            <w:tcW w:w="6138" w:type="dxa"/>
            <w:tcBorders>
              <w:top w:val="single" w:sz="4" w:space="0" w:color="000000"/>
              <w:left w:val="single" w:sz="4" w:space="0" w:color="000000"/>
              <w:bottom w:val="single" w:sz="4" w:space="0" w:color="000000"/>
              <w:right w:val="single" w:sz="4" w:space="0" w:color="000000"/>
            </w:tcBorders>
            <w:shd w:val="clear" w:color="auto" w:fill="D9D9D9"/>
            <w:hideMark/>
          </w:tcPr>
          <w:p w:rsidR="002A4811" w:rsidRDefault="002A4811">
            <w:pPr>
              <w:rPr>
                <w:rFonts w:ascii="Calibri" w:hAnsi="Calibri"/>
                <w:b/>
              </w:rPr>
            </w:pPr>
            <w:proofErr w:type="spellStart"/>
            <w:r>
              <w:rPr>
                <w:rFonts w:ascii="Calibri" w:hAnsi="Calibri"/>
                <w:b/>
              </w:rPr>
              <w:t>Ligjerata</w:t>
            </w:r>
            <w:proofErr w:type="spellEnd"/>
            <w:r>
              <w:rPr>
                <w:rFonts w:ascii="Calibri" w:hAnsi="Calibri"/>
                <w:b/>
              </w:rPr>
              <w:t xml:space="preserve"> </w:t>
            </w:r>
            <w:proofErr w:type="spellStart"/>
            <w:r>
              <w:rPr>
                <w:rFonts w:ascii="Calibri" w:hAnsi="Calibri"/>
                <w:b/>
              </w:rPr>
              <w:t>që</w:t>
            </w:r>
            <w:proofErr w:type="spellEnd"/>
            <w:r>
              <w:rPr>
                <w:rFonts w:ascii="Calibri" w:hAnsi="Calibri"/>
                <w:b/>
              </w:rPr>
              <w:t xml:space="preserve"> do </w:t>
            </w:r>
            <w:proofErr w:type="spellStart"/>
            <w:r>
              <w:rPr>
                <w:rFonts w:ascii="Calibri" w:hAnsi="Calibri"/>
                <w:b/>
              </w:rPr>
              <w:t>të</w:t>
            </w:r>
            <w:proofErr w:type="spellEnd"/>
            <w:r>
              <w:rPr>
                <w:rFonts w:ascii="Calibri" w:hAnsi="Calibri"/>
                <w:b/>
              </w:rPr>
              <w:t xml:space="preserve"> </w:t>
            </w:r>
            <w:proofErr w:type="spellStart"/>
            <w:r>
              <w:rPr>
                <w:rFonts w:ascii="Calibri" w:hAnsi="Calibri"/>
                <w:b/>
              </w:rPr>
              <w:t>zhvillohet</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parë</w:t>
            </w:r>
            <w:proofErr w:type="spellEnd"/>
            <w:r>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pStyle w:val="ListParagraph"/>
              <w:numPr>
                <w:ilvl w:val="0"/>
                <w:numId w:val="2"/>
              </w:numPr>
              <w:autoSpaceDE w:val="0"/>
              <w:autoSpaceDN w:val="0"/>
              <w:adjustRightInd w:val="0"/>
              <w:spacing w:after="0" w:line="240" w:lineRule="auto"/>
              <w:jc w:val="both"/>
              <w:rPr>
                <w:rFonts w:ascii="Times New Roman" w:hAnsi="Times New Roman"/>
                <w:noProof/>
                <w:sz w:val="24"/>
                <w:szCs w:val="24"/>
                <w:lang w:val="sq-AL" w:eastAsia="de-DE"/>
              </w:rPr>
            </w:pPr>
            <w:r>
              <w:rPr>
                <w:rFonts w:ascii="Times New Roman" w:hAnsi="Times New Roman"/>
                <w:noProof/>
                <w:sz w:val="24"/>
                <w:szCs w:val="24"/>
                <w:lang w:val="sq-AL" w:eastAsia="de-DE"/>
              </w:rPr>
              <w:t>Hyrje në të drejtën përmbarimore</w:t>
            </w:r>
          </w:p>
          <w:p w:rsidR="002A4811" w:rsidRDefault="002A4811" w:rsidP="00204AD4">
            <w:pPr>
              <w:pStyle w:val="ListParagraph"/>
              <w:numPr>
                <w:ilvl w:val="0"/>
                <w:numId w:val="2"/>
              </w:numPr>
              <w:autoSpaceDE w:val="0"/>
              <w:autoSpaceDN w:val="0"/>
              <w:adjustRightInd w:val="0"/>
              <w:spacing w:after="0" w:line="240" w:lineRule="auto"/>
              <w:jc w:val="both"/>
              <w:rPr>
                <w:rFonts w:ascii="Times New Roman" w:hAnsi="Times New Roman"/>
                <w:noProof/>
                <w:sz w:val="24"/>
                <w:szCs w:val="24"/>
                <w:lang w:val="sq-AL" w:eastAsia="de-DE"/>
              </w:rPr>
            </w:pPr>
            <w:r>
              <w:rPr>
                <w:rFonts w:ascii="Times New Roman" w:hAnsi="Times New Roman"/>
                <w:noProof/>
                <w:sz w:val="24"/>
                <w:szCs w:val="24"/>
                <w:lang w:val="sq-AL" w:eastAsia="de-DE"/>
              </w:rPr>
              <w:t>Zhvillimet aktuale në të drejtën përmbarimore</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dytë</w:t>
            </w:r>
            <w:proofErr w:type="spellEnd"/>
            <w:r>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pStyle w:val="ListParagraph"/>
              <w:numPr>
                <w:ilvl w:val="0"/>
                <w:numId w:val="2"/>
              </w:numPr>
              <w:autoSpaceDE w:val="0"/>
              <w:autoSpaceDN w:val="0"/>
              <w:adjustRightInd w:val="0"/>
              <w:spacing w:after="0" w:line="240" w:lineRule="auto"/>
              <w:jc w:val="both"/>
              <w:rPr>
                <w:rFonts w:ascii="Times New Roman" w:hAnsi="Times New Roman"/>
                <w:noProof/>
                <w:sz w:val="24"/>
                <w:szCs w:val="24"/>
                <w:lang w:val="sq-AL" w:eastAsia="de-DE"/>
              </w:rPr>
            </w:pPr>
            <w:r>
              <w:rPr>
                <w:rFonts w:ascii="Times New Roman" w:hAnsi="Times New Roman"/>
                <w:noProof/>
                <w:sz w:val="24"/>
                <w:szCs w:val="24"/>
                <w:lang w:val="sq-AL" w:eastAsia="de-DE"/>
              </w:rPr>
              <w:t>Bazat e së drejtës përmbarimore</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tretë</w:t>
            </w:r>
            <w:proofErr w:type="spellEnd"/>
            <w:r>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pStyle w:val="ListParagraph"/>
              <w:numPr>
                <w:ilvl w:val="0"/>
                <w:numId w:val="2"/>
              </w:numPr>
              <w:autoSpaceDE w:val="0"/>
              <w:autoSpaceDN w:val="0"/>
              <w:adjustRightInd w:val="0"/>
              <w:spacing w:after="0" w:line="240" w:lineRule="auto"/>
              <w:jc w:val="both"/>
              <w:rPr>
                <w:rFonts w:ascii="Times New Roman" w:hAnsi="Times New Roman"/>
                <w:noProof/>
                <w:sz w:val="24"/>
                <w:szCs w:val="24"/>
                <w:lang w:val="sq-AL" w:eastAsia="de-DE"/>
              </w:rPr>
            </w:pPr>
            <w:r>
              <w:rPr>
                <w:rFonts w:ascii="Times New Roman" w:hAnsi="Times New Roman"/>
                <w:noProof/>
                <w:sz w:val="24"/>
                <w:szCs w:val="24"/>
                <w:lang w:val="sq-AL" w:eastAsia="de-DE"/>
              </w:rPr>
              <w:t>Parimet e së drejtës së procedurës përmbarimore</w:t>
            </w:r>
          </w:p>
          <w:p w:rsidR="002A4811" w:rsidRDefault="002A4811" w:rsidP="00204AD4">
            <w:pPr>
              <w:pStyle w:val="ListParagraph"/>
              <w:numPr>
                <w:ilvl w:val="0"/>
                <w:numId w:val="2"/>
              </w:numPr>
              <w:autoSpaceDE w:val="0"/>
              <w:autoSpaceDN w:val="0"/>
              <w:adjustRightInd w:val="0"/>
              <w:spacing w:after="0" w:line="240" w:lineRule="auto"/>
              <w:jc w:val="both"/>
              <w:rPr>
                <w:rFonts w:ascii="Times New Roman" w:hAnsi="Times New Roman"/>
                <w:noProof/>
                <w:sz w:val="24"/>
                <w:szCs w:val="24"/>
                <w:lang w:val="sq-AL" w:eastAsia="de-DE"/>
              </w:rPr>
            </w:pPr>
            <w:r>
              <w:rPr>
                <w:rFonts w:ascii="Times New Roman" w:hAnsi="Times New Roman"/>
                <w:noProof/>
                <w:sz w:val="24"/>
                <w:szCs w:val="24"/>
                <w:lang w:val="sq-AL" w:eastAsia="de-DE"/>
              </w:rPr>
              <w:t>Subjektet e procedurës përmbarimore</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katërt</w:t>
            </w:r>
            <w:proofErr w:type="spellEnd"/>
            <w:r>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pPr>
            <w:proofErr w:type="spellStart"/>
            <w:r>
              <w:t>Fillimi</w:t>
            </w:r>
            <w:proofErr w:type="spellEnd"/>
            <w:r>
              <w:t xml:space="preserve"> </w:t>
            </w:r>
            <w:proofErr w:type="spellStart"/>
            <w:r>
              <w:t>i</w:t>
            </w:r>
            <w:proofErr w:type="spellEnd"/>
            <w:r>
              <w:t xml:space="preserve"> procedures </w:t>
            </w:r>
            <w:proofErr w:type="spellStart"/>
            <w:r>
              <w:t>së</w:t>
            </w:r>
            <w:proofErr w:type="spellEnd"/>
            <w:r>
              <w:t xml:space="preserve"> </w:t>
            </w:r>
            <w:proofErr w:type="spellStart"/>
            <w:r>
              <w:t>përmbarimit</w:t>
            </w:r>
            <w:proofErr w:type="spellEnd"/>
          </w:p>
          <w:p w:rsidR="002A4811" w:rsidRDefault="002A4811" w:rsidP="00204AD4">
            <w:pPr>
              <w:numPr>
                <w:ilvl w:val="0"/>
                <w:numId w:val="2"/>
              </w:numPr>
              <w:jc w:val="both"/>
            </w:pPr>
            <w:proofErr w:type="spellStart"/>
            <w:r>
              <w:t>Dokumenti</w:t>
            </w:r>
            <w:proofErr w:type="spellEnd"/>
            <w:r>
              <w:t xml:space="preserve"> </w:t>
            </w:r>
            <w:proofErr w:type="spellStart"/>
            <w:r>
              <w:t>përmbarimor</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pestë</w:t>
            </w:r>
            <w:proofErr w:type="spellEnd"/>
            <w:r>
              <w:rPr>
                <w:rFonts w:ascii="Calibri" w:hAnsi="Calibri"/>
                <w:b/>
                <w:i/>
              </w:rPr>
              <w:t>:</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lang w:val="de-DE"/>
              </w:rPr>
            </w:pPr>
            <w:r>
              <w:rPr>
                <w:lang w:val="de-DE"/>
              </w:rPr>
              <w:t>Kërkesa dhe baza për caktimin e përmbarimit</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gjashtë</w:t>
            </w:r>
            <w:proofErr w:type="spellEnd"/>
            <w:r>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rPr>
            </w:pPr>
            <w:proofErr w:type="spellStart"/>
            <w:r>
              <w:t>Mjetet</w:t>
            </w:r>
            <w:proofErr w:type="spellEnd"/>
            <w:r>
              <w:t xml:space="preserve"> e </w:t>
            </w:r>
            <w:proofErr w:type="spellStart"/>
            <w:r>
              <w:t>goditjes</w:t>
            </w:r>
            <w:proofErr w:type="spellEnd"/>
            <w:r>
              <w:t xml:space="preserve"> </w:t>
            </w:r>
            <w:proofErr w:type="spellStart"/>
            <w:r>
              <w:t>së</w:t>
            </w:r>
            <w:proofErr w:type="spellEnd"/>
            <w:r>
              <w:t xml:space="preserve"> </w:t>
            </w:r>
            <w:proofErr w:type="spellStart"/>
            <w:r>
              <w:t>vendimit</w:t>
            </w:r>
            <w:proofErr w:type="spellEnd"/>
            <w:r>
              <w:t xml:space="preserve"> </w:t>
            </w:r>
            <w:proofErr w:type="spellStart"/>
            <w:r>
              <w:t>në</w:t>
            </w:r>
            <w:proofErr w:type="spellEnd"/>
            <w:r>
              <w:t xml:space="preserve"> </w:t>
            </w:r>
            <w:proofErr w:type="spellStart"/>
            <w:r>
              <w:t>procedurën</w:t>
            </w:r>
            <w:proofErr w:type="spellEnd"/>
            <w:r>
              <w:t xml:space="preserve"> e </w:t>
            </w:r>
            <w:proofErr w:type="spellStart"/>
            <w:r>
              <w:t>përmbarimit</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rPr>
            </w:pPr>
            <w:r>
              <w:rPr>
                <w:rFonts w:ascii="Calibri" w:hAnsi="Calibri"/>
                <w:b/>
                <w:i/>
              </w:rPr>
              <w:t xml:space="preserve">Java e </w:t>
            </w:r>
            <w:proofErr w:type="spellStart"/>
            <w:r>
              <w:rPr>
                <w:rFonts w:ascii="Calibri" w:hAnsi="Calibri"/>
                <w:b/>
                <w:i/>
              </w:rPr>
              <w:t>shtatë</w:t>
            </w:r>
            <w:proofErr w:type="spellEnd"/>
            <w:r>
              <w:rPr>
                <w:rFonts w:ascii="Calibri" w:hAnsi="Calibri"/>
                <w:b/>
                <w:i/>
              </w:rPr>
              <w:t>:</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pPr>
            <w:proofErr w:type="spellStart"/>
            <w:r>
              <w:t>Kollokfiumi</w:t>
            </w:r>
            <w:proofErr w:type="spellEnd"/>
            <w:r>
              <w:t xml:space="preserve"> </w:t>
            </w:r>
            <w:proofErr w:type="spellStart"/>
            <w:r>
              <w:t>i</w:t>
            </w:r>
            <w:proofErr w:type="spellEnd"/>
            <w:r>
              <w:t xml:space="preserve"> pare</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tetë</w:t>
            </w:r>
            <w:proofErr w:type="spellEnd"/>
            <w:r>
              <w:rPr>
                <w:rFonts w:ascii="Calibri" w:hAnsi="Calibri"/>
                <w:b/>
                <w:i/>
              </w:rPr>
              <w:t>:</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rPr>
            </w:pPr>
            <w:proofErr w:type="spellStart"/>
            <w:r>
              <w:t>Zbatimi</w:t>
            </w:r>
            <w:proofErr w:type="spellEnd"/>
            <w:r>
              <w:t xml:space="preserve"> </w:t>
            </w:r>
            <w:proofErr w:type="spellStart"/>
            <w:r>
              <w:t>i</w:t>
            </w:r>
            <w:proofErr w:type="spellEnd"/>
            <w:r>
              <w:t xml:space="preserve"> </w:t>
            </w:r>
            <w:proofErr w:type="spellStart"/>
            <w:r>
              <w:t>aktvendimit</w:t>
            </w:r>
            <w:proofErr w:type="spellEnd"/>
            <w:r>
              <w:t>/</w:t>
            </w:r>
            <w:proofErr w:type="spellStart"/>
            <w:r>
              <w:t>urdhrit</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nëntë</w:t>
            </w:r>
            <w:proofErr w:type="spellEnd"/>
            <w:r>
              <w:rPr>
                <w:rFonts w:ascii="Calibri" w:hAnsi="Calibri"/>
                <w:b/>
                <w:i/>
              </w:rPr>
              <w:t>:</w:t>
            </w:r>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rPr>
            </w:pPr>
            <w:proofErr w:type="spellStart"/>
            <w:r>
              <w:t>Procedura</w:t>
            </w:r>
            <w:proofErr w:type="spellEnd"/>
            <w:r>
              <w:t xml:space="preserve"> </w:t>
            </w:r>
            <w:proofErr w:type="spellStart"/>
            <w:r>
              <w:t>siguruese</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dhjetë</w:t>
            </w:r>
            <w:proofErr w:type="spellEnd"/>
            <w:r>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pPr>
            <w:proofErr w:type="spellStart"/>
            <w:r>
              <w:t>Hyrje</w:t>
            </w:r>
            <w:proofErr w:type="spellEnd"/>
            <w:r>
              <w:t xml:space="preserve"> </w:t>
            </w:r>
            <w:proofErr w:type="spellStart"/>
            <w:r>
              <w:t>dhe</w:t>
            </w:r>
            <w:proofErr w:type="spellEnd"/>
            <w:r>
              <w:t xml:space="preserve"> </w:t>
            </w:r>
            <w:proofErr w:type="spellStart"/>
            <w:r>
              <w:t>parimet</w:t>
            </w:r>
            <w:proofErr w:type="spellEnd"/>
            <w:r>
              <w:t xml:space="preserve"> e </w:t>
            </w:r>
            <w:proofErr w:type="spellStart"/>
            <w:r>
              <w:t>së</w:t>
            </w:r>
            <w:proofErr w:type="spellEnd"/>
            <w:r>
              <w:t xml:space="preserve"> </w:t>
            </w:r>
            <w:proofErr w:type="spellStart"/>
            <w:r>
              <w:t>drejtës</w:t>
            </w:r>
            <w:proofErr w:type="spellEnd"/>
            <w:r>
              <w:t xml:space="preserve"> </w:t>
            </w:r>
            <w:proofErr w:type="spellStart"/>
            <w:r>
              <w:t>procedurale</w:t>
            </w:r>
            <w:proofErr w:type="spellEnd"/>
            <w:r>
              <w:t xml:space="preserve"> </w:t>
            </w:r>
            <w:proofErr w:type="spellStart"/>
            <w:r>
              <w:t>jokontestimore</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njëmbedhjetë</w:t>
            </w:r>
            <w:proofErr w:type="spellEnd"/>
            <w:r>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pPr>
            <w:proofErr w:type="spellStart"/>
            <w:r>
              <w:t>Procedurat</w:t>
            </w:r>
            <w:proofErr w:type="spellEnd"/>
            <w:r>
              <w:t xml:space="preserve"> </w:t>
            </w:r>
            <w:proofErr w:type="spellStart"/>
            <w:r>
              <w:t>jokontestimore</w:t>
            </w:r>
            <w:proofErr w:type="spellEnd"/>
            <w:r>
              <w:t xml:space="preserve"> </w:t>
            </w:r>
            <w:proofErr w:type="spellStart"/>
            <w:r>
              <w:t>statusore</w:t>
            </w:r>
            <w:proofErr w:type="spellEnd"/>
            <w:r>
              <w:t xml:space="preserve"> I</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dymbëdhjetë</w:t>
            </w:r>
            <w:proofErr w:type="spellEnd"/>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rPr>
            </w:pPr>
            <w:proofErr w:type="spellStart"/>
            <w:r>
              <w:t>Procedurat</w:t>
            </w:r>
            <w:proofErr w:type="spellEnd"/>
            <w:r>
              <w:t xml:space="preserve"> </w:t>
            </w:r>
            <w:proofErr w:type="spellStart"/>
            <w:r>
              <w:t>jokontestimore</w:t>
            </w:r>
            <w:proofErr w:type="spellEnd"/>
            <w:r>
              <w:t xml:space="preserve"> </w:t>
            </w:r>
            <w:proofErr w:type="spellStart"/>
            <w:r>
              <w:t>statusore</w:t>
            </w:r>
            <w:proofErr w:type="spellEnd"/>
            <w:r>
              <w:t xml:space="preserve"> II</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trembëdhjetë</w:t>
            </w:r>
            <w:proofErr w:type="spellEnd"/>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rPr>
            </w:pPr>
            <w:proofErr w:type="spellStart"/>
            <w:r>
              <w:t>Procedurat</w:t>
            </w:r>
            <w:proofErr w:type="spellEnd"/>
            <w:r>
              <w:t xml:space="preserve"> </w:t>
            </w:r>
            <w:proofErr w:type="spellStart"/>
            <w:r>
              <w:t>jokontestimore</w:t>
            </w:r>
            <w:proofErr w:type="spellEnd"/>
            <w:r>
              <w:t xml:space="preserve"> </w:t>
            </w:r>
            <w:proofErr w:type="spellStart"/>
            <w:r>
              <w:t>pasurore</w:t>
            </w:r>
            <w:proofErr w:type="spellEnd"/>
            <w:r>
              <w:t xml:space="preserve"> I</w:t>
            </w:r>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katërmbëdhjetë</w:t>
            </w:r>
            <w:proofErr w:type="spellEnd"/>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pPr>
            <w:proofErr w:type="spellStart"/>
            <w:r>
              <w:t>Kollokfiumi</w:t>
            </w:r>
            <w:proofErr w:type="spellEnd"/>
            <w:r>
              <w:t xml:space="preserve"> </w:t>
            </w:r>
            <w:proofErr w:type="spellStart"/>
            <w:r>
              <w:t>i</w:t>
            </w:r>
            <w:proofErr w:type="spellEnd"/>
            <w:r>
              <w:t xml:space="preserve"> </w:t>
            </w:r>
            <w:proofErr w:type="spellStart"/>
            <w:r>
              <w:t>dytë</w:t>
            </w:r>
            <w:proofErr w:type="spellEnd"/>
          </w:p>
        </w:tc>
      </w:tr>
      <w:tr w:rsidR="002A4811" w:rsidTr="002A4811">
        <w:tc>
          <w:tcPr>
            <w:tcW w:w="2718" w:type="dxa"/>
            <w:tcBorders>
              <w:top w:val="single" w:sz="4" w:space="0" w:color="000000"/>
              <w:left w:val="single" w:sz="4" w:space="0" w:color="000000"/>
              <w:bottom w:val="single" w:sz="4" w:space="0" w:color="000000"/>
              <w:right w:val="single" w:sz="4" w:space="0" w:color="000000"/>
            </w:tcBorders>
            <w:hideMark/>
          </w:tcPr>
          <w:p w:rsidR="002A4811" w:rsidRDefault="002A4811">
            <w:pPr>
              <w:rPr>
                <w:rFonts w:ascii="Calibri" w:hAnsi="Calibri"/>
                <w:b/>
                <w:i/>
              </w:rPr>
            </w:pPr>
            <w:r>
              <w:rPr>
                <w:rFonts w:ascii="Calibri" w:hAnsi="Calibri"/>
                <w:b/>
                <w:i/>
              </w:rPr>
              <w:t xml:space="preserve">Java e </w:t>
            </w:r>
            <w:proofErr w:type="spellStart"/>
            <w:r>
              <w:rPr>
                <w:rFonts w:ascii="Calibri" w:hAnsi="Calibri"/>
                <w:b/>
                <w:i/>
              </w:rPr>
              <w:t>pesëmbëdhjetë</w:t>
            </w:r>
            <w:proofErr w:type="spellEnd"/>
            <w:r>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rsidR="002A4811" w:rsidRDefault="002A4811" w:rsidP="00204AD4">
            <w:pPr>
              <w:numPr>
                <w:ilvl w:val="0"/>
                <w:numId w:val="2"/>
              </w:numPr>
              <w:jc w:val="both"/>
              <w:rPr>
                <w:b/>
              </w:rPr>
            </w:pPr>
            <w:proofErr w:type="spellStart"/>
            <w:r>
              <w:t>Procedurat</w:t>
            </w:r>
            <w:proofErr w:type="spellEnd"/>
            <w:r>
              <w:t xml:space="preserve"> </w:t>
            </w:r>
            <w:proofErr w:type="spellStart"/>
            <w:r>
              <w:t>jokontestimore</w:t>
            </w:r>
            <w:proofErr w:type="spellEnd"/>
            <w:r>
              <w:t xml:space="preserve"> </w:t>
            </w:r>
            <w:proofErr w:type="spellStart"/>
            <w:r>
              <w:t>pasurore</w:t>
            </w:r>
            <w:proofErr w:type="spellEnd"/>
            <w:r>
              <w:t xml:space="preserve"> II</w:t>
            </w:r>
          </w:p>
        </w:tc>
      </w:tr>
    </w:tbl>
    <w:p w:rsidR="002A4811" w:rsidRDefault="002A4811" w:rsidP="002A4811">
      <w:pPr>
        <w:rPr>
          <w:rFonts w:ascii="Calibri" w:hAnsi="Calibri"/>
          <w:b/>
          <w:sz w:val="28"/>
          <w:szCs w:val="28"/>
          <w:lang w:val="de-DE"/>
        </w:rPr>
      </w:pPr>
    </w:p>
    <w:p w:rsidR="002A4811" w:rsidRDefault="002A4811" w:rsidP="002A4811">
      <w:pPr>
        <w:rPr>
          <w:rFonts w:ascii="Calibri" w:hAnsi="Calibri"/>
          <w:b/>
          <w:sz w:val="28"/>
          <w:szCs w:val="28"/>
          <w:lang w:val="de-DE"/>
        </w:rPr>
      </w:pPr>
    </w:p>
    <w:p w:rsidR="00805F20" w:rsidRDefault="00805F20"/>
    <w:sectPr w:rsidR="00805F20" w:rsidSect="00805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342"/>
    <w:multiLevelType w:val="hybridMultilevel"/>
    <w:tmpl w:val="B7FCCB2C"/>
    <w:lvl w:ilvl="0" w:tplc="00DEA7B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6985B94"/>
    <w:multiLevelType w:val="hybridMultilevel"/>
    <w:tmpl w:val="8F5C5F20"/>
    <w:lvl w:ilvl="0" w:tplc="FBD6C838">
      <w:start w:val="3"/>
      <w:numFmt w:val="bullet"/>
      <w:lvlText w:val="-"/>
      <w:lvlJc w:val="left"/>
      <w:pPr>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632712F8"/>
    <w:multiLevelType w:val="hybridMultilevel"/>
    <w:tmpl w:val="69E26F08"/>
    <w:lvl w:ilvl="0" w:tplc="B5168066">
      <w:numFmt w:val="bullet"/>
      <w:lvlText w:val="-"/>
      <w:lvlJc w:val="left"/>
      <w:pPr>
        <w:ind w:left="720" w:hanging="360"/>
      </w:pPr>
      <w:rPr>
        <w:rFonts w:ascii="Times New Roman" w:eastAsia="Calibri"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4811"/>
    <w:rsid w:val="00213C57"/>
    <w:rsid w:val="002A4811"/>
    <w:rsid w:val="00805F20"/>
    <w:rsid w:val="00BB747F"/>
    <w:rsid w:val="00E13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A4811"/>
    <w:rPr>
      <w:color w:val="0000FF"/>
      <w:u w:val="single"/>
    </w:rPr>
  </w:style>
  <w:style w:type="paragraph" w:styleId="NoSpacing">
    <w:name w:val="No Spacing"/>
    <w:uiPriority w:val="1"/>
    <w:qFormat/>
    <w:rsid w:val="002A48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4811"/>
    <w:pPr>
      <w:spacing w:after="200" w:line="276" w:lineRule="auto"/>
      <w:ind w:left="720"/>
      <w:contextualSpacing/>
    </w:pPr>
    <w:rPr>
      <w:rFonts w:ascii="Calibri" w:eastAsia="Calibri" w:hAnsi="Calibri"/>
      <w:sz w:val="22"/>
      <w:szCs w:val="22"/>
      <w:lang w:val="de-DE"/>
    </w:rPr>
  </w:style>
  <w:style w:type="paragraph" w:styleId="BodyTextIndent">
    <w:name w:val="Body Text Indent"/>
    <w:basedOn w:val="Normal"/>
    <w:link w:val="BodyTextIndentChar"/>
    <w:semiHidden/>
    <w:unhideWhenUsed/>
    <w:rsid w:val="002A4811"/>
    <w:pPr>
      <w:ind w:left="2160" w:hanging="2160"/>
    </w:pPr>
    <w:rPr>
      <w:sz w:val="22"/>
      <w:szCs w:val="20"/>
    </w:rPr>
  </w:style>
  <w:style w:type="character" w:customStyle="1" w:styleId="BodyTextIndentChar">
    <w:name w:val="Body Text Indent Char"/>
    <w:basedOn w:val="DefaultParagraphFont"/>
    <w:link w:val="BodyTextIndent"/>
    <w:semiHidden/>
    <w:rsid w:val="002A4811"/>
    <w:rPr>
      <w:rFonts w:ascii="Times New Roman" w:eastAsia="Times New Roman" w:hAnsi="Times New Roman" w:cs="Times New Roman"/>
      <w:szCs w:val="20"/>
    </w:rPr>
  </w:style>
  <w:style w:type="paragraph" w:customStyle="1" w:styleId="ListParagraph1">
    <w:name w:val="List Paragraph1"/>
    <w:basedOn w:val="Normal"/>
    <w:uiPriority w:val="34"/>
    <w:qFormat/>
    <w:rsid w:val="002A4811"/>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2A4811"/>
    <w:rPr>
      <w:b/>
      <w:bCs/>
    </w:rPr>
  </w:style>
</w:styles>
</file>

<file path=word/webSettings.xml><?xml version="1.0" encoding="utf-8"?>
<w:webSettings xmlns:r="http://schemas.openxmlformats.org/officeDocument/2006/relationships" xmlns:w="http://schemas.openxmlformats.org/wordprocessingml/2006/main">
  <w:divs>
    <w:div w:id="8414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et.morina@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2</cp:revision>
  <dcterms:created xsi:type="dcterms:W3CDTF">2025-02-14T08:01:00Z</dcterms:created>
  <dcterms:modified xsi:type="dcterms:W3CDTF">2025-02-14T08:09:00Z</dcterms:modified>
</cp:coreProperties>
</file>