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95C6" w14:textId="77777777" w:rsidR="0015273E" w:rsidRPr="00E508FD" w:rsidRDefault="0015273E">
      <w:pPr>
        <w:rPr>
          <w:rFonts w:ascii="Calibri" w:hAnsi="Calibri" w:cs="Calibri"/>
          <w:b/>
          <w:sz w:val="32"/>
          <w:szCs w:val="32"/>
          <w:u w:val="single"/>
        </w:rPr>
      </w:pPr>
    </w:p>
    <w:p w14:paraId="1C67B143" w14:textId="77777777" w:rsidR="00CF116F" w:rsidRPr="00FD548F" w:rsidRDefault="009A30DD">
      <w:pPr>
        <w:rPr>
          <w:rFonts w:ascii="Calibri" w:hAnsi="Calibri" w:cs="Calibri"/>
          <w:b/>
          <w:sz w:val="28"/>
          <w:szCs w:val="28"/>
          <w:u w:val="single"/>
        </w:rPr>
      </w:pPr>
      <w:r w:rsidRPr="00E508FD">
        <w:rPr>
          <w:rFonts w:ascii="Calibri" w:hAnsi="Calibri" w:cs="Calibri"/>
          <w:b/>
          <w:sz w:val="32"/>
          <w:szCs w:val="32"/>
          <w:u w:val="single"/>
        </w:rPr>
        <w:t>Syllabus</w:t>
      </w:r>
      <w:r w:rsidR="009E243C" w:rsidRPr="00E508FD">
        <w:rPr>
          <w:rFonts w:ascii="Calibri" w:hAnsi="Calibri" w:cs="Calibri"/>
          <w:b/>
          <w:sz w:val="32"/>
          <w:szCs w:val="32"/>
          <w:u w:val="single"/>
        </w:rPr>
        <w:t xml:space="preserve"> </w:t>
      </w:r>
      <w:r w:rsidRPr="00E508FD">
        <w:rPr>
          <w:rFonts w:ascii="Calibri" w:hAnsi="Calibri" w:cs="Calibri"/>
          <w:b/>
          <w:sz w:val="32"/>
          <w:szCs w:val="32"/>
          <w:u w:val="single"/>
        </w:rPr>
        <w:t xml:space="preserve">for the course: </w:t>
      </w:r>
      <w:r w:rsidR="00170905">
        <w:rPr>
          <w:rFonts w:ascii="Calibri" w:hAnsi="Calibri" w:cs="Calibri"/>
          <w:b/>
          <w:sz w:val="28"/>
          <w:szCs w:val="28"/>
        </w:rPr>
        <w:t>European Union and Kosovo</w:t>
      </w:r>
    </w:p>
    <w:p w14:paraId="51081335" w14:textId="77777777" w:rsidR="00FD548F" w:rsidRPr="00E508FD" w:rsidRDefault="00FD548F">
      <w:pPr>
        <w:rPr>
          <w:rFonts w:ascii="Calibri" w:hAnsi="Calibri" w:cs="Calibri"/>
        </w:rPr>
      </w:pPr>
    </w:p>
    <w:tbl>
      <w:tblPr>
        <w:tblW w:w="11706"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1"/>
        <w:gridCol w:w="2928"/>
        <w:gridCol w:w="4763"/>
        <w:gridCol w:w="1644"/>
      </w:tblGrid>
      <w:tr w:rsidR="00CF116F" w:rsidRPr="00E508FD" w14:paraId="4ADEABBA" w14:textId="77777777" w:rsidTr="00997B5A">
        <w:tc>
          <w:tcPr>
            <w:tcW w:w="11706" w:type="dxa"/>
            <w:gridSpan w:val="4"/>
            <w:shd w:val="clear" w:color="auto" w:fill="D9D9D9"/>
          </w:tcPr>
          <w:p w14:paraId="3DD5B71D" w14:textId="77777777" w:rsidR="00CF116F" w:rsidRPr="00E508FD" w:rsidRDefault="009A30DD" w:rsidP="009A30DD">
            <w:pPr>
              <w:pStyle w:val="NoSpacing"/>
              <w:rPr>
                <w:rFonts w:ascii="Calibri" w:hAnsi="Calibri" w:cs="Calibri"/>
                <w:b/>
              </w:rPr>
            </w:pPr>
            <w:r w:rsidRPr="00E508FD">
              <w:rPr>
                <w:rFonts w:ascii="Calibri" w:hAnsi="Calibri" w:cs="Calibri"/>
                <w:b/>
              </w:rPr>
              <w:t>Basic data on the course</w:t>
            </w:r>
          </w:p>
        </w:tc>
      </w:tr>
      <w:tr w:rsidR="00CF116F" w:rsidRPr="00E508FD" w14:paraId="618ABA03" w14:textId="77777777" w:rsidTr="00997B5A">
        <w:tc>
          <w:tcPr>
            <w:tcW w:w="2371" w:type="dxa"/>
          </w:tcPr>
          <w:p w14:paraId="5B6ED064" w14:textId="77777777" w:rsidR="00CF116F" w:rsidRPr="00E508FD" w:rsidRDefault="009A30DD" w:rsidP="009A30DD">
            <w:pPr>
              <w:pStyle w:val="NoSpacing"/>
              <w:rPr>
                <w:rFonts w:ascii="Calibri" w:hAnsi="Calibri" w:cs="Calibri"/>
                <w:b/>
                <w:szCs w:val="28"/>
              </w:rPr>
            </w:pPr>
            <w:r w:rsidRPr="00E508FD">
              <w:rPr>
                <w:rFonts w:ascii="Calibri" w:hAnsi="Calibri" w:cs="Calibri"/>
                <w:b/>
                <w:szCs w:val="28"/>
              </w:rPr>
              <w:t xml:space="preserve">Academic Unit: </w:t>
            </w:r>
          </w:p>
        </w:tc>
        <w:tc>
          <w:tcPr>
            <w:tcW w:w="9335" w:type="dxa"/>
            <w:gridSpan w:val="3"/>
          </w:tcPr>
          <w:p w14:paraId="453D73A7" w14:textId="77777777" w:rsidR="00CF116F" w:rsidRPr="00E508FD" w:rsidRDefault="00C730AC" w:rsidP="00C730AC">
            <w:pPr>
              <w:pStyle w:val="NoSpacing"/>
              <w:rPr>
                <w:rFonts w:ascii="Calibri" w:hAnsi="Calibri" w:cs="Calibri"/>
                <w:b/>
                <w:szCs w:val="28"/>
              </w:rPr>
            </w:pPr>
            <w:r w:rsidRPr="00E508FD">
              <w:rPr>
                <w:rFonts w:ascii="Calibri" w:hAnsi="Calibri" w:cs="Calibri"/>
                <w:b/>
                <w:szCs w:val="28"/>
              </w:rPr>
              <w:t>Faculty of Law</w:t>
            </w:r>
          </w:p>
        </w:tc>
      </w:tr>
      <w:tr w:rsidR="00CF116F" w:rsidRPr="00E508FD" w14:paraId="67877338" w14:textId="77777777" w:rsidTr="00997B5A">
        <w:tc>
          <w:tcPr>
            <w:tcW w:w="2371" w:type="dxa"/>
          </w:tcPr>
          <w:p w14:paraId="220EF7F5" w14:textId="77777777" w:rsidR="00CF116F" w:rsidRPr="00E508FD" w:rsidRDefault="009A30DD" w:rsidP="009A30DD">
            <w:pPr>
              <w:pStyle w:val="NoSpacing"/>
              <w:rPr>
                <w:rFonts w:ascii="Calibri" w:hAnsi="Calibri" w:cs="Calibri"/>
                <w:b/>
                <w:szCs w:val="28"/>
              </w:rPr>
            </w:pPr>
            <w:r w:rsidRPr="00E508FD">
              <w:rPr>
                <w:rFonts w:ascii="Calibri" w:hAnsi="Calibri" w:cs="Calibri"/>
                <w:b/>
                <w:szCs w:val="28"/>
              </w:rPr>
              <w:t>Name of course:</w:t>
            </w:r>
          </w:p>
        </w:tc>
        <w:tc>
          <w:tcPr>
            <w:tcW w:w="9335" w:type="dxa"/>
            <w:gridSpan w:val="3"/>
          </w:tcPr>
          <w:p w14:paraId="334B36F0" w14:textId="77777777" w:rsidR="00CF116F" w:rsidRPr="00E508FD" w:rsidRDefault="00997B5A" w:rsidP="00C730AC">
            <w:pPr>
              <w:pStyle w:val="NoSpacing"/>
              <w:ind w:right="2491" w:hanging="29"/>
              <w:rPr>
                <w:rFonts w:ascii="Calibri" w:hAnsi="Calibri" w:cs="Calibri"/>
                <w:b/>
                <w:szCs w:val="28"/>
              </w:rPr>
            </w:pPr>
            <w:r w:rsidRPr="00997B5A">
              <w:rPr>
                <w:rFonts w:ascii="Calibri" w:hAnsi="Calibri" w:cs="Calibri"/>
                <w:b/>
                <w:szCs w:val="28"/>
              </w:rPr>
              <w:t>European Union and Kosovo</w:t>
            </w:r>
          </w:p>
        </w:tc>
      </w:tr>
      <w:tr w:rsidR="00CF116F" w:rsidRPr="00E508FD" w14:paraId="3A066A18" w14:textId="77777777" w:rsidTr="00997B5A">
        <w:tc>
          <w:tcPr>
            <w:tcW w:w="2371" w:type="dxa"/>
          </w:tcPr>
          <w:p w14:paraId="525C29F9" w14:textId="77777777" w:rsidR="00CF116F" w:rsidRPr="00E508FD" w:rsidRDefault="00917BE8" w:rsidP="00781805">
            <w:pPr>
              <w:pStyle w:val="NoSpacing"/>
              <w:rPr>
                <w:rFonts w:ascii="Calibri" w:hAnsi="Calibri" w:cs="Calibri"/>
                <w:b/>
                <w:szCs w:val="28"/>
              </w:rPr>
            </w:pPr>
            <w:r w:rsidRPr="00E508FD">
              <w:rPr>
                <w:rFonts w:ascii="Calibri" w:hAnsi="Calibri" w:cs="Calibri"/>
                <w:b/>
                <w:szCs w:val="28"/>
              </w:rPr>
              <w:t>Level of study</w:t>
            </w:r>
            <w:r w:rsidR="00CF116F" w:rsidRPr="00E508FD">
              <w:rPr>
                <w:rFonts w:ascii="Calibri" w:hAnsi="Calibri" w:cs="Calibri"/>
                <w:b/>
                <w:szCs w:val="28"/>
              </w:rPr>
              <w:t>:</w:t>
            </w:r>
          </w:p>
        </w:tc>
        <w:tc>
          <w:tcPr>
            <w:tcW w:w="9335" w:type="dxa"/>
            <w:gridSpan w:val="3"/>
          </w:tcPr>
          <w:p w14:paraId="34C30E40" w14:textId="77777777" w:rsidR="00CF116F" w:rsidRPr="00E508FD" w:rsidRDefault="00997B5A" w:rsidP="00FB050B">
            <w:pPr>
              <w:pStyle w:val="NoSpacing"/>
              <w:rPr>
                <w:rFonts w:ascii="Calibri" w:hAnsi="Calibri" w:cs="Calibri"/>
                <w:b/>
                <w:szCs w:val="28"/>
              </w:rPr>
            </w:pPr>
            <w:r>
              <w:rPr>
                <w:rFonts w:ascii="Calibri" w:hAnsi="Calibri" w:cs="Calibri"/>
                <w:b/>
                <w:szCs w:val="28"/>
              </w:rPr>
              <w:t>LLM</w:t>
            </w:r>
          </w:p>
        </w:tc>
      </w:tr>
      <w:tr w:rsidR="00781805" w:rsidRPr="00E508FD" w14:paraId="016F9895" w14:textId="77777777" w:rsidTr="00997B5A">
        <w:tc>
          <w:tcPr>
            <w:tcW w:w="2371" w:type="dxa"/>
          </w:tcPr>
          <w:p w14:paraId="2320E114" w14:textId="77777777" w:rsidR="00781805" w:rsidRPr="00E508FD" w:rsidRDefault="009A30DD" w:rsidP="00781805">
            <w:pPr>
              <w:pStyle w:val="NoSpacing"/>
              <w:rPr>
                <w:rFonts w:ascii="Calibri" w:hAnsi="Calibri" w:cs="Calibri"/>
                <w:b/>
                <w:szCs w:val="28"/>
              </w:rPr>
            </w:pPr>
            <w:r w:rsidRPr="00E508FD">
              <w:rPr>
                <w:rFonts w:ascii="Calibri" w:hAnsi="Calibri" w:cs="Calibri"/>
                <w:b/>
                <w:szCs w:val="28"/>
              </w:rPr>
              <w:t>Status of the course:</w:t>
            </w:r>
          </w:p>
        </w:tc>
        <w:tc>
          <w:tcPr>
            <w:tcW w:w="9335" w:type="dxa"/>
            <w:gridSpan w:val="3"/>
          </w:tcPr>
          <w:p w14:paraId="3F67853F" w14:textId="77777777" w:rsidR="00781805" w:rsidRPr="00E508FD" w:rsidRDefault="00997B5A" w:rsidP="00FB050B">
            <w:pPr>
              <w:pStyle w:val="NoSpacing"/>
              <w:rPr>
                <w:rFonts w:ascii="Calibri" w:hAnsi="Calibri" w:cs="Calibri"/>
                <w:b/>
                <w:szCs w:val="28"/>
              </w:rPr>
            </w:pPr>
            <w:r>
              <w:rPr>
                <w:rFonts w:ascii="Calibri" w:hAnsi="Calibri" w:cs="Calibri"/>
                <w:b/>
                <w:szCs w:val="28"/>
              </w:rPr>
              <w:t>Optional</w:t>
            </w:r>
          </w:p>
        </w:tc>
      </w:tr>
      <w:tr w:rsidR="00CF116F" w:rsidRPr="00E508FD" w14:paraId="16CD7939" w14:textId="77777777" w:rsidTr="00997B5A">
        <w:tc>
          <w:tcPr>
            <w:tcW w:w="2371" w:type="dxa"/>
          </w:tcPr>
          <w:p w14:paraId="313D45AD" w14:textId="77777777" w:rsidR="00CF116F" w:rsidRPr="00E508FD" w:rsidRDefault="009A30DD" w:rsidP="009A30DD">
            <w:pPr>
              <w:pStyle w:val="NoSpacing"/>
              <w:rPr>
                <w:rFonts w:ascii="Calibri" w:hAnsi="Calibri" w:cs="Calibri"/>
                <w:b/>
                <w:szCs w:val="28"/>
              </w:rPr>
            </w:pPr>
            <w:r w:rsidRPr="00E508FD">
              <w:rPr>
                <w:rFonts w:ascii="Calibri" w:hAnsi="Calibri" w:cs="Calibri"/>
                <w:b/>
                <w:szCs w:val="28"/>
              </w:rPr>
              <w:t>Year of studies</w:t>
            </w:r>
            <w:r w:rsidR="00CF116F" w:rsidRPr="00E508FD">
              <w:rPr>
                <w:rFonts w:ascii="Calibri" w:hAnsi="Calibri" w:cs="Calibri"/>
                <w:b/>
                <w:szCs w:val="28"/>
              </w:rPr>
              <w:t>:</w:t>
            </w:r>
          </w:p>
        </w:tc>
        <w:tc>
          <w:tcPr>
            <w:tcW w:w="9335" w:type="dxa"/>
            <w:gridSpan w:val="3"/>
          </w:tcPr>
          <w:p w14:paraId="16A6C482" w14:textId="77777777" w:rsidR="00CF116F" w:rsidRPr="00E508FD" w:rsidRDefault="0001436F" w:rsidP="001F73A3">
            <w:pPr>
              <w:pStyle w:val="NoSpacing"/>
              <w:rPr>
                <w:rFonts w:ascii="Calibri" w:hAnsi="Calibri" w:cs="Calibri"/>
                <w:b/>
                <w:szCs w:val="28"/>
              </w:rPr>
            </w:pPr>
            <w:r w:rsidRPr="00E508FD">
              <w:rPr>
                <w:rFonts w:ascii="Calibri" w:hAnsi="Calibri" w:cs="Calibri"/>
                <w:b/>
                <w:szCs w:val="28"/>
              </w:rPr>
              <w:t xml:space="preserve"> </w:t>
            </w:r>
            <w:r w:rsidR="00C96787">
              <w:rPr>
                <w:rFonts w:ascii="Calibri" w:hAnsi="Calibri" w:cs="Calibri"/>
                <w:b/>
                <w:szCs w:val="28"/>
              </w:rPr>
              <w:t>I</w:t>
            </w:r>
          </w:p>
        </w:tc>
      </w:tr>
      <w:tr w:rsidR="00CF116F" w:rsidRPr="00E508FD" w14:paraId="26BCEE03" w14:textId="77777777" w:rsidTr="00997B5A">
        <w:tc>
          <w:tcPr>
            <w:tcW w:w="2371" w:type="dxa"/>
          </w:tcPr>
          <w:p w14:paraId="63B02E33" w14:textId="77777777" w:rsidR="00CF116F" w:rsidRPr="00E508FD" w:rsidRDefault="009A30DD" w:rsidP="009A30DD">
            <w:pPr>
              <w:pStyle w:val="NoSpacing"/>
              <w:rPr>
                <w:rFonts w:ascii="Calibri" w:hAnsi="Calibri" w:cs="Calibri"/>
                <w:b/>
                <w:szCs w:val="28"/>
              </w:rPr>
            </w:pPr>
            <w:r w:rsidRPr="00E508FD">
              <w:rPr>
                <w:rFonts w:ascii="Calibri" w:hAnsi="Calibri" w:cs="Calibri"/>
                <w:b/>
                <w:szCs w:val="28"/>
              </w:rPr>
              <w:t>No. hours per week</w:t>
            </w:r>
            <w:r w:rsidR="00CF116F" w:rsidRPr="00E508FD">
              <w:rPr>
                <w:rFonts w:ascii="Calibri" w:hAnsi="Calibri" w:cs="Calibri"/>
                <w:b/>
                <w:szCs w:val="28"/>
              </w:rPr>
              <w:t>:</w:t>
            </w:r>
          </w:p>
        </w:tc>
        <w:tc>
          <w:tcPr>
            <w:tcW w:w="9335" w:type="dxa"/>
            <w:gridSpan w:val="3"/>
          </w:tcPr>
          <w:p w14:paraId="78E93C58" w14:textId="77777777" w:rsidR="00CF116F" w:rsidRPr="00E508FD" w:rsidRDefault="001F73A3" w:rsidP="00FB050B">
            <w:pPr>
              <w:pStyle w:val="NoSpacing"/>
              <w:rPr>
                <w:rFonts w:ascii="Calibri" w:hAnsi="Calibri" w:cs="Calibri"/>
                <w:b/>
                <w:szCs w:val="28"/>
              </w:rPr>
            </w:pPr>
            <w:r w:rsidRPr="00E508FD">
              <w:rPr>
                <w:rFonts w:ascii="Calibri" w:hAnsi="Calibri" w:cs="Calibri"/>
                <w:b/>
                <w:szCs w:val="28"/>
              </w:rPr>
              <w:t>2+</w:t>
            </w:r>
            <w:r w:rsidR="000632A4">
              <w:rPr>
                <w:rFonts w:ascii="Calibri" w:hAnsi="Calibri" w:cs="Calibri"/>
                <w:b/>
                <w:szCs w:val="28"/>
              </w:rPr>
              <w:t>0</w:t>
            </w:r>
          </w:p>
        </w:tc>
      </w:tr>
      <w:tr w:rsidR="00CF116F" w:rsidRPr="00E508FD" w14:paraId="125A25EC" w14:textId="77777777" w:rsidTr="00997B5A">
        <w:tc>
          <w:tcPr>
            <w:tcW w:w="2371" w:type="dxa"/>
          </w:tcPr>
          <w:p w14:paraId="3903AE40" w14:textId="77777777" w:rsidR="00CF116F" w:rsidRPr="00E508FD" w:rsidRDefault="009A30DD" w:rsidP="009A30DD">
            <w:pPr>
              <w:pStyle w:val="NoSpacing"/>
              <w:rPr>
                <w:rFonts w:ascii="Calibri" w:hAnsi="Calibri" w:cs="Calibri"/>
                <w:b/>
                <w:szCs w:val="28"/>
              </w:rPr>
            </w:pPr>
            <w:r w:rsidRPr="00E508FD">
              <w:rPr>
                <w:rFonts w:ascii="Calibri" w:hAnsi="Calibri" w:cs="Calibri"/>
                <w:b/>
                <w:szCs w:val="28"/>
              </w:rPr>
              <w:t>Credits</w:t>
            </w:r>
            <w:r w:rsidR="00CF116F" w:rsidRPr="00E508FD">
              <w:rPr>
                <w:rFonts w:ascii="Calibri" w:hAnsi="Calibri" w:cs="Calibri"/>
                <w:b/>
                <w:szCs w:val="28"/>
              </w:rPr>
              <w:t xml:space="preserve"> – ECTS:</w:t>
            </w:r>
          </w:p>
        </w:tc>
        <w:tc>
          <w:tcPr>
            <w:tcW w:w="9335" w:type="dxa"/>
            <w:gridSpan w:val="3"/>
          </w:tcPr>
          <w:p w14:paraId="5D4099D3" w14:textId="77777777" w:rsidR="00CF116F" w:rsidRPr="00E508FD" w:rsidRDefault="000632A4" w:rsidP="00FB050B">
            <w:pPr>
              <w:pStyle w:val="NoSpacing"/>
              <w:rPr>
                <w:rFonts w:ascii="Calibri" w:hAnsi="Calibri" w:cs="Calibri"/>
                <w:b/>
                <w:szCs w:val="28"/>
              </w:rPr>
            </w:pPr>
            <w:r>
              <w:rPr>
                <w:rFonts w:ascii="Calibri" w:hAnsi="Calibri" w:cs="Calibri"/>
                <w:b/>
                <w:szCs w:val="28"/>
              </w:rPr>
              <w:t>3</w:t>
            </w:r>
          </w:p>
        </w:tc>
      </w:tr>
      <w:tr w:rsidR="00CF116F" w:rsidRPr="00E508FD" w14:paraId="4682112A" w14:textId="77777777" w:rsidTr="00997B5A">
        <w:tc>
          <w:tcPr>
            <w:tcW w:w="2371" w:type="dxa"/>
          </w:tcPr>
          <w:p w14:paraId="276D8249" w14:textId="77777777" w:rsidR="00CF116F" w:rsidRPr="00E508FD" w:rsidRDefault="009A30DD" w:rsidP="00FB050B">
            <w:pPr>
              <w:pStyle w:val="NoSpacing"/>
              <w:rPr>
                <w:rFonts w:ascii="Calibri" w:hAnsi="Calibri" w:cs="Calibri"/>
                <w:b/>
                <w:szCs w:val="28"/>
              </w:rPr>
            </w:pPr>
            <w:r w:rsidRPr="00E508FD">
              <w:rPr>
                <w:rFonts w:ascii="Calibri" w:hAnsi="Calibri" w:cs="Calibri"/>
                <w:b/>
                <w:szCs w:val="28"/>
              </w:rPr>
              <w:t>Time / location</w:t>
            </w:r>
            <w:r w:rsidR="00CF116F" w:rsidRPr="00E508FD">
              <w:rPr>
                <w:rFonts w:ascii="Calibri" w:hAnsi="Calibri" w:cs="Calibri"/>
                <w:b/>
                <w:szCs w:val="28"/>
              </w:rPr>
              <w:t>:</w:t>
            </w:r>
          </w:p>
        </w:tc>
        <w:tc>
          <w:tcPr>
            <w:tcW w:w="9335" w:type="dxa"/>
            <w:gridSpan w:val="3"/>
          </w:tcPr>
          <w:p w14:paraId="2F2C0329" w14:textId="77777777" w:rsidR="00CF116F" w:rsidRPr="00E508FD" w:rsidRDefault="00CF116F" w:rsidP="00EE2DF0">
            <w:pPr>
              <w:pStyle w:val="NoSpacing"/>
              <w:rPr>
                <w:rFonts w:ascii="Calibri" w:hAnsi="Calibri" w:cs="Calibri"/>
                <w:b/>
                <w:szCs w:val="28"/>
              </w:rPr>
            </w:pPr>
          </w:p>
        </w:tc>
      </w:tr>
      <w:tr w:rsidR="00DA4472" w:rsidRPr="00E508FD" w14:paraId="48776BE7" w14:textId="77777777" w:rsidTr="00997B5A">
        <w:tc>
          <w:tcPr>
            <w:tcW w:w="2371" w:type="dxa"/>
          </w:tcPr>
          <w:p w14:paraId="06D946DD" w14:textId="77777777" w:rsidR="00DA4472" w:rsidRPr="00E508FD" w:rsidRDefault="009A30DD" w:rsidP="00FB050B">
            <w:pPr>
              <w:pStyle w:val="NoSpacing"/>
              <w:rPr>
                <w:rFonts w:ascii="Calibri" w:hAnsi="Calibri" w:cs="Calibri"/>
                <w:b/>
                <w:szCs w:val="28"/>
              </w:rPr>
            </w:pPr>
            <w:r w:rsidRPr="00E508FD">
              <w:rPr>
                <w:rFonts w:ascii="Calibri" w:hAnsi="Calibri" w:cs="Calibri"/>
                <w:b/>
                <w:szCs w:val="28"/>
              </w:rPr>
              <w:t>Academic year:</w:t>
            </w:r>
          </w:p>
        </w:tc>
        <w:tc>
          <w:tcPr>
            <w:tcW w:w="9335" w:type="dxa"/>
            <w:gridSpan w:val="3"/>
          </w:tcPr>
          <w:p w14:paraId="58802E27" w14:textId="77777777" w:rsidR="00DA4472" w:rsidRPr="00E508FD" w:rsidRDefault="00DA4472" w:rsidP="00FB050B">
            <w:pPr>
              <w:pStyle w:val="NoSpacing"/>
              <w:rPr>
                <w:rFonts w:ascii="Calibri" w:hAnsi="Calibri" w:cs="Calibri"/>
                <w:b/>
                <w:szCs w:val="28"/>
              </w:rPr>
            </w:pPr>
          </w:p>
        </w:tc>
      </w:tr>
      <w:tr w:rsidR="00CF116F" w:rsidRPr="00E508FD" w14:paraId="5E94C584" w14:textId="77777777" w:rsidTr="00997B5A">
        <w:tc>
          <w:tcPr>
            <w:tcW w:w="2371" w:type="dxa"/>
          </w:tcPr>
          <w:p w14:paraId="28735FAD" w14:textId="77777777" w:rsidR="00CF116F" w:rsidRPr="00E508FD" w:rsidRDefault="009A30DD" w:rsidP="00FB050B">
            <w:pPr>
              <w:pStyle w:val="NoSpacing"/>
              <w:rPr>
                <w:rFonts w:ascii="Calibri" w:hAnsi="Calibri" w:cs="Calibri"/>
                <w:b/>
                <w:szCs w:val="28"/>
              </w:rPr>
            </w:pPr>
            <w:r w:rsidRPr="00E508FD">
              <w:rPr>
                <w:rFonts w:ascii="Calibri" w:hAnsi="Calibri" w:cs="Calibri"/>
                <w:b/>
                <w:szCs w:val="28"/>
              </w:rPr>
              <w:t xml:space="preserve">Lecturer: </w:t>
            </w:r>
          </w:p>
        </w:tc>
        <w:tc>
          <w:tcPr>
            <w:tcW w:w="9335" w:type="dxa"/>
            <w:gridSpan w:val="3"/>
          </w:tcPr>
          <w:p w14:paraId="6D2A32C2" w14:textId="77777777" w:rsidR="00CF116F" w:rsidRDefault="00FE60AD" w:rsidP="009A30DD">
            <w:pPr>
              <w:pStyle w:val="NoSpacing"/>
              <w:rPr>
                <w:rFonts w:ascii="Calibri" w:hAnsi="Calibri" w:cs="Calibri"/>
                <w:b/>
                <w:szCs w:val="28"/>
              </w:rPr>
            </w:pPr>
            <w:r>
              <w:rPr>
                <w:rFonts w:ascii="Calibri" w:hAnsi="Calibri" w:cs="Calibri"/>
                <w:b/>
                <w:szCs w:val="28"/>
              </w:rPr>
              <w:t xml:space="preserve">Prof. </w:t>
            </w:r>
            <w:proofErr w:type="spellStart"/>
            <w:r>
              <w:rPr>
                <w:rFonts w:ascii="Calibri" w:hAnsi="Calibri" w:cs="Calibri"/>
                <w:b/>
                <w:szCs w:val="28"/>
              </w:rPr>
              <w:t>Asoc</w:t>
            </w:r>
            <w:proofErr w:type="spellEnd"/>
            <w:r>
              <w:rPr>
                <w:rFonts w:ascii="Calibri" w:hAnsi="Calibri" w:cs="Calibri"/>
                <w:b/>
                <w:szCs w:val="28"/>
              </w:rPr>
              <w:t xml:space="preserve">. </w:t>
            </w:r>
            <w:r w:rsidR="006746D8">
              <w:rPr>
                <w:rFonts w:ascii="Calibri" w:hAnsi="Calibri" w:cs="Calibri"/>
                <w:b/>
                <w:szCs w:val="28"/>
              </w:rPr>
              <w:t xml:space="preserve">Remzije Istrefi </w:t>
            </w:r>
            <w:r w:rsidR="009A30DD" w:rsidRPr="00E508FD">
              <w:rPr>
                <w:rFonts w:ascii="Calibri" w:hAnsi="Calibri" w:cs="Calibri"/>
                <w:b/>
                <w:szCs w:val="28"/>
              </w:rPr>
              <w:t xml:space="preserve"> </w:t>
            </w:r>
          </w:p>
          <w:p w14:paraId="06EA1E30" w14:textId="0BE0D809" w:rsidR="000C2BED" w:rsidRPr="00E508FD" w:rsidRDefault="000C2BED" w:rsidP="009A30DD">
            <w:pPr>
              <w:pStyle w:val="NoSpacing"/>
              <w:rPr>
                <w:rFonts w:ascii="Calibri" w:hAnsi="Calibri" w:cs="Calibri"/>
                <w:b/>
                <w:szCs w:val="28"/>
              </w:rPr>
            </w:pPr>
          </w:p>
        </w:tc>
      </w:tr>
      <w:tr w:rsidR="00CF116F" w:rsidRPr="00E508FD" w14:paraId="1A758B2C" w14:textId="77777777" w:rsidTr="00997B5A">
        <w:tc>
          <w:tcPr>
            <w:tcW w:w="2371" w:type="dxa"/>
          </w:tcPr>
          <w:p w14:paraId="0C6A4DFF" w14:textId="77777777" w:rsidR="00CF116F" w:rsidRPr="00E508FD" w:rsidRDefault="009A30DD" w:rsidP="009A30DD">
            <w:pPr>
              <w:pStyle w:val="NoSpacing"/>
              <w:rPr>
                <w:rFonts w:ascii="Calibri" w:hAnsi="Calibri" w:cs="Calibri"/>
                <w:b/>
                <w:szCs w:val="28"/>
              </w:rPr>
            </w:pPr>
            <w:r w:rsidRPr="00E508FD">
              <w:rPr>
                <w:rFonts w:ascii="Calibri" w:hAnsi="Calibri" w:cs="Calibri"/>
                <w:b/>
                <w:szCs w:val="28"/>
              </w:rPr>
              <w:t>Contact:</w:t>
            </w:r>
            <w:r w:rsidR="00CF116F" w:rsidRPr="00E508FD">
              <w:rPr>
                <w:rFonts w:ascii="Calibri" w:hAnsi="Calibri" w:cs="Calibri"/>
                <w:b/>
                <w:szCs w:val="28"/>
              </w:rPr>
              <w:t xml:space="preserve"> </w:t>
            </w:r>
          </w:p>
        </w:tc>
        <w:tc>
          <w:tcPr>
            <w:tcW w:w="9335" w:type="dxa"/>
            <w:gridSpan w:val="3"/>
          </w:tcPr>
          <w:p w14:paraId="653ED878" w14:textId="77777777" w:rsidR="00CF116F" w:rsidRDefault="001D6272" w:rsidP="006746D8">
            <w:pPr>
              <w:pStyle w:val="NoSpacing"/>
              <w:rPr>
                <w:rFonts w:ascii="Calibri" w:hAnsi="Calibri" w:cs="Calibri"/>
                <w:b/>
                <w:szCs w:val="28"/>
              </w:rPr>
            </w:pPr>
            <w:hyperlink r:id="rId8" w:history="1">
              <w:r w:rsidR="006746D8" w:rsidRPr="00AF4D78">
                <w:rPr>
                  <w:rStyle w:val="Hyperlink"/>
                  <w:rFonts w:ascii="Calibri" w:hAnsi="Calibri" w:cs="Calibri"/>
                  <w:b/>
                  <w:szCs w:val="28"/>
                </w:rPr>
                <w:t>remzije.istrefi@uni-pr.edu</w:t>
              </w:r>
            </w:hyperlink>
            <w:r w:rsidR="001F73A3" w:rsidRPr="00E508FD">
              <w:rPr>
                <w:rFonts w:ascii="Calibri" w:hAnsi="Calibri" w:cs="Calibri"/>
                <w:b/>
                <w:szCs w:val="28"/>
              </w:rPr>
              <w:t xml:space="preserve"> </w:t>
            </w:r>
          </w:p>
          <w:p w14:paraId="37037392" w14:textId="4BCC9741" w:rsidR="000C2BED" w:rsidRPr="00E508FD" w:rsidRDefault="000C2BED" w:rsidP="006746D8">
            <w:pPr>
              <w:pStyle w:val="NoSpacing"/>
              <w:rPr>
                <w:rFonts w:ascii="Calibri" w:hAnsi="Calibri" w:cs="Calibri"/>
                <w:b/>
                <w:szCs w:val="28"/>
                <w:lang w:val="sq-AL"/>
              </w:rPr>
            </w:pPr>
          </w:p>
        </w:tc>
      </w:tr>
      <w:tr w:rsidR="00FB050B" w:rsidRPr="00E508FD" w14:paraId="12F4EDFB" w14:textId="77777777" w:rsidTr="00997B5A">
        <w:tc>
          <w:tcPr>
            <w:tcW w:w="11706" w:type="dxa"/>
            <w:gridSpan w:val="4"/>
            <w:shd w:val="clear" w:color="auto" w:fill="D9D9D9"/>
          </w:tcPr>
          <w:p w14:paraId="2A68D660" w14:textId="77777777" w:rsidR="00FB050B" w:rsidRPr="00E508FD" w:rsidRDefault="00FB050B" w:rsidP="00CF116F">
            <w:pPr>
              <w:pStyle w:val="NoSpacing"/>
              <w:rPr>
                <w:rFonts w:ascii="Calibri" w:hAnsi="Calibri" w:cs="Calibri"/>
              </w:rPr>
            </w:pPr>
          </w:p>
        </w:tc>
      </w:tr>
      <w:tr w:rsidR="00CF116F" w:rsidRPr="00E508FD" w14:paraId="474C6DA4" w14:textId="77777777" w:rsidTr="00997B5A">
        <w:tc>
          <w:tcPr>
            <w:tcW w:w="2371" w:type="dxa"/>
          </w:tcPr>
          <w:p w14:paraId="595A6623" w14:textId="77777777" w:rsidR="001D6B79" w:rsidRDefault="001D6B79" w:rsidP="00C730AC">
            <w:pPr>
              <w:pStyle w:val="NoSpacing"/>
              <w:rPr>
                <w:rFonts w:ascii="Calibri" w:hAnsi="Calibri" w:cs="Calibri"/>
                <w:b/>
              </w:rPr>
            </w:pPr>
          </w:p>
          <w:p w14:paraId="7C0D3024" w14:textId="77777777" w:rsidR="00CF116F" w:rsidRPr="00E508FD" w:rsidRDefault="00C730AC" w:rsidP="00C730AC">
            <w:pPr>
              <w:pStyle w:val="NoSpacing"/>
              <w:rPr>
                <w:rFonts w:ascii="Calibri" w:hAnsi="Calibri" w:cs="Calibri"/>
                <w:b/>
              </w:rPr>
            </w:pPr>
            <w:r w:rsidRPr="00E508FD">
              <w:rPr>
                <w:rFonts w:ascii="Calibri" w:hAnsi="Calibri" w:cs="Calibri"/>
                <w:b/>
              </w:rPr>
              <w:t>Description of the course</w:t>
            </w:r>
            <w:r w:rsidR="00917BE8" w:rsidRPr="00E508FD">
              <w:rPr>
                <w:rFonts w:ascii="Calibri" w:hAnsi="Calibri" w:cs="Calibri"/>
                <w:b/>
              </w:rPr>
              <w:t>:</w:t>
            </w:r>
            <w:r w:rsidRPr="00E508FD">
              <w:rPr>
                <w:rFonts w:ascii="Calibri" w:hAnsi="Calibri" w:cs="Calibri"/>
                <w:b/>
              </w:rPr>
              <w:t xml:space="preserve"> </w:t>
            </w:r>
          </w:p>
        </w:tc>
        <w:tc>
          <w:tcPr>
            <w:tcW w:w="9335" w:type="dxa"/>
            <w:gridSpan w:val="3"/>
          </w:tcPr>
          <w:p w14:paraId="20FCD6B5" w14:textId="77777777" w:rsidR="001D6B79" w:rsidRDefault="001D6B79" w:rsidP="00630614">
            <w:pPr>
              <w:pStyle w:val="NoSpacing"/>
              <w:rPr>
                <w:rFonts w:ascii="Calibri" w:hAnsi="Calibri" w:cs="Calibri"/>
              </w:rPr>
            </w:pPr>
          </w:p>
          <w:p w14:paraId="1EC59A86" w14:textId="77777777" w:rsidR="00472CE5" w:rsidRDefault="006746D8" w:rsidP="00472CE5">
            <w:pPr>
              <w:pStyle w:val="NoSpacing"/>
              <w:rPr>
                <w:rFonts w:ascii="Calibri" w:hAnsi="Calibri" w:cs="Calibri"/>
              </w:rPr>
            </w:pPr>
            <w:r w:rsidRPr="00472CE5">
              <w:t xml:space="preserve">The present course </w:t>
            </w:r>
            <w:proofErr w:type="spellStart"/>
            <w:r w:rsidRPr="00472CE5">
              <w:t>a</w:t>
            </w:r>
            <w:r w:rsidR="00ED2672" w:rsidRPr="00472CE5">
              <w:t>dresses</w:t>
            </w:r>
            <w:proofErr w:type="spellEnd"/>
            <w:r w:rsidRPr="00472CE5">
              <w:t xml:space="preserve"> the need of students for clarifying and updating the framework in which they study the process of EU Integration and the Europeanization phe</w:t>
            </w:r>
            <w:r w:rsidR="00161C5C" w:rsidRPr="00472CE5">
              <w:t>nomenon at large. As a result</w:t>
            </w:r>
            <w:r w:rsidRPr="00472CE5">
              <w:t xml:space="preserve"> the </w:t>
            </w:r>
            <w:r w:rsidR="00EA3D87" w:rsidRPr="00472CE5">
              <w:t xml:space="preserve">course will </w:t>
            </w:r>
            <w:r w:rsidR="00161C5C" w:rsidRPr="00472CE5">
              <w:t xml:space="preserve">address the </w:t>
            </w:r>
            <w:r w:rsidRPr="00472CE5">
              <w:t>ways in which we study EU integration (both theoretical and methodological), the state of the art framework that can be employed by anyone seeking to broaden and deepen their knowledge of the Europeanizatio</w:t>
            </w:r>
            <w:r w:rsidR="00161C5C" w:rsidRPr="00472CE5">
              <w:t>n process. The course will</w:t>
            </w:r>
            <w:r w:rsidRPr="00472CE5">
              <w:t xml:space="preserve"> tackle the concept of Europeanization from different angles</w:t>
            </w:r>
            <w:r w:rsidR="00161C5C" w:rsidRPr="00472CE5">
              <w:t>;</w:t>
            </w:r>
            <w:r w:rsidRPr="00472CE5">
              <w:t xml:space="preserve"> Looking at the evolution of the concept and the fierce debates it has triggered in the last two decades, </w:t>
            </w:r>
            <w:r w:rsidR="00161C5C" w:rsidRPr="00472CE5">
              <w:t xml:space="preserve">and main </w:t>
            </w:r>
            <w:r w:rsidRPr="00472CE5">
              <w:t>Theories and International Relations Theories</w:t>
            </w:r>
            <w:r w:rsidR="00EA3D87" w:rsidRPr="00472CE5">
              <w:t xml:space="preserve"> explaining the role of international and regional organizations.</w:t>
            </w:r>
            <w:r w:rsidRPr="00472CE5">
              <w:t xml:space="preserve"> The course is, therefore, an attempt at picking up the pace of studies on Europeanization, applied on the concrete case study of Kosovo and its relations with the EU. In this context, the course is organized as follows: part one explores the conceptual debates and theories focused on EU integration and opens the avenue for the theoretical and methodological inquiries, part two is a guide for the theoretical patchwork of Europeanization where the rationalist and constructivist approaches stand as a centerpiece; finally, part three is dedicated to the unpacking the process of EU integration in the case of Kosovo analyzed from various policy</w:t>
            </w:r>
            <w:r w:rsidRPr="006746D8">
              <w:rPr>
                <w:rFonts w:ascii="Calibri" w:hAnsi="Calibri" w:cs="Calibri"/>
              </w:rPr>
              <w:t xml:space="preserve"> </w:t>
            </w:r>
            <w:r w:rsidRPr="00472CE5">
              <w:t>perspectives.</w:t>
            </w:r>
            <w:r w:rsidRPr="006746D8">
              <w:rPr>
                <w:rFonts w:ascii="Calibri" w:hAnsi="Calibri" w:cs="Calibri"/>
              </w:rPr>
              <w:t xml:space="preserve"> </w:t>
            </w:r>
            <w:r w:rsidR="00472CE5">
              <w:rPr>
                <w:rFonts w:ascii="Calibri" w:hAnsi="Calibri" w:cs="Calibri"/>
              </w:rPr>
              <w:t xml:space="preserve"> </w:t>
            </w:r>
          </w:p>
          <w:p w14:paraId="1DC5C612" w14:textId="77777777" w:rsidR="007C3132" w:rsidRPr="00E508FD" w:rsidRDefault="00F8074A" w:rsidP="00472CE5">
            <w:pPr>
              <w:pStyle w:val="NoSpacing"/>
              <w:rPr>
                <w:rFonts w:ascii="Calibri" w:hAnsi="Calibri" w:cs="Calibri"/>
              </w:rPr>
            </w:pPr>
            <w:r w:rsidRPr="00E508FD">
              <w:rPr>
                <w:rFonts w:ascii="Calibri" w:hAnsi="Calibri" w:cs="Calibri"/>
              </w:rPr>
              <w:t xml:space="preserve">    </w:t>
            </w:r>
            <w:r w:rsidR="00C730AC" w:rsidRPr="00E508FD">
              <w:rPr>
                <w:rFonts w:ascii="Calibri" w:hAnsi="Calibri" w:cs="Calibri"/>
              </w:rPr>
              <w:t xml:space="preserve"> </w:t>
            </w:r>
            <w:r w:rsidRPr="00E508FD">
              <w:rPr>
                <w:rFonts w:ascii="Calibri" w:hAnsi="Calibri" w:cs="Calibri"/>
              </w:rPr>
              <w:t xml:space="preserve"> </w:t>
            </w:r>
            <w:r w:rsidR="00E709D9" w:rsidRPr="00E508FD">
              <w:rPr>
                <w:rFonts w:ascii="Calibri" w:hAnsi="Calibri" w:cs="Calibri"/>
              </w:rPr>
              <w:t xml:space="preserve"> </w:t>
            </w:r>
          </w:p>
        </w:tc>
      </w:tr>
      <w:tr w:rsidR="00CF116F" w:rsidRPr="00E508FD" w14:paraId="559A53E7" w14:textId="77777777" w:rsidTr="00997B5A">
        <w:tc>
          <w:tcPr>
            <w:tcW w:w="2371" w:type="dxa"/>
          </w:tcPr>
          <w:p w14:paraId="5A1702E5" w14:textId="77777777" w:rsidR="001D6B79" w:rsidRDefault="001D6B79" w:rsidP="00CF116F">
            <w:pPr>
              <w:pStyle w:val="NoSpacing"/>
              <w:rPr>
                <w:rFonts w:ascii="Calibri" w:hAnsi="Calibri" w:cs="Calibri"/>
                <w:b/>
              </w:rPr>
            </w:pPr>
          </w:p>
          <w:p w14:paraId="3FD6EE9F" w14:textId="77777777" w:rsidR="00CF116F" w:rsidRPr="00E508FD" w:rsidRDefault="009A30DD" w:rsidP="00CF116F">
            <w:pPr>
              <w:pStyle w:val="NoSpacing"/>
              <w:rPr>
                <w:rFonts w:ascii="Calibri" w:hAnsi="Calibri" w:cs="Calibri"/>
                <w:b/>
              </w:rPr>
            </w:pPr>
            <w:r w:rsidRPr="00E508FD">
              <w:rPr>
                <w:rFonts w:ascii="Calibri" w:hAnsi="Calibri" w:cs="Calibri"/>
                <w:b/>
              </w:rPr>
              <w:t xml:space="preserve">Course objectives: </w:t>
            </w:r>
          </w:p>
        </w:tc>
        <w:tc>
          <w:tcPr>
            <w:tcW w:w="9335" w:type="dxa"/>
            <w:gridSpan w:val="3"/>
          </w:tcPr>
          <w:p w14:paraId="338D2507" w14:textId="77777777" w:rsidR="001D6B79" w:rsidRPr="00472CE5" w:rsidRDefault="00EA3D87" w:rsidP="00CF116F">
            <w:pPr>
              <w:pStyle w:val="NoSpacing"/>
            </w:pPr>
            <w:r w:rsidRPr="00472CE5">
              <w:t xml:space="preserve">Overall, the course aims to offer students a complex understanding of the main challenges of Europeanization </w:t>
            </w:r>
            <w:r w:rsidR="00575B34" w:rsidRPr="00472CE5">
              <w:t xml:space="preserve">with the </w:t>
            </w:r>
            <w:r w:rsidRPr="00472CE5">
              <w:t xml:space="preserve">particular </w:t>
            </w:r>
            <w:r w:rsidR="00575B34" w:rsidRPr="00472CE5">
              <w:t xml:space="preserve">focus on </w:t>
            </w:r>
            <w:r w:rsidRPr="00472CE5">
              <w:t>Kosovo’ experience in the EU accession framework.</w:t>
            </w:r>
          </w:p>
          <w:p w14:paraId="48D23A29" w14:textId="77777777" w:rsidR="001B69FE" w:rsidRPr="00472CE5" w:rsidRDefault="001B69FE" w:rsidP="00CF116F">
            <w:pPr>
              <w:pStyle w:val="NoSpacing"/>
            </w:pPr>
            <w:r w:rsidRPr="00472CE5">
              <w:t>The main objectives of th</w:t>
            </w:r>
            <w:r w:rsidR="00575B34" w:rsidRPr="00472CE5">
              <w:t>e</w:t>
            </w:r>
            <w:r w:rsidRPr="00472CE5">
              <w:t xml:space="preserve"> course are:</w:t>
            </w:r>
          </w:p>
          <w:p w14:paraId="440E0EB6" w14:textId="77777777" w:rsidR="001B69FE" w:rsidRPr="00472CE5" w:rsidRDefault="001B69FE" w:rsidP="00CF116F">
            <w:pPr>
              <w:pStyle w:val="NoSpacing"/>
            </w:pPr>
          </w:p>
          <w:p w14:paraId="6A573175" w14:textId="77777777" w:rsidR="001B69FE" w:rsidRPr="00472CE5" w:rsidRDefault="001B69FE" w:rsidP="0024065E">
            <w:pPr>
              <w:pStyle w:val="NoSpacing"/>
              <w:numPr>
                <w:ilvl w:val="0"/>
                <w:numId w:val="7"/>
              </w:numPr>
            </w:pPr>
            <w:r w:rsidRPr="00472CE5">
              <w:t xml:space="preserve">Advance </w:t>
            </w:r>
            <w:r w:rsidR="00117B42" w:rsidRPr="00472CE5">
              <w:t>student’s knowledge</w:t>
            </w:r>
            <w:r w:rsidRPr="00472CE5">
              <w:t xml:space="preserve"> in the functioning</w:t>
            </w:r>
            <w:r w:rsidR="003125FD" w:rsidRPr="00472CE5">
              <w:t xml:space="preserve"> of the EU</w:t>
            </w:r>
            <w:r w:rsidR="00EA3D87" w:rsidRPr="00472CE5">
              <w:t>, and it enlargement process;</w:t>
            </w:r>
          </w:p>
          <w:p w14:paraId="2E115170" w14:textId="77777777" w:rsidR="003125FD" w:rsidRPr="00472CE5" w:rsidRDefault="003125FD" w:rsidP="0024065E">
            <w:pPr>
              <w:pStyle w:val="NoSpacing"/>
              <w:numPr>
                <w:ilvl w:val="0"/>
                <w:numId w:val="7"/>
              </w:numPr>
            </w:pPr>
            <w:r w:rsidRPr="00472CE5">
              <w:lastRenderedPageBreak/>
              <w:t>To advance students’ knowledge on</w:t>
            </w:r>
            <w:r w:rsidR="00117B42" w:rsidRPr="00472CE5">
              <w:t xml:space="preserve"> </w:t>
            </w:r>
            <w:r w:rsidRPr="00472CE5">
              <w:t xml:space="preserve">how </w:t>
            </w:r>
            <w:r w:rsidR="00117B42" w:rsidRPr="00472CE5">
              <w:t>the EU</w:t>
            </w:r>
            <w:r w:rsidR="00EA3D87" w:rsidRPr="00472CE5">
              <w:t>’s</w:t>
            </w:r>
            <w:r w:rsidR="00117B42" w:rsidRPr="00472CE5">
              <w:t xml:space="preserve"> common foreign and security policy</w:t>
            </w:r>
            <w:r w:rsidR="00EA3D87" w:rsidRPr="00472CE5">
              <w:t xml:space="preserve"> is affecting western Balkan countries;</w:t>
            </w:r>
            <w:r w:rsidR="00E24421" w:rsidRPr="00472CE5">
              <w:t xml:space="preserve"> </w:t>
            </w:r>
            <w:r w:rsidR="00117B42" w:rsidRPr="00472CE5">
              <w:rPr>
                <w:bCs/>
              </w:rPr>
              <w:t xml:space="preserve"> </w:t>
            </w:r>
          </w:p>
          <w:p w14:paraId="696DF9CC" w14:textId="77777777" w:rsidR="003125FD" w:rsidRPr="00472CE5" w:rsidRDefault="003125FD" w:rsidP="0024065E">
            <w:pPr>
              <w:pStyle w:val="NoSpacing"/>
              <w:numPr>
                <w:ilvl w:val="0"/>
                <w:numId w:val="7"/>
              </w:numPr>
            </w:pPr>
            <w:r w:rsidRPr="00472CE5">
              <w:t xml:space="preserve">To advance students’ knowledge on </w:t>
            </w:r>
            <w:r w:rsidR="00EA3D87" w:rsidRPr="00472CE5">
              <w:t xml:space="preserve">the process and challenges of EU integration; </w:t>
            </w:r>
          </w:p>
          <w:p w14:paraId="3B14E538" w14:textId="77777777" w:rsidR="0024065E" w:rsidRPr="00472CE5" w:rsidRDefault="0024065E" w:rsidP="0024065E">
            <w:pPr>
              <w:numPr>
                <w:ilvl w:val="0"/>
                <w:numId w:val="7"/>
              </w:numPr>
              <w:spacing w:line="300" w:lineRule="atLeast"/>
              <w:rPr>
                <w:bCs/>
              </w:rPr>
            </w:pPr>
            <w:r w:rsidRPr="00472CE5">
              <w:rPr>
                <w:bCs/>
              </w:rPr>
              <w:t>Students will be exposed to the main theoretical approaches and core debates about how to best understand the processes and integrative efforts of the western Balkan countries with particular attention to Kosovo;</w:t>
            </w:r>
          </w:p>
          <w:p w14:paraId="2BAA7494" w14:textId="77777777" w:rsidR="003125FD" w:rsidRPr="00472CE5" w:rsidRDefault="003125FD" w:rsidP="0024065E">
            <w:pPr>
              <w:pStyle w:val="NoSpacing"/>
              <w:numPr>
                <w:ilvl w:val="0"/>
                <w:numId w:val="7"/>
              </w:numPr>
            </w:pPr>
            <w:r w:rsidRPr="00472CE5">
              <w:t xml:space="preserve">To </w:t>
            </w:r>
            <w:r w:rsidR="00EA3D87" w:rsidRPr="00472CE5">
              <w:t>increase the level of critical thinking of</w:t>
            </w:r>
            <w:r w:rsidRPr="00472CE5">
              <w:t xml:space="preserve"> the students on the issue of </w:t>
            </w:r>
            <w:r w:rsidR="00EA3D87" w:rsidRPr="00472CE5">
              <w:t>EU integration with particular focus on Kosovo’s integrative efforts.</w:t>
            </w:r>
          </w:p>
          <w:p w14:paraId="4547266F" w14:textId="77777777" w:rsidR="007C3132" w:rsidRPr="00E508FD" w:rsidRDefault="007C3132" w:rsidP="005F3FB3">
            <w:pPr>
              <w:pStyle w:val="NoSpacing"/>
              <w:rPr>
                <w:rFonts w:ascii="Calibri" w:hAnsi="Calibri" w:cs="Calibri"/>
                <w:i/>
                <w:sz w:val="22"/>
                <w:szCs w:val="22"/>
              </w:rPr>
            </w:pPr>
          </w:p>
        </w:tc>
      </w:tr>
      <w:tr w:rsidR="00CF116F" w:rsidRPr="00E508FD" w14:paraId="4F83E55D" w14:textId="77777777" w:rsidTr="00997B5A">
        <w:tc>
          <w:tcPr>
            <w:tcW w:w="2371" w:type="dxa"/>
          </w:tcPr>
          <w:p w14:paraId="1C91AE1F" w14:textId="77777777" w:rsidR="001D6B79" w:rsidRDefault="001D6B79" w:rsidP="006F54C4">
            <w:pPr>
              <w:pStyle w:val="NoSpacing"/>
              <w:rPr>
                <w:rFonts w:ascii="Calibri" w:hAnsi="Calibri" w:cs="Calibri"/>
                <w:b/>
              </w:rPr>
            </w:pPr>
          </w:p>
          <w:p w14:paraId="1BD18FA4" w14:textId="77777777" w:rsidR="00CF116F" w:rsidRPr="00E508FD" w:rsidRDefault="00C44051" w:rsidP="006F54C4">
            <w:pPr>
              <w:pStyle w:val="NoSpacing"/>
              <w:rPr>
                <w:rFonts w:ascii="Calibri" w:hAnsi="Calibri" w:cs="Calibri"/>
                <w:b/>
              </w:rPr>
            </w:pPr>
            <w:r w:rsidRPr="00E508FD">
              <w:rPr>
                <w:rFonts w:ascii="Calibri" w:hAnsi="Calibri" w:cs="Calibri"/>
                <w:b/>
              </w:rPr>
              <w:t xml:space="preserve">Expected learning results: </w:t>
            </w:r>
          </w:p>
        </w:tc>
        <w:tc>
          <w:tcPr>
            <w:tcW w:w="9335" w:type="dxa"/>
            <w:gridSpan w:val="3"/>
          </w:tcPr>
          <w:p w14:paraId="518038C8" w14:textId="77777777" w:rsidR="001D6B79" w:rsidRDefault="001D6B79" w:rsidP="006F54C4">
            <w:pPr>
              <w:spacing w:line="300" w:lineRule="atLeast"/>
              <w:ind w:left="3060" w:hanging="3060"/>
              <w:rPr>
                <w:rFonts w:ascii="Calibri" w:hAnsi="Calibri" w:cs="Calibri"/>
                <w:bCs/>
              </w:rPr>
            </w:pPr>
          </w:p>
          <w:p w14:paraId="3F0F1EF5" w14:textId="77777777" w:rsidR="006F54C4" w:rsidRPr="00472CE5" w:rsidRDefault="006F54C4" w:rsidP="006F54C4">
            <w:pPr>
              <w:spacing w:line="300" w:lineRule="atLeast"/>
              <w:ind w:left="3060" w:hanging="3060"/>
              <w:rPr>
                <w:bCs/>
              </w:rPr>
            </w:pPr>
            <w:r w:rsidRPr="00472CE5">
              <w:rPr>
                <w:bCs/>
              </w:rPr>
              <w:t xml:space="preserve">After completion of this study course, </w:t>
            </w:r>
            <w:r w:rsidR="00433A02" w:rsidRPr="00472CE5">
              <w:rPr>
                <w:bCs/>
              </w:rPr>
              <w:t>the student</w:t>
            </w:r>
          </w:p>
          <w:p w14:paraId="42236FBA" w14:textId="77777777" w:rsidR="007E1DBE" w:rsidRPr="00472CE5" w:rsidRDefault="006F54C4" w:rsidP="006F54C4">
            <w:pPr>
              <w:spacing w:line="300" w:lineRule="atLeast"/>
              <w:ind w:left="3060" w:hanging="3060"/>
              <w:rPr>
                <w:bCs/>
              </w:rPr>
            </w:pPr>
            <w:r w:rsidRPr="00472CE5">
              <w:rPr>
                <w:bCs/>
              </w:rPr>
              <w:t>will be able to:</w:t>
            </w:r>
          </w:p>
          <w:p w14:paraId="6481FA6D" w14:textId="77777777" w:rsidR="007E1DBE" w:rsidRPr="00472CE5" w:rsidRDefault="007E1DBE" w:rsidP="006F54C4">
            <w:pPr>
              <w:spacing w:line="300" w:lineRule="atLeast"/>
              <w:rPr>
                <w:b/>
                <w:bCs/>
              </w:rPr>
            </w:pPr>
            <w:r w:rsidRPr="00472CE5">
              <w:rPr>
                <w:b/>
                <w:bCs/>
              </w:rPr>
              <w:tab/>
            </w:r>
          </w:p>
          <w:p w14:paraId="697108DA" w14:textId="77777777" w:rsidR="007C3132" w:rsidRPr="00472CE5" w:rsidRDefault="0024065E" w:rsidP="007E0F95">
            <w:pPr>
              <w:numPr>
                <w:ilvl w:val="0"/>
                <w:numId w:val="1"/>
              </w:numPr>
              <w:spacing w:line="300" w:lineRule="atLeast"/>
              <w:rPr>
                <w:bCs/>
              </w:rPr>
            </w:pPr>
            <w:r w:rsidRPr="00472CE5">
              <w:t xml:space="preserve">Gain deeper knowledge on </w:t>
            </w:r>
            <w:r w:rsidR="00575B34" w:rsidRPr="00472CE5">
              <w:t>the functioning of the EU and its enlargement policies;</w:t>
            </w:r>
          </w:p>
          <w:p w14:paraId="306D8A8F" w14:textId="77777777" w:rsidR="00575B34" w:rsidRPr="00472CE5" w:rsidRDefault="00575B34" w:rsidP="007E0F95">
            <w:pPr>
              <w:numPr>
                <w:ilvl w:val="0"/>
                <w:numId w:val="1"/>
              </w:numPr>
              <w:spacing w:line="300" w:lineRule="atLeast"/>
              <w:rPr>
                <w:bCs/>
              </w:rPr>
            </w:pPr>
            <w:r w:rsidRPr="00472CE5">
              <w:t xml:space="preserve">Distinguish </w:t>
            </w:r>
            <w:r w:rsidR="003125FD" w:rsidRPr="00472CE5">
              <w:t xml:space="preserve">main </w:t>
            </w:r>
            <w:r w:rsidRPr="00472CE5">
              <w:t xml:space="preserve">legal and policy framework that relates to enlargement process; </w:t>
            </w:r>
          </w:p>
          <w:p w14:paraId="756950FC" w14:textId="77777777" w:rsidR="003125FD" w:rsidRPr="00472CE5" w:rsidRDefault="00575B34" w:rsidP="007E0F95">
            <w:pPr>
              <w:numPr>
                <w:ilvl w:val="0"/>
                <w:numId w:val="1"/>
              </w:numPr>
              <w:spacing w:line="300" w:lineRule="atLeast"/>
              <w:rPr>
                <w:bCs/>
              </w:rPr>
            </w:pPr>
            <w:r w:rsidRPr="00472CE5">
              <w:rPr>
                <w:bCs/>
              </w:rPr>
              <w:t>Spot  and predict the main EU politics toward Western Balkan Countries’</w:t>
            </w:r>
          </w:p>
          <w:p w14:paraId="6454C6DC" w14:textId="77777777" w:rsidR="00575B34" w:rsidRPr="00472CE5" w:rsidRDefault="00575B34" w:rsidP="007E0F95">
            <w:pPr>
              <w:numPr>
                <w:ilvl w:val="0"/>
                <w:numId w:val="1"/>
              </w:numPr>
              <w:spacing w:line="300" w:lineRule="atLeast"/>
              <w:rPr>
                <w:bCs/>
              </w:rPr>
            </w:pPr>
            <w:r w:rsidRPr="00472CE5">
              <w:rPr>
                <w:bCs/>
              </w:rPr>
              <w:t xml:space="preserve">Know how the EU engages with </w:t>
            </w:r>
            <w:r w:rsidR="00ED2672" w:rsidRPr="00472CE5">
              <w:rPr>
                <w:bCs/>
              </w:rPr>
              <w:t>Kosovo</w:t>
            </w:r>
            <w:r w:rsidRPr="00472CE5">
              <w:rPr>
                <w:bCs/>
              </w:rPr>
              <w:t xml:space="preserve"> authorities  in formulating  the integration process</w:t>
            </w:r>
            <w:r w:rsidR="00ED2672" w:rsidRPr="00472CE5">
              <w:rPr>
                <w:bCs/>
              </w:rPr>
              <w:t>;</w:t>
            </w:r>
            <w:r w:rsidRPr="00472CE5">
              <w:t xml:space="preserve"> </w:t>
            </w:r>
          </w:p>
          <w:p w14:paraId="235DD4BE" w14:textId="77777777" w:rsidR="00117B42" w:rsidRPr="00472CE5" w:rsidRDefault="00575B34" w:rsidP="00472CE5">
            <w:pPr>
              <w:numPr>
                <w:ilvl w:val="0"/>
                <w:numId w:val="1"/>
              </w:numPr>
              <w:spacing w:line="300" w:lineRule="atLeast"/>
              <w:ind w:left="720"/>
              <w:rPr>
                <w:rFonts w:ascii="Calibri" w:hAnsi="Calibri" w:cs="Calibri"/>
                <w:bCs/>
              </w:rPr>
            </w:pPr>
            <w:r w:rsidRPr="00472CE5">
              <w:t>Know the steps that Kosovo need</w:t>
            </w:r>
            <w:r w:rsidR="00ED2672" w:rsidRPr="00472CE5">
              <w:t xml:space="preserve">s </w:t>
            </w:r>
            <w:r w:rsidRPr="00472CE5">
              <w:t xml:space="preserve">to undertake in order to </w:t>
            </w:r>
            <w:r w:rsidR="00ED2672" w:rsidRPr="00472CE5">
              <w:t>get</w:t>
            </w:r>
            <w:r w:rsidRPr="00472CE5">
              <w:t xml:space="preserve"> closer to the EU</w:t>
            </w:r>
            <w:r w:rsidR="00ED2672" w:rsidRPr="00472CE5">
              <w:t>.</w:t>
            </w:r>
            <w:r w:rsidR="00472CE5" w:rsidRPr="00472CE5">
              <w:t xml:space="preserve"> </w:t>
            </w:r>
          </w:p>
          <w:p w14:paraId="61B7494C" w14:textId="77777777" w:rsidR="00472CE5" w:rsidRPr="00E508FD" w:rsidRDefault="00472CE5" w:rsidP="00472CE5">
            <w:pPr>
              <w:spacing w:line="300" w:lineRule="atLeast"/>
              <w:ind w:left="720"/>
              <w:rPr>
                <w:rFonts w:ascii="Calibri" w:hAnsi="Calibri" w:cs="Calibri"/>
                <w:bCs/>
              </w:rPr>
            </w:pPr>
          </w:p>
        </w:tc>
      </w:tr>
      <w:tr w:rsidR="00FF7590" w:rsidRPr="00E508FD" w14:paraId="19D0E138" w14:textId="77777777" w:rsidTr="00997B5A">
        <w:tc>
          <w:tcPr>
            <w:tcW w:w="11706" w:type="dxa"/>
            <w:gridSpan w:val="4"/>
            <w:shd w:val="clear" w:color="auto" w:fill="D9D9D9"/>
          </w:tcPr>
          <w:p w14:paraId="12030B30" w14:textId="77777777" w:rsidR="00FF7590" w:rsidRPr="00E508FD" w:rsidRDefault="00FF7590" w:rsidP="00CF116F">
            <w:pPr>
              <w:pStyle w:val="NoSpacing"/>
              <w:rPr>
                <w:rFonts w:ascii="Calibri" w:hAnsi="Calibri" w:cs="Calibri"/>
                <w:i/>
                <w:sz w:val="22"/>
                <w:szCs w:val="22"/>
              </w:rPr>
            </w:pPr>
          </w:p>
        </w:tc>
      </w:tr>
      <w:tr w:rsidR="00FB050B" w:rsidRPr="00E508FD" w14:paraId="6ECA5D89" w14:textId="77777777" w:rsidTr="00997B5A">
        <w:tc>
          <w:tcPr>
            <w:tcW w:w="11706" w:type="dxa"/>
            <w:gridSpan w:val="4"/>
            <w:shd w:val="clear" w:color="auto" w:fill="D9D9D9"/>
          </w:tcPr>
          <w:p w14:paraId="7D5CDE55" w14:textId="77777777" w:rsidR="00FB050B" w:rsidRPr="00E508FD" w:rsidRDefault="00C26DF9" w:rsidP="00C26DF9">
            <w:pPr>
              <w:pStyle w:val="NoSpacing"/>
              <w:jc w:val="center"/>
              <w:rPr>
                <w:rFonts w:ascii="Calibri" w:hAnsi="Calibri" w:cs="Calibri"/>
                <w:b/>
              </w:rPr>
            </w:pPr>
            <w:r w:rsidRPr="00E508FD">
              <w:rPr>
                <w:rFonts w:ascii="Calibri" w:hAnsi="Calibri" w:cs="Calibri"/>
                <w:b/>
              </w:rPr>
              <w:t xml:space="preserve">Student contribution ( which therefore shall correspond with the results of learning) </w:t>
            </w:r>
            <w:r w:rsidR="00183923" w:rsidRPr="00E508FD">
              <w:rPr>
                <w:rFonts w:ascii="Calibri" w:hAnsi="Calibri" w:cs="Calibri"/>
                <w:b/>
              </w:rPr>
              <w:t xml:space="preserve"> </w:t>
            </w:r>
          </w:p>
        </w:tc>
      </w:tr>
      <w:tr w:rsidR="003A6FEB" w:rsidRPr="00E508FD" w14:paraId="5920EBF1" w14:textId="77777777" w:rsidTr="00997B5A">
        <w:tc>
          <w:tcPr>
            <w:tcW w:w="2371" w:type="dxa"/>
            <w:tcBorders>
              <w:right w:val="single" w:sz="4" w:space="0" w:color="auto"/>
            </w:tcBorders>
            <w:shd w:val="clear" w:color="auto" w:fill="D9D9D9"/>
          </w:tcPr>
          <w:p w14:paraId="647337F2" w14:textId="77777777" w:rsidR="00183923" w:rsidRPr="00E508FD" w:rsidRDefault="00C26DF9" w:rsidP="00183923">
            <w:pPr>
              <w:rPr>
                <w:rFonts w:ascii="Calibri" w:hAnsi="Calibri" w:cs="Calibri"/>
                <w:b/>
                <w:sz w:val="22"/>
                <w:szCs w:val="22"/>
              </w:rPr>
            </w:pPr>
            <w:r w:rsidRPr="00E508FD">
              <w:rPr>
                <w:rFonts w:ascii="Calibri" w:hAnsi="Calibri" w:cs="Calibri"/>
                <w:b/>
                <w:sz w:val="22"/>
                <w:szCs w:val="22"/>
              </w:rPr>
              <w:t>Activity</w:t>
            </w:r>
          </w:p>
        </w:tc>
        <w:tc>
          <w:tcPr>
            <w:tcW w:w="2928" w:type="dxa"/>
            <w:tcBorders>
              <w:left w:val="single" w:sz="4" w:space="0" w:color="auto"/>
              <w:right w:val="single" w:sz="4" w:space="0" w:color="auto"/>
            </w:tcBorders>
            <w:shd w:val="clear" w:color="auto" w:fill="D9D9D9"/>
          </w:tcPr>
          <w:p w14:paraId="33361D66" w14:textId="77777777" w:rsidR="00183923" w:rsidRPr="00E508FD" w:rsidRDefault="00C26DF9" w:rsidP="00183923">
            <w:pPr>
              <w:rPr>
                <w:rFonts w:ascii="Calibri" w:hAnsi="Calibri" w:cs="Calibri"/>
                <w:b/>
                <w:sz w:val="22"/>
                <w:szCs w:val="22"/>
              </w:rPr>
            </w:pPr>
            <w:r w:rsidRPr="00E508FD">
              <w:rPr>
                <w:rFonts w:ascii="Calibri" w:hAnsi="Calibri" w:cs="Calibri"/>
                <w:b/>
                <w:sz w:val="22"/>
                <w:szCs w:val="22"/>
              </w:rPr>
              <w:t>Hour</w:t>
            </w:r>
          </w:p>
        </w:tc>
        <w:tc>
          <w:tcPr>
            <w:tcW w:w="4763" w:type="dxa"/>
            <w:tcBorders>
              <w:left w:val="single" w:sz="4" w:space="0" w:color="auto"/>
              <w:right w:val="single" w:sz="4" w:space="0" w:color="auto"/>
            </w:tcBorders>
            <w:shd w:val="clear" w:color="auto" w:fill="D9D9D9"/>
          </w:tcPr>
          <w:p w14:paraId="3E12ADC4" w14:textId="77777777" w:rsidR="00183923" w:rsidRPr="00E508FD" w:rsidRDefault="00183923" w:rsidP="00C26DF9">
            <w:pPr>
              <w:rPr>
                <w:rFonts w:ascii="Calibri" w:hAnsi="Calibri" w:cs="Calibri"/>
                <w:b/>
                <w:sz w:val="22"/>
                <w:szCs w:val="22"/>
              </w:rPr>
            </w:pPr>
            <w:r w:rsidRPr="00E508FD">
              <w:rPr>
                <w:rFonts w:ascii="Calibri" w:hAnsi="Calibri" w:cs="Calibri"/>
                <w:b/>
                <w:sz w:val="22"/>
                <w:szCs w:val="22"/>
              </w:rPr>
              <w:t xml:space="preserve"> </w:t>
            </w:r>
            <w:r w:rsidR="00C26DF9" w:rsidRPr="00E508FD">
              <w:rPr>
                <w:rFonts w:ascii="Calibri" w:hAnsi="Calibri" w:cs="Calibri"/>
                <w:b/>
                <w:sz w:val="22"/>
                <w:szCs w:val="22"/>
              </w:rPr>
              <w:t>Day</w:t>
            </w:r>
            <w:r w:rsidRPr="00E508FD">
              <w:rPr>
                <w:rFonts w:ascii="Calibri" w:hAnsi="Calibri" w:cs="Calibri"/>
                <w:b/>
                <w:sz w:val="22"/>
                <w:szCs w:val="22"/>
              </w:rPr>
              <w:t>/</w:t>
            </w:r>
            <w:r w:rsidR="00C26DF9" w:rsidRPr="00E508FD">
              <w:rPr>
                <w:rFonts w:ascii="Calibri" w:hAnsi="Calibri" w:cs="Calibri"/>
                <w:b/>
                <w:sz w:val="22"/>
                <w:szCs w:val="22"/>
              </w:rPr>
              <w:t>week</w:t>
            </w:r>
            <w:r w:rsidRPr="00E508FD">
              <w:rPr>
                <w:rFonts w:ascii="Calibri" w:hAnsi="Calibri" w:cs="Calibri"/>
                <w:b/>
                <w:sz w:val="22"/>
                <w:szCs w:val="22"/>
              </w:rPr>
              <w:t xml:space="preserve">  </w:t>
            </w:r>
          </w:p>
        </w:tc>
        <w:tc>
          <w:tcPr>
            <w:tcW w:w="1644" w:type="dxa"/>
            <w:tcBorders>
              <w:left w:val="single" w:sz="4" w:space="0" w:color="auto"/>
            </w:tcBorders>
            <w:shd w:val="clear" w:color="auto" w:fill="D9D9D9"/>
          </w:tcPr>
          <w:p w14:paraId="6DA11EA1" w14:textId="77777777" w:rsidR="00183923" w:rsidRPr="00E508FD" w:rsidRDefault="00C26DF9" w:rsidP="00183923">
            <w:pPr>
              <w:rPr>
                <w:rFonts w:ascii="Calibri" w:hAnsi="Calibri" w:cs="Calibri"/>
                <w:b/>
                <w:sz w:val="22"/>
                <w:szCs w:val="22"/>
              </w:rPr>
            </w:pPr>
            <w:r w:rsidRPr="00E508FD">
              <w:rPr>
                <w:rFonts w:ascii="Calibri" w:hAnsi="Calibri" w:cs="Calibri"/>
                <w:b/>
                <w:sz w:val="22"/>
                <w:szCs w:val="22"/>
              </w:rPr>
              <w:t xml:space="preserve">Total </w:t>
            </w:r>
          </w:p>
        </w:tc>
      </w:tr>
      <w:tr w:rsidR="00426B54" w:rsidRPr="00E508FD" w14:paraId="35CD8402" w14:textId="77777777" w:rsidTr="00997B5A">
        <w:tc>
          <w:tcPr>
            <w:tcW w:w="2371" w:type="dxa"/>
            <w:tcBorders>
              <w:right w:val="single" w:sz="4" w:space="0" w:color="auto"/>
            </w:tcBorders>
            <w:shd w:val="clear" w:color="auto" w:fill="FFFFFF"/>
          </w:tcPr>
          <w:p w14:paraId="5F08544A"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Lecture </w:t>
            </w:r>
          </w:p>
        </w:tc>
        <w:tc>
          <w:tcPr>
            <w:tcW w:w="2928" w:type="dxa"/>
            <w:tcBorders>
              <w:left w:val="single" w:sz="4" w:space="0" w:color="auto"/>
              <w:right w:val="single" w:sz="4" w:space="0" w:color="auto"/>
            </w:tcBorders>
            <w:shd w:val="clear" w:color="auto" w:fill="FFFFFF"/>
          </w:tcPr>
          <w:p w14:paraId="5D968F9F" w14:textId="77777777" w:rsidR="00426B54" w:rsidRDefault="00426B54" w:rsidP="00426B54">
            <w:pPr>
              <w:rPr>
                <w:rFonts w:ascii="Calibri" w:hAnsi="Calibri" w:cs="Calibri"/>
                <w:sz w:val="22"/>
                <w:szCs w:val="22"/>
              </w:rPr>
            </w:pPr>
            <w:r>
              <w:rPr>
                <w:rFonts w:ascii="Calibri" w:hAnsi="Calibri" w:cs="Calibri"/>
                <w:sz w:val="22"/>
                <w:szCs w:val="22"/>
              </w:rPr>
              <w:t>2</w:t>
            </w:r>
          </w:p>
        </w:tc>
        <w:tc>
          <w:tcPr>
            <w:tcW w:w="4763" w:type="dxa"/>
            <w:tcBorders>
              <w:left w:val="single" w:sz="4" w:space="0" w:color="auto"/>
              <w:right w:val="single" w:sz="4" w:space="0" w:color="auto"/>
            </w:tcBorders>
            <w:shd w:val="clear" w:color="auto" w:fill="FFFFFF"/>
          </w:tcPr>
          <w:p w14:paraId="7410A073" w14:textId="77777777" w:rsidR="00426B54" w:rsidRDefault="00426B54" w:rsidP="00426B54">
            <w:pPr>
              <w:rPr>
                <w:rFonts w:ascii="Calibri" w:hAnsi="Calibri" w:cs="Calibri"/>
                <w:sz w:val="22"/>
                <w:szCs w:val="22"/>
                <w:lang w:val="en-GB" w:eastAsia="en-GB"/>
              </w:rPr>
            </w:pPr>
            <w:r>
              <w:rPr>
                <w:rFonts w:ascii="Calibri" w:hAnsi="Calibri" w:cs="Calibri"/>
                <w:sz w:val="22"/>
                <w:szCs w:val="22"/>
              </w:rPr>
              <w:t>15</w:t>
            </w:r>
          </w:p>
        </w:tc>
        <w:tc>
          <w:tcPr>
            <w:tcW w:w="1644" w:type="dxa"/>
            <w:tcBorders>
              <w:left w:val="single" w:sz="4" w:space="0" w:color="auto"/>
            </w:tcBorders>
            <w:shd w:val="clear" w:color="auto" w:fill="FFFFFF"/>
          </w:tcPr>
          <w:p w14:paraId="3CE845E0" w14:textId="77777777" w:rsidR="00426B54" w:rsidRDefault="00426B54" w:rsidP="00426B54">
            <w:pPr>
              <w:rPr>
                <w:rFonts w:ascii="Calibri" w:hAnsi="Calibri" w:cs="Calibri"/>
                <w:sz w:val="22"/>
                <w:szCs w:val="22"/>
              </w:rPr>
            </w:pPr>
            <w:r>
              <w:rPr>
                <w:rFonts w:ascii="Calibri" w:hAnsi="Calibri" w:cs="Calibri"/>
                <w:sz w:val="22"/>
                <w:szCs w:val="22"/>
              </w:rPr>
              <w:t>30</w:t>
            </w:r>
          </w:p>
        </w:tc>
      </w:tr>
      <w:tr w:rsidR="00426B54" w:rsidRPr="00E508FD" w14:paraId="61BD8631" w14:textId="77777777" w:rsidTr="00997B5A">
        <w:tc>
          <w:tcPr>
            <w:tcW w:w="2371" w:type="dxa"/>
            <w:tcBorders>
              <w:right w:val="single" w:sz="4" w:space="0" w:color="auto"/>
            </w:tcBorders>
            <w:shd w:val="clear" w:color="auto" w:fill="FFFFFF"/>
          </w:tcPr>
          <w:p w14:paraId="284E0E34"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Theoretical/ laboratory exercises </w:t>
            </w:r>
          </w:p>
        </w:tc>
        <w:tc>
          <w:tcPr>
            <w:tcW w:w="2928" w:type="dxa"/>
            <w:tcBorders>
              <w:left w:val="single" w:sz="4" w:space="0" w:color="auto"/>
              <w:right w:val="single" w:sz="4" w:space="0" w:color="auto"/>
            </w:tcBorders>
            <w:shd w:val="clear" w:color="auto" w:fill="FFFFFF"/>
          </w:tcPr>
          <w:p w14:paraId="5583B3AF" w14:textId="77777777" w:rsidR="00426B54" w:rsidRDefault="00426B54" w:rsidP="00426B54">
            <w:pPr>
              <w:rPr>
                <w:rFonts w:ascii="Calibri" w:hAnsi="Calibri" w:cs="Calibri"/>
                <w:sz w:val="22"/>
                <w:szCs w:val="22"/>
                <w:lang w:val="en-GB" w:eastAsia="en-GB"/>
              </w:rPr>
            </w:pPr>
          </w:p>
        </w:tc>
        <w:tc>
          <w:tcPr>
            <w:tcW w:w="4763" w:type="dxa"/>
            <w:tcBorders>
              <w:left w:val="single" w:sz="4" w:space="0" w:color="auto"/>
              <w:right w:val="single" w:sz="4" w:space="0" w:color="auto"/>
            </w:tcBorders>
            <w:shd w:val="clear" w:color="auto" w:fill="FFFFFF"/>
          </w:tcPr>
          <w:p w14:paraId="389135C3" w14:textId="77777777" w:rsidR="00426B54" w:rsidRDefault="00426B54" w:rsidP="00426B54">
            <w:pPr>
              <w:rPr>
                <w:rFonts w:ascii="Calibri" w:hAnsi="Calibri" w:cs="Calibri"/>
                <w:sz w:val="22"/>
                <w:szCs w:val="22"/>
              </w:rPr>
            </w:pPr>
          </w:p>
        </w:tc>
        <w:tc>
          <w:tcPr>
            <w:tcW w:w="1644" w:type="dxa"/>
            <w:tcBorders>
              <w:left w:val="single" w:sz="4" w:space="0" w:color="auto"/>
            </w:tcBorders>
            <w:shd w:val="clear" w:color="auto" w:fill="FFFFFF"/>
          </w:tcPr>
          <w:p w14:paraId="35C856FA" w14:textId="77777777" w:rsidR="00426B54" w:rsidRDefault="00426B54" w:rsidP="00426B54">
            <w:pPr>
              <w:rPr>
                <w:rFonts w:ascii="Calibri" w:hAnsi="Calibri" w:cs="Calibri"/>
                <w:sz w:val="22"/>
                <w:szCs w:val="22"/>
              </w:rPr>
            </w:pPr>
          </w:p>
        </w:tc>
      </w:tr>
      <w:tr w:rsidR="00426B54" w:rsidRPr="00E508FD" w14:paraId="79579B08" w14:textId="77777777" w:rsidTr="00997B5A">
        <w:tc>
          <w:tcPr>
            <w:tcW w:w="2371" w:type="dxa"/>
            <w:tcBorders>
              <w:right w:val="single" w:sz="4" w:space="0" w:color="auto"/>
            </w:tcBorders>
            <w:shd w:val="clear" w:color="auto" w:fill="FFFFFF"/>
          </w:tcPr>
          <w:p w14:paraId="3ED1E9AE"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Tutorial </w:t>
            </w:r>
          </w:p>
        </w:tc>
        <w:tc>
          <w:tcPr>
            <w:tcW w:w="2928" w:type="dxa"/>
            <w:tcBorders>
              <w:left w:val="single" w:sz="4" w:space="0" w:color="auto"/>
              <w:right w:val="single" w:sz="4" w:space="0" w:color="auto"/>
            </w:tcBorders>
            <w:shd w:val="clear" w:color="auto" w:fill="FFFFFF"/>
          </w:tcPr>
          <w:p w14:paraId="15FE96EC" w14:textId="77777777" w:rsidR="00426B54" w:rsidRDefault="00426B54" w:rsidP="00426B54">
            <w:pPr>
              <w:rPr>
                <w:rFonts w:ascii="Calibri" w:hAnsi="Calibri" w:cs="Calibri"/>
                <w:sz w:val="22"/>
                <w:szCs w:val="22"/>
              </w:rPr>
            </w:pPr>
            <w:r>
              <w:rPr>
                <w:rFonts w:ascii="Calibri" w:hAnsi="Calibri" w:cs="Calibri"/>
                <w:sz w:val="22"/>
                <w:szCs w:val="22"/>
              </w:rPr>
              <w:t>-</w:t>
            </w:r>
          </w:p>
        </w:tc>
        <w:tc>
          <w:tcPr>
            <w:tcW w:w="4763" w:type="dxa"/>
            <w:tcBorders>
              <w:left w:val="single" w:sz="4" w:space="0" w:color="auto"/>
              <w:right w:val="single" w:sz="4" w:space="0" w:color="auto"/>
            </w:tcBorders>
            <w:shd w:val="clear" w:color="auto" w:fill="FFFFFF"/>
          </w:tcPr>
          <w:p w14:paraId="62F0A5FD" w14:textId="77777777" w:rsidR="00426B54" w:rsidRDefault="00426B54" w:rsidP="00426B54">
            <w:pPr>
              <w:rPr>
                <w:rFonts w:ascii="Calibri" w:hAnsi="Calibri" w:cs="Calibri"/>
                <w:sz w:val="22"/>
                <w:szCs w:val="22"/>
              </w:rPr>
            </w:pPr>
            <w:r>
              <w:rPr>
                <w:rFonts w:ascii="Calibri" w:hAnsi="Calibri" w:cs="Calibri"/>
                <w:sz w:val="22"/>
                <w:szCs w:val="22"/>
              </w:rPr>
              <w:t>-</w:t>
            </w:r>
          </w:p>
        </w:tc>
        <w:tc>
          <w:tcPr>
            <w:tcW w:w="1644" w:type="dxa"/>
            <w:tcBorders>
              <w:left w:val="single" w:sz="4" w:space="0" w:color="auto"/>
            </w:tcBorders>
            <w:shd w:val="clear" w:color="auto" w:fill="FFFFFF"/>
          </w:tcPr>
          <w:p w14:paraId="451CB4F9" w14:textId="77777777" w:rsidR="00426B54" w:rsidRDefault="00426B54" w:rsidP="00426B54">
            <w:pPr>
              <w:rPr>
                <w:rFonts w:ascii="Calibri" w:hAnsi="Calibri" w:cs="Calibri"/>
                <w:sz w:val="22"/>
                <w:szCs w:val="22"/>
              </w:rPr>
            </w:pPr>
            <w:r>
              <w:rPr>
                <w:rFonts w:ascii="Calibri" w:hAnsi="Calibri" w:cs="Calibri"/>
                <w:sz w:val="22"/>
                <w:szCs w:val="22"/>
              </w:rPr>
              <w:t>-</w:t>
            </w:r>
          </w:p>
        </w:tc>
      </w:tr>
      <w:tr w:rsidR="00426B54" w:rsidRPr="00E508FD" w14:paraId="177AEF76" w14:textId="77777777" w:rsidTr="00997B5A">
        <w:tc>
          <w:tcPr>
            <w:tcW w:w="2371" w:type="dxa"/>
            <w:tcBorders>
              <w:right w:val="single" w:sz="4" w:space="0" w:color="auto"/>
            </w:tcBorders>
            <w:shd w:val="clear" w:color="auto" w:fill="FFFFFF"/>
          </w:tcPr>
          <w:p w14:paraId="30E3754C" w14:textId="77777777" w:rsidR="00426B54" w:rsidRPr="00E508FD" w:rsidRDefault="00426B54" w:rsidP="00426B54">
            <w:pPr>
              <w:rPr>
                <w:rFonts w:ascii="Calibri" w:hAnsi="Calibri" w:cs="Calibri"/>
                <w:sz w:val="22"/>
                <w:szCs w:val="22"/>
              </w:rPr>
            </w:pPr>
            <w:r w:rsidRPr="00E508FD">
              <w:rPr>
                <w:rFonts w:ascii="Calibri" w:hAnsi="Calibri" w:cs="Calibri"/>
                <w:sz w:val="22"/>
                <w:szCs w:val="22"/>
                <w:lang w:val="nb-NO"/>
              </w:rPr>
              <w:t xml:space="preserve">Contact with the Professor/Consultations </w:t>
            </w:r>
          </w:p>
        </w:tc>
        <w:tc>
          <w:tcPr>
            <w:tcW w:w="2928" w:type="dxa"/>
            <w:tcBorders>
              <w:left w:val="single" w:sz="4" w:space="0" w:color="auto"/>
              <w:right w:val="single" w:sz="4" w:space="0" w:color="auto"/>
            </w:tcBorders>
            <w:shd w:val="clear" w:color="auto" w:fill="FFFFFF"/>
          </w:tcPr>
          <w:p w14:paraId="2117B3F6" w14:textId="77777777" w:rsidR="00426B54" w:rsidRDefault="00426B54" w:rsidP="00426B54">
            <w:pPr>
              <w:rPr>
                <w:rFonts w:ascii="Calibri" w:hAnsi="Calibri" w:cs="Calibri"/>
                <w:sz w:val="22"/>
                <w:szCs w:val="22"/>
              </w:rPr>
            </w:pPr>
            <w:r>
              <w:rPr>
                <w:rFonts w:ascii="Calibri" w:hAnsi="Calibri" w:cs="Calibri"/>
                <w:sz w:val="22"/>
                <w:szCs w:val="22"/>
              </w:rPr>
              <w:t>20 min.</w:t>
            </w:r>
          </w:p>
        </w:tc>
        <w:tc>
          <w:tcPr>
            <w:tcW w:w="4763" w:type="dxa"/>
            <w:tcBorders>
              <w:left w:val="single" w:sz="4" w:space="0" w:color="auto"/>
              <w:right w:val="single" w:sz="4" w:space="0" w:color="auto"/>
            </w:tcBorders>
            <w:shd w:val="clear" w:color="auto" w:fill="FFFFFF"/>
          </w:tcPr>
          <w:p w14:paraId="255FA58F" w14:textId="77777777" w:rsidR="00426B54" w:rsidRDefault="00426B54" w:rsidP="00426B54">
            <w:pPr>
              <w:rPr>
                <w:rFonts w:ascii="Calibri" w:hAnsi="Calibri" w:cs="Calibri"/>
                <w:sz w:val="22"/>
                <w:szCs w:val="22"/>
              </w:rPr>
            </w:pPr>
            <w:r>
              <w:rPr>
                <w:rFonts w:ascii="Calibri" w:hAnsi="Calibri" w:cs="Calibri"/>
                <w:sz w:val="22"/>
                <w:szCs w:val="22"/>
              </w:rPr>
              <w:t>15</w:t>
            </w:r>
          </w:p>
        </w:tc>
        <w:tc>
          <w:tcPr>
            <w:tcW w:w="1644" w:type="dxa"/>
            <w:tcBorders>
              <w:left w:val="single" w:sz="4" w:space="0" w:color="auto"/>
            </w:tcBorders>
            <w:shd w:val="clear" w:color="auto" w:fill="FFFFFF"/>
          </w:tcPr>
          <w:p w14:paraId="615F1379" w14:textId="77777777" w:rsidR="00426B54" w:rsidRDefault="00426B54" w:rsidP="00426B54">
            <w:pPr>
              <w:rPr>
                <w:rFonts w:ascii="Calibri" w:hAnsi="Calibri" w:cs="Calibri"/>
                <w:sz w:val="22"/>
                <w:szCs w:val="22"/>
              </w:rPr>
            </w:pPr>
            <w:r>
              <w:rPr>
                <w:rFonts w:ascii="Calibri" w:hAnsi="Calibri" w:cs="Calibri"/>
                <w:sz w:val="22"/>
                <w:szCs w:val="22"/>
              </w:rPr>
              <w:t>5</w:t>
            </w:r>
          </w:p>
        </w:tc>
      </w:tr>
      <w:tr w:rsidR="00426B54" w:rsidRPr="00E508FD" w14:paraId="16DAC700" w14:textId="77777777" w:rsidTr="00997B5A">
        <w:tc>
          <w:tcPr>
            <w:tcW w:w="2371" w:type="dxa"/>
            <w:tcBorders>
              <w:right w:val="single" w:sz="4" w:space="0" w:color="auto"/>
            </w:tcBorders>
            <w:shd w:val="clear" w:color="auto" w:fill="FFFFFF"/>
          </w:tcPr>
          <w:p w14:paraId="624147EC"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Field exercises </w:t>
            </w:r>
          </w:p>
        </w:tc>
        <w:tc>
          <w:tcPr>
            <w:tcW w:w="2928" w:type="dxa"/>
            <w:tcBorders>
              <w:left w:val="single" w:sz="4" w:space="0" w:color="auto"/>
              <w:right w:val="single" w:sz="4" w:space="0" w:color="auto"/>
            </w:tcBorders>
            <w:shd w:val="clear" w:color="auto" w:fill="FFFFFF"/>
          </w:tcPr>
          <w:p w14:paraId="7D712290" w14:textId="77777777" w:rsidR="00426B54" w:rsidRDefault="00426B54" w:rsidP="00426B54">
            <w:pPr>
              <w:rPr>
                <w:rFonts w:ascii="Calibri" w:hAnsi="Calibri" w:cs="Calibri"/>
                <w:sz w:val="22"/>
                <w:szCs w:val="22"/>
              </w:rPr>
            </w:pPr>
            <w:r>
              <w:rPr>
                <w:rFonts w:ascii="Calibri" w:hAnsi="Calibri" w:cs="Calibri"/>
                <w:sz w:val="22"/>
                <w:szCs w:val="22"/>
              </w:rPr>
              <w:t>-</w:t>
            </w:r>
          </w:p>
        </w:tc>
        <w:tc>
          <w:tcPr>
            <w:tcW w:w="4763" w:type="dxa"/>
            <w:tcBorders>
              <w:left w:val="single" w:sz="4" w:space="0" w:color="auto"/>
              <w:right w:val="single" w:sz="4" w:space="0" w:color="auto"/>
            </w:tcBorders>
            <w:shd w:val="clear" w:color="auto" w:fill="FFFFFF"/>
          </w:tcPr>
          <w:p w14:paraId="7847FBD9" w14:textId="77777777" w:rsidR="00426B54" w:rsidRDefault="00426B54" w:rsidP="00426B54">
            <w:pPr>
              <w:rPr>
                <w:rFonts w:ascii="Calibri" w:hAnsi="Calibri" w:cs="Calibri"/>
                <w:sz w:val="22"/>
                <w:szCs w:val="22"/>
              </w:rPr>
            </w:pPr>
            <w:r>
              <w:rPr>
                <w:rFonts w:ascii="Calibri" w:hAnsi="Calibri" w:cs="Calibri"/>
                <w:sz w:val="22"/>
                <w:szCs w:val="22"/>
              </w:rPr>
              <w:t>-</w:t>
            </w:r>
          </w:p>
        </w:tc>
        <w:tc>
          <w:tcPr>
            <w:tcW w:w="1644" w:type="dxa"/>
            <w:tcBorders>
              <w:left w:val="single" w:sz="4" w:space="0" w:color="auto"/>
            </w:tcBorders>
            <w:shd w:val="clear" w:color="auto" w:fill="FFFFFF"/>
          </w:tcPr>
          <w:p w14:paraId="7C95B8AD" w14:textId="77777777" w:rsidR="00426B54" w:rsidRDefault="00426B54" w:rsidP="00426B54">
            <w:pPr>
              <w:rPr>
                <w:rFonts w:ascii="Calibri" w:hAnsi="Calibri" w:cs="Calibri"/>
                <w:sz w:val="22"/>
                <w:szCs w:val="22"/>
              </w:rPr>
            </w:pPr>
            <w:r>
              <w:rPr>
                <w:rFonts w:ascii="Calibri" w:hAnsi="Calibri" w:cs="Calibri"/>
                <w:sz w:val="22"/>
                <w:szCs w:val="22"/>
              </w:rPr>
              <w:t>-</w:t>
            </w:r>
          </w:p>
        </w:tc>
      </w:tr>
      <w:tr w:rsidR="00426B54" w:rsidRPr="00E508FD" w14:paraId="4B739120" w14:textId="77777777" w:rsidTr="00997B5A">
        <w:tc>
          <w:tcPr>
            <w:tcW w:w="2371" w:type="dxa"/>
            <w:tcBorders>
              <w:right w:val="single" w:sz="4" w:space="0" w:color="auto"/>
            </w:tcBorders>
            <w:shd w:val="clear" w:color="auto" w:fill="FFFFFF"/>
          </w:tcPr>
          <w:p w14:paraId="6211121B"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Colloquium, seminars </w:t>
            </w:r>
          </w:p>
        </w:tc>
        <w:tc>
          <w:tcPr>
            <w:tcW w:w="2928" w:type="dxa"/>
            <w:tcBorders>
              <w:left w:val="single" w:sz="4" w:space="0" w:color="auto"/>
              <w:right w:val="single" w:sz="4" w:space="0" w:color="auto"/>
            </w:tcBorders>
            <w:shd w:val="clear" w:color="auto" w:fill="FFFFFF"/>
          </w:tcPr>
          <w:p w14:paraId="43F07E1C" w14:textId="77777777" w:rsidR="00426B54" w:rsidRDefault="00426B54" w:rsidP="00426B54">
            <w:pPr>
              <w:rPr>
                <w:rFonts w:ascii="Calibri" w:hAnsi="Calibri" w:cs="Calibri"/>
                <w:sz w:val="22"/>
                <w:szCs w:val="22"/>
              </w:rPr>
            </w:pPr>
            <w:r>
              <w:rPr>
                <w:rFonts w:ascii="Calibri" w:hAnsi="Calibri" w:cs="Calibri"/>
                <w:sz w:val="22"/>
                <w:szCs w:val="22"/>
              </w:rPr>
              <w:t>1</w:t>
            </w:r>
          </w:p>
        </w:tc>
        <w:tc>
          <w:tcPr>
            <w:tcW w:w="4763" w:type="dxa"/>
            <w:tcBorders>
              <w:left w:val="single" w:sz="4" w:space="0" w:color="auto"/>
              <w:right w:val="single" w:sz="4" w:space="0" w:color="auto"/>
            </w:tcBorders>
            <w:shd w:val="clear" w:color="auto" w:fill="FFFFFF"/>
          </w:tcPr>
          <w:p w14:paraId="7C22CC03" w14:textId="77777777" w:rsidR="00426B54" w:rsidRDefault="00426B54" w:rsidP="00426B54">
            <w:pPr>
              <w:rPr>
                <w:rFonts w:ascii="Calibri" w:hAnsi="Calibri" w:cs="Calibri"/>
                <w:sz w:val="22"/>
                <w:szCs w:val="22"/>
              </w:rPr>
            </w:pPr>
            <w:r>
              <w:rPr>
                <w:rFonts w:ascii="Calibri" w:hAnsi="Calibri" w:cs="Calibri"/>
                <w:sz w:val="22"/>
                <w:szCs w:val="22"/>
              </w:rPr>
              <w:t>2</w:t>
            </w:r>
          </w:p>
        </w:tc>
        <w:tc>
          <w:tcPr>
            <w:tcW w:w="1644" w:type="dxa"/>
            <w:tcBorders>
              <w:left w:val="single" w:sz="4" w:space="0" w:color="auto"/>
            </w:tcBorders>
            <w:shd w:val="clear" w:color="auto" w:fill="FFFFFF"/>
          </w:tcPr>
          <w:p w14:paraId="5DF9991B" w14:textId="77777777" w:rsidR="00426B54" w:rsidRDefault="00426B54" w:rsidP="00426B54">
            <w:pPr>
              <w:rPr>
                <w:rFonts w:ascii="Calibri" w:hAnsi="Calibri" w:cs="Calibri"/>
                <w:sz w:val="22"/>
                <w:szCs w:val="22"/>
              </w:rPr>
            </w:pPr>
            <w:r>
              <w:rPr>
                <w:rFonts w:ascii="Calibri" w:hAnsi="Calibri" w:cs="Calibri"/>
                <w:sz w:val="22"/>
                <w:szCs w:val="22"/>
              </w:rPr>
              <w:t>2</w:t>
            </w:r>
          </w:p>
        </w:tc>
      </w:tr>
      <w:tr w:rsidR="00426B54" w:rsidRPr="00E508FD" w14:paraId="6000D09D" w14:textId="77777777" w:rsidTr="00997B5A">
        <w:tc>
          <w:tcPr>
            <w:tcW w:w="2371" w:type="dxa"/>
            <w:tcBorders>
              <w:right w:val="single" w:sz="4" w:space="0" w:color="auto"/>
            </w:tcBorders>
            <w:shd w:val="clear" w:color="auto" w:fill="FFFFFF"/>
          </w:tcPr>
          <w:p w14:paraId="2B935D2E"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Homework </w:t>
            </w:r>
          </w:p>
        </w:tc>
        <w:tc>
          <w:tcPr>
            <w:tcW w:w="2928" w:type="dxa"/>
            <w:tcBorders>
              <w:left w:val="single" w:sz="4" w:space="0" w:color="auto"/>
              <w:right w:val="single" w:sz="4" w:space="0" w:color="auto"/>
            </w:tcBorders>
            <w:shd w:val="clear" w:color="auto" w:fill="FFFFFF"/>
          </w:tcPr>
          <w:p w14:paraId="4F6A7E68" w14:textId="77777777" w:rsidR="00426B54" w:rsidRDefault="00426B54" w:rsidP="00426B54">
            <w:pPr>
              <w:rPr>
                <w:rFonts w:ascii="Calibri" w:hAnsi="Calibri" w:cs="Calibri"/>
                <w:sz w:val="22"/>
                <w:szCs w:val="22"/>
              </w:rPr>
            </w:pPr>
            <w:r>
              <w:rPr>
                <w:rFonts w:ascii="Calibri" w:hAnsi="Calibri" w:cs="Calibri"/>
                <w:sz w:val="22"/>
                <w:szCs w:val="22"/>
              </w:rPr>
              <w:t>-</w:t>
            </w:r>
          </w:p>
        </w:tc>
        <w:tc>
          <w:tcPr>
            <w:tcW w:w="4763" w:type="dxa"/>
            <w:tcBorders>
              <w:left w:val="single" w:sz="4" w:space="0" w:color="auto"/>
              <w:right w:val="single" w:sz="4" w:space="0" w:color="auto"/>
            </w:tcBorders>
            <w:shd w:val="clear" w:color="auto" w:fill="FFFFFF"/>
          </w:tcPr>
          <w:p w14:paraId="43804DAC" w14:textId="77777777" w:rsidR="00426B54" w:rsidRDefault="00426B54" w:rsidP="00426B54">
            <w:pPr>
              <w:rPr>
                <w:rFonts w:ascii="Calibri" w:hAnsi="Calibri" w:cs="Calibri"/>
                <w:sz w:val="22"/>
                <w:szCs w:val="22"/>
              </w:rPr>
            </w:pPr>
            <w:r>
              <w:rPr>
                <w:rFonts w:ascii="Calibri" w:hAnsi="Calibri" w:cs="Calibri"/>
                <w:sz w:val="22"/>
                <w:szCs w:val="22"/>
              </w:rPr>
              <w:t>-</w:t>
            </w:r>
          </w:p>
        </w:tc>
        <w:tc>
          <w:tcPr>
            <w:tcW w:w="1644" w:type="dxa"/>
            <w:tcBorders>
              <w:left w:val="single" w:sz="4" w:space="0" w:color="auto"/>
            </w:tcBorders>
            <w:shd w:val="clear" w:color="auto" w:fill="FFFFFF"/>
          </w:tcPr>
          <w:p w14:paraId="2C309CEC" w14:textId="77777777" w:rsidR="00426B54" w:rsidRDefault="00426B54" w:rsidP="00426B54">
            <w:pPr>
              <w:rPr>
                <w:rFonts w:ascii="Calibri" w:hAnsi="Calibri" w:cs="Calibri"/>
                <w:sz w:val="22"/>
                <w:szCs w:val="22"/>
              </w:rPr>
            </w:pPr>
            <w:r>
              <w:rPr>
                <w:rFonts w:ascii="Calibri" w:hAnsi="Calibri" w:cs="Calibri"/>
                <w:sz w:val="22"/>
                <w:szCs w:val="22"/>
              </w:rPr>
              <w:t>-</w:t>
            </w:r>
          </w:p>
        </w:tc>
      </w:tr>
      <w:tr w:rsidR="00426B54" w:rsidRPr="00E508FD" w14:paraId="592878C4" w14:textId="77777777" w:rsidTr="00997B5A">
        <w:tc>
          <w:tcPr>
            <w:tcW w:w="2371" w:type="dxa"/>
            <w:tcBorders>
              <w:right w:val="single" w:sz="4" w:space="0" w:color="auto"/>
            </w:tcBorders>
            <w:shd w:val="clear" w:color="auto" w:fill="FFFFFF"/>
          </w:tcPr>
          <w:p w14:paraId="1A5010CC"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Student self-learning (at the library or at home)   </w:t>
            </w:r>
          </w:p>
        </w:tc>
        <w:tc>
          <w:tcPr>
            <w:tcW w:w="2928" w:type="dxa"/>
            <w:tcBorders>
              <w:left w:val="single" w:sz="4" w:space="0" w:color="auto"/>
              <w:right w:val="single" w:sz="4" w:space="0" w:color="auto"/>
            </w:tcBorders>
            <w:shd w:val="clear" w:color="auto" w:fill="FFFFFF"/>
          </w:tcPr>
          <w:p w14:paraId="0CA11BF5" w14:textId="77777777" w:rsidR="00426B54" w:rsidRDefault="00426B54" w:rsidP="00426B54">
            <w:pPr>
              <w:rPr>
                <w:rFonts w:ascii="Calibri" w:hAnsi="Calibri" w:cs="Calibri"/>
                <w:sz w:val="22"/>
                <w:szCs w:val="22"/>
              </w:rPr>
            </w:pPr>
            <w:r>
              <w:rPr>
                <w:rFonts w:ascii="Calibri" w:hAnsi="Calibri" w:cs="Calibri"/>
                <w:sz w:val="22"/>
                <w:szCs w:val="22"/>
              </w:rPr>
              <w:t>3</w:t>
            </w:r>
          </w:p>
        </w:tc>
        <w:tc>
          <w:tcPr>
            <w:tcW w:w="4763" w:type="dxa"/>
            <w:tcBorders>
              <w:left w:val="single" w:sz="4" w:space="0" w:color="auto"/>
              <w:right w:val="single" w:sz="4" w:space="0" w:color="auto"/>
            </w:tcBorders>
            <w:shd w:val="clear" w:color="auto" w:fill="FFFFFF"/>
          </w:tcPr>
          <w:p w14:paraId="1BBA422D" w14:textId="77777777" w:rsidR="00426B54" w:rsidRDefault="00426B54" w:rsidP="00426B54">
            <w:pPr>
              <w:rPr>
                <w:rFonts w:ascii="Calibri" w:hAnsi="Calibri" w:cs="Calibri"/>
                <w:sz w:val="22"/>
                <w:szCs w:val="22"/>
              </w:rPr>
            </w:pPr>
            <w:r>
              <w:rPr>
                <w:rFonts w:ascii="Calibri" w:hAnsi="Calibri" w:cs="Calibri"/>
                <w:sz w:val="22"/>
                <w:szCs w:val="22"/>
              </w:rPr>
              <w:t>6</w:t>
            </w:r>
          </w:p>
        </w:tc>
        <w:tc>
          <w:tcPr>
            <w:tcW w:w="1644" w:type="dxa"/>
            <w:tcBorders>
              <w:left w:val="single" w:sz="4" w:space="0" w:color="auto"/>
            </w:tcBorders>
            <w:shd w:val="clear" w:color="auto" w:fill="FFFFFF"/>
          </w:tcPr>
          <w:p w14:paraId="5389665A" w14:textId="77777777" w:rsidR="00426B54" w:rsidRDefault="00426B54" w:rsidP="00426B54">
            <w:pPr>
              <w:rPr>
                <w:rFonts w:ascii="Calibri" w:hAnsi="Calibri" w:cs="Calibri"/>
                <w:sz w:val="22"/>
                <w:szCs w:val="22"/>
              </w:rPr>
            </w:pPr>
            <w:r>
              <w:rPr>
                <w:rFonts w:ascii="Calibri" w:hAnsi="Calibri" w:cs="Calibri"/>
                <w:sz w:val="22"/>
                <w:szCs w:val="22"/>
              </w:rPr>
              <w:t>18</w:t>
            </w:r>
          </w:p>
        </w:tc>
      </w:tr>
      <w:tr w:rsidR="00426B54" w:rsidRPr="00E508FD" w14:paraId="0D4770C4" w14:textId="77777777" w:rsidTr="00997B5A">
        <w:tc>
          <w:tcPr>
            <w:tcW w:w="2371" w:type="dxa"/>
            <w:tcBorders>
              <w:right w:val="single" w:sz="4" w:space="0" w:color="auto"/>
            </w:tcBorders>
            <w:shd w:val="clear" w:color="auto" w:fill="FFFFFF"/>
          </w:tcPr>
          <w:p w14:paraId="00ADCA87"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Final preparation for the exam</w:t>
            </w:r>
          </w:p>
        </w:tc>
        <w:tc>
          <w:tcPr>
            <w:tcW w:w="2928" w:type="dxa"/>
            <w:tcBorders>
              <w:left w:val="single" w:sz="4" w:space="0" w:color="auto"/>
              <w:right w:val="single" w:sz="4" w:space="0" w:color="auto"/>
            </w:tcBorders>
            <w:shd w:val="clear" w:color="auto" w:fill="FFFFFF"/>
          </w:tcPr>
          <w:p w14:paraId="263F4FEC" w14:textId="77777777" w:rsidR="00426B54" w:rsidRDefault="00426B54" w:rsidP="00426B54">
            <w:pPr>
              <w:rPr>
                <w:rFonts w:ascii="Calibri" w:hAnsi="Calibri" w:cs="Calibri"/>
                <w:sz w:val="22"/>
                <w:szCs w:val="22"/>
              </w:rPr>
            </w:pPr>
            <w:r>
              <w:rPr>
                <w:rFonts w:ascii="Calibri" w:hAnsi="Calibri" w:cs="Calibri"/>
                <w:sz w:val="22"/>
                <w:szCs w:val="22"/>
              </w:rPr>
              <w:t>3</w:t>
            </w:r>
          </w:p>
        </w:tc>
        <w:tc>
          <w:tcPr>
            <w:tcW w:w="4763" w:type="dxa"/>
            <w:tcBorders>
              <w:left w:val="single" w:sz="4" w:space="0" w:color="auto"/>
              <w:right w:val="single" w:sz="4" w:space="0" w:color="auto"/>
            </w:tcBorders>
            <w:shd w:val="clear" w:color="auto" w:fill="FFFFFF"/>
          </w:tcPr>
          <w:p w14:paraId="65E9D106" w14:textId="77777777" w:rsidR="00426B54" w:rsidRDefault="00426B54" w:rsidP="00426B54">
            <w:pPr>
              <w:rPr>
                <w:rFonts w:ascii="Calibri" w:hAnsi="Calibri" w:cs="Calibri"/>
                <w:sz w:val="22"/>
                <w:szCs w:val="22"/>
              </w:rPr>
            </w:pPr>
            <w:r>
              <w:rPr>
                <w:rFonts w:ascii="Calibri" w:hAnsi="Calibri" w:cs="Calibri"/>
                <w:sz w:val="22"/>
                <w:szCs w:val="22"/>
              </w:rPr>
              <w:t>2</w:t>
            </w:r>
          </w:p>
        </w:tc>
        <w:tc>
          <w:tcPr>
            <w:tcW w:w="1644" w:type="dxa"/>
            <w:tcBorders>
              <w:left w:val="single" w:sz="4" w:space="0" w:color="auto"/>
            </w:tcBorders>
            <w:shd w:val="clear" w:color="auto" w:fill="FFFFFF"/>
          </w:tcPr>
          <w:p w14:paraId="5604B2AD" w14:textId="77777777" w:rsidR="00426B54" w:rsidRDefault="00426B54" w:rsidP="00426B54">
            <w:pPr>
              <w:rPr>
                <w:rFonts w:ascii="Calibri" w:hAnsi="Calibri" w:cs="Calibri"/>
                <w:sz w:val="22"/>
                <w:szCs w:val="22"/>
              </w:rPr>
            </w:pPr>
            <w:r>
              <w:rPr>
                <w:rFonts w:ascii="Calibri" w:hAnsi="Calibri" w:cs="Calibri"/>
                <w:sz w:val="22"/>
                <w:szCs w:val="22"/>
              </w:rPr>
              <w:t>6</w:t>
            </w:r>
          </w:p>
        </w:tc>
      </w:tr>
      <w:tr w:rsidR="00426B54" w:rsidRPr="00E508FD" w14:paraId="2F49AAB8" w14:textId="77777777" w:rsidTr="00997B5A">
        <w:tc>
          <w:tcPr>
            <w:tcW w:w="2371" w:type="dxa"/>
            <w:tcBorders>
              <w:right w:val="single" w:sz="4" w:space="0" w:color="auto"/>
            </w:tcBorders>
            <w:shd w:val="clear" w:color="auto" w:fill="FFFFFF"/>
          </w:tcPr>
          <w:p w14:paraId="08BDC17C"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Time spent on evaluation (tests, quiz, final exam) </w:t>
            </w:r>
          </w:p>
        </w:tc>
        <w:tc>
          <w:tcPr>
            <w:tcW w:w="2928" w:type="dxa"/>
            <w:tcBorders>
              <w:left w:val="single" w:sz="4" w:space="0" w:color="auto"/>
              <w:right w:val="single" w:sz="4" w:space="0" w:color="auto"/>
            </w:tcBorders>
            <w:shd w:val="clear" w:color="auto" w:fill="FFFFFF"/>
          </w:tcPr>
          <w:p w14:paraId="72B460F3" w14:textId="77777777" w:rsidR="00426B54" w:rsidRDefault="00426B54" w:rsidP="00426B54">
            <w:pPr>
              <w:rPr>
                <w:rFonts w:ascii="Calibri" w:hAnsi="Calibri" w:cs="Calibri"/>
                <w:sz w:val="22"/>
                <w:szCs w:val="22"/>
              </w:rPr>
            </w:pPr>
            <w:r>
              <w:rPr>
                <w:rFonts w:ascii="Calibri" w:hAnsi="Calibri" w:cs="Calibri"/>
                <w:sz w:val="22"/>
                <w:szCs w:val="22"/>
              </w:rPr>
              <w:t>2</w:t>
            </w:r>
          </w:p>
        </w:tc>
        <w:tc>
          <w:tcPr>
            <w:tcW w:w="4763" w:type="dxa"/>
            <w:tcBorders>
              <w:left w:val="single" w:sz="4" w:space="0" w:color="auto"/>
              <w:right w:val="single" w:sz="4" w:space="0" w:color="auto"/>
            </w:tcBorders>
            <w:shd w:val="clear" w:color="auto" w:fill="FFFFFF"/>
          </w:tcPr>
          <w:p w14:paraId="0CF83F3E" w14:textId="77777777" w:rsidR="00426B54" w:rsidRDefault="00426B54" w:rsidP="00426B54">
            <w:pPr>
              <w:rPr>
                <w:rFonts w:ascii="Calibri" w:hAnsi="Calibri" w:cs="Calibri"/>
                <w:sz w:val="22"/>
                <w:szCs w:val="22"/>
              </w:rPr>
            </w:pPr>
            <w:r>
              <w:rPr>
                <w:rFonts w:ascii="Calibri" w:hAnsi="Calibri" w:cs="Calibri"/>
                <w:sz w:val="22"/>
                <w:szCs w:val="22"/>
              </w:rPr>
              <w:t>2</w:t>
            </w:r>
          </w:p>
        </w:tc>
        <w:tc>
          <w:tcPr>
            <w:tcW w:w="1644" w:type="dxa"/>
            <w:tcBorders>
              <w:left w:val="single" w:sz="4" w:space="0" w:color="auto"/>
            </w:tcBorders>
            <w:shd w:val="clear" w:color="auto" w:fill="FFFFFF"/>
          </w:tcPr>
          <w:p w14:paraId="2A9EF5D5" w14:textId="77777777" w:rsidR="00426B54" w:rsidRDefault="00426B54" w:rsidP="00426B54">
            <w:pPr>
              <w:rPr>
                <w:rFonts w:ascii="Calibri" w:hAnsi="Calibri" w:cs="Calibri"/>
                <w:sz w:val="22"/>
                <w:szCs w:val="22"/>
              </w:rPr>
            </w:pPr>
            <w:r>
              <w:rPr>
                <w:rFonts w:ascii="Calibri" w:hAnsi="Calibri" w:cs="Calibri"/>
                <w:sz w:val="22"/>
                <w:szCs w:val="22"/>
              </w:rPr>
              <w:t>4</w:t>
            </w:r>
          </w:p>
        </w:tc>
      </w:tr>
      <w:tr w:rsidR="00426B54" w:rsidRPr="00E508FD" w14:paraId="636D6B07" w14:textId="77777777" w:rsidTr="00997B5A">
        <w:tc>
          <w:tcPr>
            <w:tcW w:w="2371" w:type="dxa"/>
            <w:tcBorders>
              <w:right w:val="single" w:sz="4" w:space="0" w:color="auto"/>
            </w:tcBorders>
            <w:shd w:val="clear" w:color="auto" w:fill="FFFFFF"/>
          </w:tcPr>
          <w:p w14:paraId="3827337B"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Projects, presentation etc. </w:t>
            </w:r>
          </w:p>
          <w:p w14:paraId="52EEB8F8" w14:textId="77777777" w:rsidR="00426B54" w:rsidRPr="00E508FD" w:rsidRDefault="00426B54" w:rsidP="00426B54">
            <w:pPr>
              <w:rPr>
                <w:rFonts w:ascii="Calibri" w:hAnsi="Calibri" w:cs="Calibri"/>
                <w:sz w:val="22"/>
                <w:szCs w:val="22"/>
              </w:rPr>
            </w:pPr>
            <w:r w:rsidRPr="00E508FD">
              <w:rPr>
                <w:rFonts w:ascii="Calibri" w:hAnsi="Calibri" w:cs="Calibri"/>
                <w:sz w:val="22"/>
                <w:szCs w:val="22"/>
              </w:rPr>
              <w:t xml:space="preserve"> </w:t>
            </w:r>
          </w:p>
        </w:tc>
        <w:tc>
          <w:tcPr>
            <w:tcW w:w="2928" w:type="dxa"/>
            <w:tcBorders>
              <w:left w:val="single" w:sz="4" w:space="0" w:color="auto"/>
              <w:right w:val="single" w:sz="4" w:space="0" w:color="auto"/>
            </w:tcBorders>
            <w:shd w:val="clear" w:color="auto" w:fill="FFFFFF"/>
          </w:tcPr>
          <w:p w14:paraId="2B3AE048" w14:textId="77777777" w:rsidR="00426B54" w:rsidRDefault="00426B54" w:rsidP="00426B54">
            <w:pPr>
              <w:rPr>
                <w:rFonts w:ascii="Calibri" w:hAnsi="Calibri" w:cs="Calibri"/>
                <w:sz w:val="22"/>
                <w:szCs w:val="22"/>
              </w:rPr>
            </w:pPr>
            <w:r>
              <w:rPr>
                <w:rFonts w:ascii="Calibri" w:hAnsi="Calibri" w:cs="Calibri"/>
                <w:sz w:val="22"/>
                <w:szCs w:val="22"/>
              </w:rPr>
              <w:t>2</w:t>
            </w:r>
          </w:p>
        </w:tc>
        <w:tc>
          <w:tcPr>
            <w:tcW w:w="4763" w:type="dxa"/>
            <w:tcBorders>
              <w:left w:val="single" w:sz="4" w:space="0" w:color="auto"/>
              <w:right w:val="single" w:sz="4" w:space="0" w:color="auto"/>
            </w:tcBorders>
            <w:shd w:val="clear" w:color="auto" w:fill="FFFFFF"/>
          </w:tcPr>
          <w:p w14:paraId="0CBAEA00" w14:textId="77777777" w:rsidR="00426B54" w:rsidRDefault="00426B54" w:rsidP="00426B54">
            <w:pPr>
              <w:rPr>
                <w:rFonts w:ascii="Calibri" w:hAnsi="Calibri" w:cs="Calibri"/>
                <w:sz w:val="22"/>
                <w:szCs w:val="22"/>
              </w:rPr>
            </w:pPr>
            <w:r>
              <w:rPr>
                <w:rFonts w:ascii="Calibri" w:hAnsi="Calibri" w:cs="Calibri"/>
                <w:sz w:val="22"/>
                <w:szCs w:val="22"/>
              </w:rPr>
              <w:t>5</w:t>
            </w:r>
          </w:p>
        </w:tc>
        <w:tc>
          <w:tcPr>
            <w:tcW w:w="1644" w:type="dxa"/>
            <w:tcBorders>
              <w:left w:val="single" w:sz="4" w:space="0" w:color="auto"/>
            </w:tcBorders>
            <w:shd w:val="clear" w:color="auto" w:fill="FFFFFF"/>
          </w:tcPr>
          <w:p w14:paraId="79AFAC2E" w14:textId="77777777" w:rsidR="00426B54" w:rsidRDefault="00426B54" w:rsidP="00426B54">
            <w:pPr>
              <w:rPr>
                <w:rFonts w:ascii="Calibri" w:hAnsi="Calibri" w:cs="Calibri"/>
                <w:sz w:val="22"/>
                <w:szCs w:val="22"/>
              </w:rPr>
            </w:pPr>
            <w:r>
              <w:rPr>
                <w:rFonts w:ascii="Calibri" w:hAnsi="Calibri" w:cs="Calibri"/>
                <w:sz w:val="22"/>
                <w:szCs w:val="22"/>
              </w:rPr>
              <w:t>10</w:t>
            </w:r>
          </w:p>
        </w:tc>
      </w:tr>
      <w:tr w:rsidR="00426B54" w:rsidRPr="00E508FD" w14:paraId="11281A2C" w14:textId="77777777" w:rsidTr="00997B5A">
        <w:tc>
          <w:tcPr>
            <w:tcW w:w="2371" w:type="dxa"/>
            <w:tcBorders>
              <w:right w:val="single" w:sz="4" w:space="0" w:color="auto"/>
            </w:tcBorders>
            <w:shd w:val="clear" w:color="auto" w:fill="D9D9D9"/>
          </w:tcPr>
          <w:p w14:paraId="77AFD15E" w14:textId="77777777" w:rsidR="00426B54" w:rsidRPr="00E508FD" w:rsidRDefault="00426B54" w:rsidP="00426B54">
            <w:pPr>
              <w:rPr>
                <w:rFonts w:ascii="Calibri" w:hAnsi="Calibri" w:cs="Calibri"/>
                <w:b/>
                <w:sz w:val="22"/>
                <w:szCs w:val="22"/>
              </w:rPr>
            </w:pPr>
            <w:r w:rsidRPr="00E508FD">
              <w:rPr>
                <w:rFonts w:ascii="Calibri" w:hAnsi="Calibri" w:cs="Calibri"/>
                <w:b/>
                <w:sz w:val="22"/>
                <w:szCs w:val="22"/>
              </w:rPr>
              <w:t>Total</w:t>
            </w:r>
          </w:p>
          <w:p w14:paraId="2EFFFD95" w14:textId="77777777" w:rsidR="00426B54" w:rsidRPr="00E508FD" w:rsidRDefault="00426B54" w:rsidP="00426B54">
            <w:pPr>
              <w:rPr>
                <w:rFonts w:ascii="Calibri" w:hAnsi="Calibri" w:cs="Calibri"/>
                <w:b/>
                <w:sz w:val="22"/>
                <w:szCs w:val="22"/>
              </w:rPr>
            </w:pPr>
          </w:p>
        </w:tc>
        <w:tc>
          <w:tcPr>
            <w:tcW w:w="2928" w:type="dxa"/>
            <w:tcBorders>
              <w:left w:val="single" w:sz="4" w:space="0" w:color="auto"/>
              <w:right w:val="single" w:sz="4" w:space="0" w:color="auto"/>
            </w:tcBorders>
            <w:shd w:val="clear" w:color="auto" w:fill="D9D9D9"/>
          </w:tcPr>
          <w:p w14:paraId="2DB00F7A" w14:textId="77777777" w:rsidR="00426B54" w:rsidRDefault="00426B54" w:rsidP="00426B54">
            <w:pPr>
              <w:rPr>
                <w:rFonts w:ascii="Calibri" w:hAnsi="Calibri" w:cs="Calibri"/>
                <w:b/>
                <w:sz w:val="22"/>
                <w:szCs w:val="22"/>
              </w:rPr>
            </w:pPr>
          </w:p>
        </w:tc>
        <w:tc>
          <w:tcPr>
            <w:tcW w:w="4763" w:type="dxa"/>
            <w:tcBorders>
              <w:left w:val="single" w:sz="4" w:space="0" w:color="auto"/>
              <w:right w:val="single" w:sz="4" w:space="0" w:color="auto"/>
            </w:tcBorders>
            <w:shd w:val="clear" w:color="auto" w:fill="D9D9D9"/>
          </w:tcPr>
          <w:p w14:paraId="564E86B2" w14:textId="77777777" w:rsidR="00426B54" w:rsidRDefault="00426B54" w:rsidP="00426B54">
            <w:pPr>
              <w:rPr>
                <w:rFonts w:ascii="Calibri" w:hAnsi="Calibri" w:cs="Calibri"/>
                <w:b/>
                <w:sz w:val="22"/>
                <w:szCs w:val="22"/>
              </w:rPr>
            </w:pPr>
          </w:p>
        </w:tc>
        <w:tc>
          <w:tcPr>
            <w:tcW w:w="1644" w:type="dxa"/>
            <w:tcBorders>
              <w:left w:val="single" w:sz="4" w:space="0" w:color="auto"/>
            </w:tcBorders>
            <w:shd w:val="clear" w:color="auto" w:fill="D9D9D9"/>
          </w:tcPr>
          <w:p w14:paraId="1D925087" w14:textId="77777777" w:rsidR="00426B54" w:rsidRDefault="00426B54" w:rsidP="00426B54">
            <w:pPr>
              <w:rPr>
                <w:rFonts w:ascii="Calibri" w:hAnsi="Calibri" w:cs="Calibri"/>
                <w:b/>
                <w:sz w:val="22"/>
                <w:szCs w:val="22"/>
              </w:rPr>
            </w:pPr>
            <w:r>
              <w:rPr>
                <w:rFonts w:ascii="Calibri" w:hAnsi="Calibri" w:cs="Calibri"/>
                <w:b/>
                <w:sz w:val="22"/>
                <w:szCs w:val="22"/>
              </w:rPr>
              <w:t>75.0 hour</w:t>
            </w:r>
          </w:p>
        </w:tc>
      </w:tr>
      <w:tr w:rsidR="00FF7590" w:rsidRPr="00E508FD" w14:paraId="46DD35F4" w14:textId="77777777" w:rsidTr="00997B5A">
        <w:tc>
          <w:tcPr>
            <w:tcW w:w="11706" w:type="dxa"/>
            <w:gridSpan w:val="4"/>
            <w:shd w:val="clear" w:color="auto" w:fill="D9D9D9"/>
          </w:tcPr>
          <w:p w14:paraId="4A80B644" w14:textId="77777777" w:rsidR="00FF7590" w:rsidRPr="00E508FD" w:rsidRDefault="00FF7590" w:rsidP="00183923">
            <w:pPr>
              <w:rPr>
                <w:rFonts w:ascii="Calibri" w:hAnsi="Calibri" w:cs="Calibri"/>
                <w:b/>
                <w:sz w:val="22"/>
                <w:szCs w:val="22"/>
              </w:rPr>
            </w:pPr>
          </w:p>
        </w:tc>
      </w:tr>
      <w:tr w:rsidR="00161C5C" w:rsidRPr="00E508FD" w14:paraId="7788EC3A" w14:textId="77777777" w:rsidTr="00997B5A">
        <w:tc>
          <w:tcPr>
            <w:tcW w:w="2371" w:type="dxa"/>
          </w:tcPr>
          <w:p w14:paraId="2F6BB705" w14:textId="77777777" w:rsidR="00161C5C" w:rsidRDefault="00161C5C" w:rsidP="00161C5C">
            <w:pPr>
              <w:pStyle w:val="NoSpacing"/>
              <w:rPr>
                <w:rFonts w:ascii="Calibri" w:hAnsi="Calibri" w:cs="Calibri"/>
                <w:b/>
              </w:rPr>
            </w:pPr>
          </w:p>
          <w:p w14:paraId="52590B70" w14:textId="77777777" w:rsidR="00161C5C" w:rsidRPr="00E508FD" w:rsidRDefault="00161C5C" w:rsidP="00161C5C">
            <w:pPr>
              <w:pStyle w:val="NoSpacing"/>
              <w:rPr>
                <w:rFonts w:ascii="Calibri" w:hAnsi="Calibri" w:cs="Calibri"/>
                <w:b/>
              </w:rPr>
            </w:pPr>
            <w:r w:rsidRPr="00E508FD">
              <w:rPr>
                <w:rFonts w:ascii="Calibri" w:hAnsi="Calibri" w:cs="Calibri"/>
                <w:b/>
              </w:rPr>
              <w:t xml:space="preserve">Teaching methodology:  </w:t>
            </w:r>
          </w:p>
        </w:tc>
        <w:tc>
          <w:tcPr>
            <w:tcW w:w="9335" w:type="dxa"/>
            <w:gridSpan w:val="3"/>
          </w:tcPr>
          <w:p w14:paraId="3D18B29C" w14:textId="77777777" w:rsidR="00472CE5" w:rsidRPr="00ED2672" w:rsidRDefault="000D7E6A" w:rsidP="000D7E6A">
            <w:r w:rsidRPr="000D7E6A">
              <w:t>The teaching methodology includes lectures, open discussions, interactive presentations (Power Point) and simulation of the work of the European Union institutions, especially the institutions that have roles in the legislative process. The course will encourage critical reflection, the use of abundant academic texts related to topics and discussions in general.</w:t>
            </w:r>
          </w:p>
        </w:tc>
      </w:tr>
      <w:tr w:rsidR="00161C5C" w:rsidRPr="00E508FD" w14:paraId="6E102EE9" w14:textId="77777777" w:rsidTr="00997B5A">
        <w:tc>
          <w:tcPr>
            <w:tcW w:w="2371" w:type="dxa"/>
          </w:tcPr>
          <w:p w14:paraId="5ADB59F1" w14:textId="77777777" w:rsidR="00161C5C" w:rsidRPr="00E508FD" w:rsidRDefault="00161C5C" w:rsidP="00161C5C">
            <w:pPr>
              <w:pStyle w:val="NoSpacing"/>
              <w:rPr>
                <w:rFonts w:ascii="Calibri" w:hAnsi="Calibri" w:cs="Calibri"/>
                <w:b/>
              </w:rPr>
            </w:pPr>
          </w:p>
        </w:tc>
        <w:tc>
          <w:tcPr>
            <w:tcW w:w="9335" w:type="dxa"/>
            <w:gridSpan w:val="3"/>
          </w:tcPr>
          <w:p w14:paraId="2C16498B" w14:textId="77777777" w:rsidR="00161C5C" w:rsidRPr="00ED2672" w:rsidRDefault="00161C5C" w:rsidP="00161C5C">
            <w:r w:rsidRPr="00ED2672">
              <w:t xml:space="preserve"> </w:t>
            </w:r>
          </w:p>
        </w:tc>
      </w:tr>
      <w:tr w:rsidR="00183923" w:rsidRPr="00E508FD" w14:paraId="66ACC589" w14:textId="77777777" w:rsidTr="00997B5A">
        <w:tc>
          <w:tcPr>
            <w:tcW w:w="2371" w:type="dxa"/>
          </w:tcPr>
          <w:p w14:paraId="7DE4A38A" w14:textId="77777777" w:rsidR="001D6B79" w:rsidRDefault="001D6B79" w:rsidP="00446EC9">
            <w:pPr>
              <w:pStyle w:val="NoSpacing"/>
              <w:rPr>
                <w:rFonts w:ascii="Calibri" w:hAnsi="Calibri" w:cs="Calibri"/>
                <w:b/>
              </w:rPr>
            </w:pPr>
          </w:p>
          <w:p w14:paraId="4762F1EC" w14:textId="77777777" w:rsidR="00183923" w:rsidRPr="00E508FD" w:rsidRDefault="00446EC9" w:rsidP="00446EC9">
            <w:pPr>
              <w:pStyle w:val="NoSpacing"/>
              <w:rPr>
                <w:rFonts w:ascii="Calibri" w:hAnsi="Calibri" w:cs="Calibri"/>
                <w:b/>
              </w:rPr>
            </w:pPr>
            <w:r w:rsidRPr="00E508FD">
              <w:rPr>
                <w:rFonts w:ascii="Calibri" w:hAnsi="Calibri" w:cs="Calibri"/>
                <w:b/>
              </w:rPr>
              <w:t xml:space="preserve">Evaluation methodology: </w:t>
            </w:r>
          </w:p>
        </w:tc>
        <w:tc>
          <w:tcPr>
            <w:tcW w:w="9335" w:type="dxa"/>
            <w:gridSpan w:val="3"/>
          </w:tcPr>
          <w:p w14:paraId="39E7D043" w14:textId="77777777" w:rsidR="001D6B79" w:rsidRPr="00ED2672" w:rsidRDefault="001D6B79" w:rsidP="0048247C">
            <w:pPr>
              <w:pStyle w:val="NoSpacing"/>
              <w:rPr>
                <w:i/>
              </w:rPr>
            </w:pPr>
          </w:p>
          <w:p w14:paraId="0D2D78E7" w14:textId="77777777" w:rsidR="0048247C" w:rsidRPr="00ED2672" w:rsidRDefault="0035058C" w:rsidP="0048247C">
            <w:pPr>
              <w:pStyle w:val="NoSpacing"/>
            </w:pPr>
            <w:r w:rsidRPr="00ED2672">
              <w:t>Student evaluation is based on the forms reflecting points gained in</w:t>
            </w:r>
            <w:r w:rsidR="00767A42" w:rsidRPr="00ED2672">
              <w:t xml:space="preserve"> </w:t>
            </w:r>
            <w:r w:rsidRPr="00ED2672">
              <w:t xml:space="preserve">% as follows: </w:t>
            </w:r>
          </w:p>
          <w:p w14:paraId="2483F23D" w14:textId="77777777" w:rsidR="00ED2672" w:rsidRPr="00ED2672" w:rsidRDefault="00ED2672" w:rsidP="0048247C">
            <w:pPr>
              <w:pStyle w:val="NoSpacing"/>
              <w:rPr>
                <w:i/>
              </w:rPr>
            </w:pPr>
          </w:p>
          <w:p w14:paraId="74F0CA1A" w14:textId="77777777" w:rsidR="0048247C" w:rsidRPr="00ED2672" w:rsidRDefault="0048247C" w:rsidP="0048247C">
            <w:pPr>
              <w:pStyle w:val="NoSpacing"/>
            </w:pPr>
            <w:r w:rsidRPr="00ED2672">
              <w:t>-</w:t>
            </w:r>
            <w:r w:rsidR="00920AF8" w:rsidRPr="00ED2672">
              <w:t>Mid-term exam</w:t>
            </w:r>
            <w:r w:rsidR="00ED2672">
              <w:t>-</w:t>
            </w:r>
            <w:r w:rsidR="003A6FEB" w:rsidRPr="00ED2672">
              <w:t>3</w:t>
            </w:r>
            <w:r w:rsidR="00920AF8" w:rsidRPr="00ED2672">
              <w:t>0</w:t>
            </w:r>
            <w:r w:rsidRPr="00ED2672">
              <w:t>%</w:t>
            </w:r>
          </w:p>
          <w:p w14:paraId="54862D46" w14:textId="77777777" w:rsidR="003A6FEB" w:rsidRPr="00ED2672" w:rsidRDefault="0048247C" w:rsidP="0048247C">
            <w:pPr>
              <w:pStyle w:val="NoSpacing"/>
            </w:pPr>
            <w:r w:rsidRPr="00ED2672">
              <w:t>-</w:t>
            </w:r>
            <w:r w:rsidR="00920AF8" w:rsidRPr="00ED2672">
              <w:t>Final exam</w:t>
            </w:r>
            <w:r w:rsidR="00ED2672">
              <w:t>-3</w:t>
            </w:r>
            <w:r w:rsidR="003A6FEB" w:rsidRPr="00ED2672">
              <w:t>0%</w:t>
            </w:r>
          </w:p>
          <w:p w14:paraId="3A83AA93" w14:textId="77777777" w:rsidR="0048247C" w:rsidRPr="00ED2672" w:rsidRDefault="002D15B5" w:rsidP="0048247C">
            <w:pPr>
              <w:pStyle w:val="NoSpacing"/>
            </w:pPr>
            <w:r w:rsidRPr="00ED2672">
              <w:t>-</w:t>
            </w:r>
            <w:r w:rsidR="003A6FEB" w:rsidRPr="00ED2672">
              <w:t>S</w:t>
            </w:r>
            <w:r w:rsidR="0035058C" w:rsidRPr="00ED2672">
              <w:t>eminars</w:t>
            </w:r>
            <w:r w:rsidR="00ED2672">
              <w:t xml:space="preserve"> -</w:t>
            </w:r>
            <w:r w:rsidR="003A6FEB" w:rsidRPr="00ED2672">
              <w:t>3</w:t>
            </w:r>
            <w:r w:rsidR="0048247C" w:rsidRPr="00ED2672">
              <w:t>0%</w:t>
            </w:r>
          </w:p>
          <w:p w14:paraId="6833A291" w14:textId="77777777" w:rsidR="0048247C" w:rsidRPr="00ED2672" w:rsidRDefault="0048247C" w:rsidP="0048247C">
            <w:pPr>
              <w:pStyle w:val="NoSpacing"/>
            </w:pPr>
            <w:r w:rsidRPr="00ED2672">
              <w:t>-</w:t>
            </w:r>
            <w:r w:rsidR="00920AF8" w:rsidRPr="00ED2672">
              <w:t>In class active discussion</w:t>
            </w:r>
            <w:r w:rsidR="00ED2672">
              <w:t>-</w:t>
            </w:r>
            <w:r w:rsidR="003A6FEB" w:rsidRPr="00ED2672">
              <w:t>10</w:t>
            </w:r>
            <w:r w:rsidRPr="00ED2672">
              <w:t>%</w:t>
            </w:r>
          </w:p>
          <w:p w14:paraId="1FF0745D" w14:textId="77777777" w:rsidR="0048247C" w:rsidRPr="00ED2672" w:rsidRDefault="0035058C" w:rsidP="00ED2672">
            <w:pPr>
              <w:pStyle w:val="NoSpacing"/>
              <w:rPr>
                <w:i/>
                <w:sz w:val="20"/>
                <w:szCs w:val="20"/>
              </w:rPr>
            </w:pPr>
            <w:r w:rsidRPr="00ED2672">
              <w:t>Total</w:t>
            </w:r>
            <w:r w:rsidR="00ED2672">
              <w:t>-</w:t>
            </w:r>
            <w:r w:rsidR="0048247C" w:rsidRPr="00ED2672">
              <w:t>100%</w:t>
            </w:r>
          </w:p>
        </w:tc>
      </w:tr>
      <w:tr w:rsidR="00183923" w:rsidRPr="00E508FD" w14:paraId="1442F3FF" w14:textId="77777777" w:rsidTr="00997B5A">
        <w:tc>
          <w:tcPr>
            <w:tcW w:w="11706" w:type="dxa"/>
            <w:gridSpan w:val="4"/>
            <w:shd w:val="clear" w:color="auto" w:fill="D9D9D9"/>
          </w:tcPr>
          <w:p w14:paraId="0D2309FD" w14:textId="77777777" w:rsidR="00183923" w:rsidRPr="00E508FD" w:rsidRDefault="0067007B" w:rsidP="00183923">
            <w:pPr>
              <w:pStyle w:val="NoSpacing"/>
              <w:rPr>
                <w:rFonts w:ascii="Calibri" w:hAnsi="Calibri" w:cs="Calibri"/>
                <w:b/>
              </w:rPr>
            </w:pPr>
            <w:r w:rsidRPr="00E508FD">
              <w:rPr>
                <w:rFonts w:ascii="Calibri" w:hAnsi="Calibri" w:cs="Calibri"/>
                <w:b/>
              </w:rPr>
              <w:t>Literature</w:t>
            </w:r>
          </w:p>
        </w:tc>
      </w:tr>
      <w:tr w:rsidR="00183923" w:rsidRPr="00472CE5" w14:paraId="186D5D20" w14:textId="77777777" w:rsidTr="00997B5A">
        <w:tc>
          <w:tcPr>
            <w:tcW w:w="2371" w:type="dxa"/>
          </w:tcPr>
          <w:p w14:paraId="6797433E" w14:textId="77777777" w:rsidR="001D6B79" w:rsidRPr="00472CE5" w:rsidRDefault="001D6B79" w:rsidP="0067007B">
            <w:pPr>
              <w:pStyle w:val="NoSpacing"/>
              <w:rPr>
                <w:b/>
              </w:rPr>
            </w:pPr>
          </w:p>
          <w:p w14:paraId="30FB97E9" w14:textId="77777777" w:rsidR="00183923" w:rsidRPr="00472CE5" w:rsidRDefault="0067007B" w:rsidP="0067007B">
            <w:pPr>
              <w:pStyle w:val="NoSpacing"/>
              <w:rPr>
                <w:b/>
              </w:rPr>
            </w:pPr>
            <w:r w:rsidRPr="00472CE5">
              <w:rPr>
                <w:b/>
              </w:rPr>
              <w:t>Basic Literature</w:t>
            </w:r>
            <w:r w:rsidR="00183923" w:rsidRPr="00472CE5">
              <w:rPr>
                <w:b/>
              </w:rPr>
              <w:t xml:space="preserve">:  </w:t>
            </w:r>
          </w:p>
        </w:tc>
        <w:tc>
          <w:tcPr>
            <w:tcW w:w="9335" w:type="dxa"/>
            <w:gridSpan w:val="3"/>
          </w:tcPr>
          <w:p w14:paraId="3EFF9F2F" w14:textId="77777777" w:rsidR="00472CE5" w:rsidRPr="00472CE5" w:rsidRDefault="00472CE5" w:rsidP="005A1942">
            <w:pPr>
              <w:outlineLvl w:val="0"/>
              <w:rPr>
                <w:shd w:val="clear" w:color="auto" w:fill="FFFFFF"/>
              </w:rPr>
            </w:pPr>
          </w:p>
          <w:p w14:paraId="6F8AAA3C" w14:textId="77777777" w:rsidR="00472CE5" w:rsidRPr="00472CE5" w:rsidRDefault="00472CE5" w:rsidP="005A1942">
            <w:pPr>
              <w:outlineLvl w:val="0"/>
              <w:rPr>
                <w:b/>
                <w:shd w:val="clear" w:color="auto" w:fill="FFFFFF"/>
              </w:rPr>
            </w:pPr>
            <w:r w:rsidRPr="00472CE5">
              <w:rPr>
                <w:b/>
                <w:shd w:val="clear" w:color="auto" w:fill="FFFFFF"/>
              </w:rPr>
              <w:t>Selected chapters from:</w:t>
            </w:r>
          </w:p>
          <w:p w14:paraId="35B1A9AC" w14:textId="77777777" w:rsidR="00472CE5" w:rsidRPr="00472CE5" w:rsidRDefault="00472CE5" w:rsidP="005A1942">
            <w:pPr>
              <w:outlineLvl w:val="0"/>
              <w:rPr>
                <w:shd w:val="clear" w:color="auto" w:fill="FFFFFF"/>
              </w:rPr>
            </w:pPr>
            <w:r w:rsidRPr="00472CE5">
              <w:rPr>
                <w:shd w:val="clear" w:color="auto" w:fill="FFFFFF"/>
              </w:rPr>
              <w:t xml:space="preserve"> </w:t>
            </w:r>
          </w:p>
          <w:p w14:paraId="7BC6F848" w14:textId="77777777" w:rsidR="009946B5" w:rsidRPr="009946B5" w:rsidRDefault="009946B5" w:rsidP="000D7E6A">
            <w:pPr>
              <w:shd w:val="clear" w:color="auto" w:fill="FFFFFF"/>
              <w:spacing w:after="120"/>
              <w:textAlignment w:val="baseline"/>
              <w:outlineLvl w:val="0"/>
              <w:rPr>
                <w:color w:val="333333"/>
              </w:rPr>
            </w:pPr>
            <w:r w:rsidRPr="009946B5">
              <w:rPr>
                <w:color w:val="333333"/>
                <w:spacing w:val="5"/>
                <w:kern w:val="36"/>
              </w:rPr>
              <w:t>Highs and Lows of European Integration</w:t>
            </w:r>
            <w:r w:rsidR="000D7E6A">
              <w:rPr>
                <w:color w:val="333333"/>
                <w:spacing w:val="5"/>
                <w:kern w:val="36"/>
              </w:rPr>
              <w:t xml:space="preserve">, </w:t>
            </w:r>
            <w:r w:rsidRPr="009946B5">
              <w:rPr>
                <w:color w:val="333333"/>
              </w:rPr>
              <w:t xml:space="preserve">Sixty </w:t>
            </w:r>
            <w:r w:rsidR="000D7E6A">
              <w:rPr>
                <w:color w:val="333333"/>
              </w:rPr>
              <w:t>Years After the Treaty of Rome,</w:t>
            </w:r>
            <w:r w:rsidRPr="009946B5">
              <w:rPr>
                <w:color w:val="333333"/>
              </w:rPr>
              <w:t> </w:t>
            </w:r>
            <w:proofErr w:type="spellStart"/>
            <w:r w:rsidRPr="009946B5">
              <w:rPr>
                <w:bCs/>
                <w:color w:val="333333"/>
              </w:rPr>
              <w:t>Antoniolli</w:t>
            </w:r>
            <w:proofErr w:type="spellEnd"/>
            <w:r w:rsidRPr="009946B5">
              <w:rPr>
                <w:color w:val="333333"/>
              </w:rPr>
              <w:t>, Luisa, </w:t>
            </w:r>
            <w:r w:rsidRPr="009946B5">
              <w:rPr>
                <w:bCs/>
                <w:color w:val="333333"/>
              </w:rPr>
              <w:t>Bonatti</w:t>
            </w:r>
            <w:r w:rsidRPr="009946B5">
              <w:rPr>
                <w:color w:val="333333"/>
              </w:rPr>
              <w:t>, Luigi, </w:t>
            </w:r>
            <w:proofErr w:type="spellStart"/>
            <w:r w:rsidRPr="009946B5">
              <w:rPr>
                <w:bCs/>
                <w:color w:val="333333"/>
              </w:rPr>
              <w:t>Ruzza</w:t>
            </w:r>
            <w:proofErr w:type="spellEnd"/>
            <w:r w:rsidRPr="009946B5">
              <w:rPr>
                <w:color w:val="333333"/>
              </w:rPr>
              <w:t>, Carlo (Eds.)</w:t>
            </w:r>
            <w:r w:rsidR="00046809">
              <w:rPr>
                <w:color w:val="333333"/>
              </w:rPr>
              <w:t>,</w:t>
            </w:r>
            <w:r w:rsidRPr="009946B5">
              <w:rPr>
                <w:color w:val="333333"/>
              </w:rPr>
              <w:t xml:space="preserve"> 2019</w:t>
            </w:r>
          </w:p>
          <w:p w14:paraId="1B2FE954" w14:textId="77777777" w:rsidR="00E83194" w:rsidRDefault="00E83194" w:rsidP="00CF7515">
            <w:pPr>
              <w:pStyle w:val="NoSpacing"/>
            </w:pPr>
            <w:r w:rsidRPr="009946B5">
              <w:t>Foreign Policy Integration: A Comparative Study of Kosovo and Uk</w:t>
            </w:r>
            <w:r w:rsidR="00046809">
              <w:t>raine, Palgrave MacMillan, 2018</w:t>
            </w:r>
          </w:p>
          <w:p w14:paraId="18170912" w14:textId="77777777" w:rsidR="00046809" w:rsidRPr="009946B5" w:rsidRDefault="00046809" w:rsidP="00CF7515">
            <w:pPr>
              <w:pStyle w:val="NoSpacing"/>
            </w:pPr>
          </w:p>
          <w:p w14:paraId="46C3AAF1" w14:textId="77777777" w:rsidR="00472CE5" w:rsidRPr="00046809" w:rsidRDefault="00472CE5" w:rsidP="00046809">
            <w:pPr>
              <w:shd w:val="clear" w:color="auto" w:fill="FFFFFF"/>
              <w:spacing w:after="300"/>
              <w:textAlignment w:val="baseline"/>
              <w:outlineLvl w:val="1"/>
              <w:rPr>
                <w:shd w:val="clear" w:color="auto" w:fill="FFFFFF"/>
              </w:rPr>
            </w:pPr>
            <w:r w:rsidRPr="009946B5">
              <w:rPr>
                <w:bCs/>
                <w:shd w:val="clear" w:color="auto" w:fill="FFFFFF"/>
              </w:rPr>
              <w:t xml:space="preserve">Post-conflict </w:t>
            </w:r>
            <w:proofErr w:type="spellStart"/>
            <w:r w:rsidRPr="009946B5">
              <w:rPr>
                <w:bCs/>
                <w:shd w:val="clear" w:color="auto" w:fill="FFFFFF"/>
              </w:rPr>
              <w:t>europeanization</w:t>
            </w:r>
            <w:proofErr w:type="spellEnd"/>
            <w:r w:rsidRPr="009946B5">
              <w:rPr>
                <w:bCs/>
                <w:shd w:val="clear" w:color="auto" w:fill="FFFFFF"/>
              </w:rPr>
              <w:t xml:space="preserve"> and the war of meanings The challenges of EU conditionality in Bosnia-Herzegovina and Kosovo, </w:t>
            </w:r>
            <w:proofErr w:type="spellStart"/>
            <w:r w:rsidRPr="009946B5">
              <w:rPr>
                <w:bCs/>
                <w:shd w:val="clear" w:color="auto" w:fill="FFFFFF"/>
              </w:rPr>
              <w:t>Miruna</w:t>
            </w:r>
            <w:proofErr w:type="spellEnd"/>
            <w:r w:rsidRPr="009946B5">
              <w:rPr>
                <w:bCs/>
                <w:shd w:val="clear" w:color="auto" w:fill="FFFFFF"/>
              </w:rPr>
              <w:t xml:space="preserve"> </w:t>
            </w:r>
            <w:proofErr w:type="spellStart"/>
            <w:r w:rsidRPr="009946B5">
              <w:rPr>
                <w:bCs/>
                <w:shd w:val="clear" w:color="auto" w:fill="FFFFFF"/>
              </w:rPr>
              <w:t>Trancota</w:t>
            </w:r>
            <w:proofErr w:type="spellEnd"/>
            <w:r w:rsidR="00046809">
              <w:rPr>
                <w:bCs/>
                <w:shd w:val="clear" w:color="auto" w:fill="FFFFFF"/>
              </w:rPr>
              <w:t>, 2016.</w:t>
            </w:r>
          </w:p>
          <w:p w14:paraId="5B81AA41" w14:textId="77777777" w:rsidR="00E83194" w:rsidRPr="00472CE5" w:rsidRDefault="00E83194" w:rsidP="00046809">
            <w:pPr>
              <w:pStyle w:val="NoSpacing"/>
            </w:pPr>
          </w:p>
        </w:tc>
      </w:tr>
      <w:tr w:rsidR="00183923" w:rsidRPr="00472CE5" w14:paraId="636A0D7A" w14:textId="77777777" w:rsidTr="00997B5A">
        <w:tc>
          <w:tcPr>
            <w:tcW w:w="2371" w:type="dxa"/>
          </w:tcPr>
          <w:p w14:paraId="369A627A" w14:textId="77777777" w:rsidR="001D6B79" w:rsidRPr="00472CE5" w:rsidRDefault="001D6B79" w:rsidP="0067007B">
            <w:pPr>
              <w:pStyle w:val="NoSpacing"/>
              <w:rPr>
                <w:b/>
              </w:rPr>
            </w:pPr>
          </w:p>
          <w:p w14:paraId="5BC0B198" w14:textId="77777777" w:rsidR="00183923" w:rsidRPr="00472CE5" w:rsidRDefault="0067007B" w:rsidP="0067007B">
            <w:pPr>
              <w:pStyle w:val="NoSpacing"/>
              <w:rPr>
                <w:b/>
              </w:rPr>
            </w:pPr>
            <w:r w:rsidRPr="00472CE5">
              <w:rPr>
                <w:b/>
              </w:rPr>
              <w:t>Additional Literature</w:t>
            </w:r>
            <w:r w:rsidR="00183923" w:rsidRPr="00472CE5">
              <w:rPr>
                <w:b/>
              </w:rPr>
              <w:t xml:space="preserve">:  </w:t>
            </w:r>
          </w:p>
        </w:tc>
        <w:tc>
          <w:tcPr>
            <w:tcW w:w="9335" w:type="dxa"/>
            <w:gridSpan w:val="3"/>
          </w:tcPr>
          <w:p w14:paraId="0A69F4CE" w14:textId="77777777" w:rsidR="00E83194" w:rsidRPr="00472CE5" w:rsidRDefault="00E83194" w:rsidP="003125FD">
            <w:pPr>
              <w:spacing w:line="300" w:lineRule="atLeast"/>
              <w:rPr>
                <w:b/>
                <w:u w:val="single"/>
              </w:rPr>
            </w:pPr>
            <w:r w:rsidRPr="00472CE5">
              <w:rPr>
                <w:b/>
                <w:u w:val="single"/>
              </w:rPr>
              <w:t>Internet sources</w:t>
            </w:r>
            <w:r w:rsidR="003B75E2" w:rsidRPr="00472CE5">
              <w:rPr>
                <w:b/>
                <w:u w:val="single"/>
              </w:rPr>
              <w:t xml:space="preserve"> with specific interest in the EU</w:t>
            </w:r>
          </w:p>
          <w:p w14:paraId="1DE13B7C" w14:textId="77777777" w:rsidR="005A1942" w:rsidRPr="00472CE5" w:rsidRDefault="005A1942" w:rsidP="003125FD">
            <w:pPr>
              <w:spacing w:line="300" w:lineRule="atLeast"/>
              <w:rPr>
                <w:b/>
                <w:u w:val="single"/>
              </w:rPr>
            </w:pPr>
          </w:p>
          <w:p w14:paraId="64B3C3CF" w14:textId="77777777" w:rsidR="003F50A8" w:rsidRDefault="003F50A8" w:rsidP="003125FD">
            <w:pPr>
              <w:spacing w:line="300" w:lineRule="atLeast"/>
            </w:pPr>
            <w:r w:rsidRPr="00472CE5">
              <w:t>EU official webpage:</w:t>
            </w:r>
            <w:r w:rsidR="005A1942" w:rsidRPr="00472CE5">
              <w:t xml:space="preserve"> </w:t>
            </w:r>
            <w:hyperlink r:id="rId9" w:history="1">
              <w:r w:rsidR="005A1942" w:rsidRPr="00472CE5">
                <w:rPr>
                  <w:rStyle w:val="Hyperlink"/>
                </w:rPr>
                <w:t>http://europa.eu/</w:t>
              </w:r>
            </w:hyperlink>
            <w:r w:rsidR="005A1942" w:rsidRPr="00472CE5">
              <w:t xml:space="preserve"> </w:t>
            </w:r>
            <w:r w:rsidR="00046809">
              <w:t>;</w:t>
            </w:r>
          </w:p>
          <w:p w14:paraId="5F6BCC24" w14:textId="77777777" w:rsidR="00046809" w:rsidRPr="00472CE5" w:rsidRDefault="00046809" w:rsidP="003125FD">
            <w:pPr>
              <w:spacing w:line="300" w:lineRule="atLeast"/>
            </w:pPr>
          </w:p>
          <w:p w14:paraId="45836927" w14:textId="77777777" w:rsidR="00046809" w:rsidRPr="00472CE5" w:rsidRDefault="00046809" w:rsidP="00046809">
            <w:pPr>
              <w:pStyle w:val="NoSpacing"/>
            </w:pPr>
            <w:r w:rsidRPr="00472CE5">
              <w:t xml:space="preserve">Treaty of Lisbon available at: </w:t>
            </w:r>
            <w:hyperlink r:id="rId10" w:history="1">
              <w:r w:rsidRPr="00472CE5">
                <w:rPr>
                  <w:rStyle w:val="Hyperlink"/>
                </w:rPr>
                <w:t>https://eur-lex.europa.eu/resource.html?uri=cellar:2bf140bf-a3f8-4ab2-b506-fd71826e6da6.0023.02/DOC_1&amp;format=PDF</w:t>
              </w:r>
            </w:hyperlink>
            <w:r w:rsidRPr="00472CE5">
              <w:t xml:space="preserve">. </w:t>
            </w:r>
          </w:p>
          <w:p w14:paraId="5D65E278" w14:textId="77777777" w:rsidR="00046809" w:rsidRPr="00472CE5" w:rsidRDefault="00046809" w:rsidP="00046809">
            <w:pPr>
              <w:pStyle w:val="NoSpacing"/>
            </w:pPr>
          </w:p>
          <w:p w14:paraId="28AE059D" w14:textId="77777777" w:rsidR="00046809" w:rsidRPr="00472CE5" w:rsidRDefault="00046809" w:rsidP="00046809">
            <w:pPr>
              <w:pStyle w:val="NoSpacing"/>
            </w:pPr>
            <w:r w:rsidRPr="00472CE5">
              <w:t xml:space="preserve">EU Global Strategy available at: </w:t>
            </w:r>
            <w:hyperlink r:id="rId11" w:history="1">
              <w:r w:rsidRPr="00472CE5">
                <w:rPr>
                  <w:rStyle w:val="Hyperlink"/>
                </w:rPr>
                <w:t>https://eeas.europa.eu/topics/eu-global-strategy_en</w:t>
              </w:r>
            </w:hyperlink>
            <w:r w:rsidRPr="00472CE5">
              <w:t xml:space="preserve"> </w:t>
            </w:r>
          </w:p>
          <w:p w14:paraId="371A20B7" w14:textId="77777777" w:rsidR="00046809" w:rsidRPr="00472CE5" w:rsidRDefault="00046809" w:rsidP="00046809">
            <w:pPr>
              <w:pStyle w:val="NoSpacing"/>
            </w:pPr>
          </w:p>
          <w:p w14:paraId="0065EDAB" w14:textId="77777777" w:rsidR="005A1942" w:rsidRPr="00472CE5" w:rsidRDefault="00046809" w:rsidP="00046809">
            <w:pPr>
              <w:spacing w:line="300" w:lineRule="atLeast"/>
            </w:pPr>
            <w:r w:rsidRPr="00472CE5">
              <w:t xml:space="preserve">Kosovo EU  integration strategy available at: </w:t>
            </w:r>
            <w:hyperlink r:id="rId12" w:history="1">
              <w:r w:rsidRPr="00472CE5">
                <w:rPr>
                  <w:rStyle w:val="Hyperlink"/>
                </w:rPr>
                <w:t>http://www.kryeministri-ks.net/repository/docs/National_Strategy_for_European_Integration_Kosovo_2020_ENG.PDF</w:t>
              </w:r>
            </w:hyperlink>
          </w:p>
          <w:p w14:paraId="615B5CC9" w14:textId="77777777" w:rsidR="0036701C" w:rsidRPr="00472CE5" w:rsidRDefault="003F50A8" w:rsidP="003125FD">
            <w:pPr>
              <w:spacing w:line="300" w:lineRule="atLeast"/>
              <w:rPr>
                <w:color w:val="333333"/>
                <w:shd w:val="clear" w:color="auto" w:fill="FFFFFF"/>
              </w:rPr>
            </w:pPr>
            <w:r w:rsidRPr="00472CE5">
              <w:rPr>
                <w:color w:val="333333"/>
                <w:shd w:val="clear" w:color="auto" w:fill="FFFFFF"/>
              </w:rPr>
              <w:t>European Union Office in Kosovo </w:t>
            </w:r>
            <w:r w:rsidRPr="00472CE5">
              <w:rPr>
                <w:color w:val="333333"/>
              </w:rPr>
              <w:br/>
            </w:r>
            <w:r w:rsidRPr="00472CE5">
              <w:rPr>
                <w:color w:val="333333"/>
                <w:shd w:val="clear" w:color="auto" w:fill="FFFFFF"/>
              </w:rPr>
              <w:t xml:space="preserve">European Union Special Representative in Kosovo: </w:t>
            </w:r>
            <w:hyperlink r:id="rId13" w:history="1">
              <w:r w:rsidRPr="00472CE5">
                <w:rPr>
                  <w:rStyle w:val="Hyperlink"/>
                  <w:shd w:val="clear" w:color="auto" w:fill="FFFFFF"/>
                </w:rPr>
                <w:t>https://eeas.europa.eu/delegations/kosovo_en/1387/Kosovo*%20and%20the%20EU</w:t>
              </w:r>
            </w:hyperlink>
            <w:r w:rsidRPr="00472CE5">
              <w:rPr>
                <w:color w:val="333333"/>
                <w:shd w:val="clear" w:color="auto" w:fill="FFFFFF"/>
              </w:rPr>
              <w:t xml:space="preserve"> </w:t>
            </w:r>
          </w:p>
          <w:p w14:paraId="0903768C" w14:textId="77777777" w:rsidR="005A1942" w:rsidRPr="00472CE5" w:rsidRDefault="005A1942" w:rsidP="003125FD">
            <w:pPr>
              <w:spacing w:line="300" w:lineRule="atLeast"/>
            </w:pPr>
          </w:p>
          <w:p w14:paraId="64E78D75" w14:textId="77777777" w:rsidR="00E83194" w:rsidRPr="00472CE5" w:rsidRDefault="003F50A8" w:rsidP="003F50A8">
            <w:pPr>
              <w:spacing w:line="300" w:lineRule="atLeast"/>
              <w:rPr>
                <w:color w:val="0065A0"/>
                <w:shd w:val="clear" w:color="auto" w:fill="FFFFFF"/>
              </w:rPr>
            </w:pPr>
            <w:r w:rsidRPr="00472CE5">
              <w:lastRenderedPageBreak/>
              <w:t xml:space="preserve">Kosovo </w:t>
            </w:r>
            <w:r w:rsidRPr="00472CE5">
              <w:rPr>
                <w:shd w:val="clear" w:color="auto" w:fill="FFFFFF"/>
              </w:rPr>
              <w:t xml:space="preserve">European </w:t>
            </w:r>
            <w:proofErr w:type="spellStart"/>
            <w:r w:rsidRPr="00472CE5">
              <w:rPr>
                <w:shd w:val="clear" w:color="auto" w:fill="FFFFFF"/>
              </w:rPr>
              <w:t>Neighbourhood</w:t>
            </w:r>
            <w:proofErr w:type="spellEnd"/>
            <w:r w:rsidRPr="00472CE5">
              <w:rPr>
                <w:shd w:val="clear" w:color="auto" w:fill="FFFFFF"/>
              </w:rPr>
              <w:t xml:space="preserve"> Policy And Enlargement Negotiations :</w:t>
            </w:r>
            <w:r w:rsidRPr="00472CE5">
              <w:t xml:space="preserve"> </w:t>
            </w:r>
            <w:hyperlink r:id="rId14" w:history="1">
              <w:r w:rsidRPr="00472CE5">
                <w:rPr>
                  <w:rStyle w:val="Hyperlink"/>
                  <w:shd w:val="clear" w:color="auto" w:fill="FFFFFF"/>
                </w:rPr>
                <w:t>https://ec.europa.eu/neighbourhood-enlargement/countries/detailed-country-information/kosovo_en</w:t>
              </w:r>
            </w:hyperlink>
            <w:r w:rsidRPr="00472CE5">
              <w:rPr>
                <w:color w:val="0065A0"/>
                <w:shd w:val="clear" w:color="auto" w:fill="FFFFFF"/>
              </w:rPr>
              <w:t xml:space="preserve"> </w:t>
            </w:r>
          </w:p>
          <w:p w14:paraId="222AAEFA" w14:textId="77777777" w:rsidR="005A1942" w:rsidRPr="00472CE5" w:rsidRDefault="005A1942" w:rsidP="003F50A8">
            <w:pPr>
              <w:spacing w:line="300" w:lineRule="atLeast"/>
              <w:rPr>
                <w:color w:val="0065A0"/>
                <w:shd w:val="clear" w:color="auto" w:fill="FFFFFF"/>
              </w:rPr>
            </w:pPr>
          </w:p>
          <w:p w14:paraId="5A876EC2" w14:textId="77777777" w:rsidR="005A1942" w:rsidRPr="00472CE5" w:rsidRDefault="005A1942" w:rsidP="003F50A8">
            <w:pPr>
              <w:spacing w:line="300" w:lineRule="atLeast"/>
              <w:rPr>
                <w:shd w:val="clear" w:color="auto" w:fill="FFFFFF"/>
              </w:rPr>
            </w:pPr>
            <w:r w:rsidRPr="00472CE5">
              <w:rPr>
                <w:shd w:val="clear" w:color="auto" w:fill="FFFFFF"/>
              </w:rPr>
              <w:t>Kosovo Government:</w:t>
            </w:r>
            <w:r w:rsidRPr="00472CE5">
              <w:t xml:space="preserve"> </w:t>
            </w:r>
            <w:hyperlink r:id="rId15" w:history="1">
              <w:r w:rsidRPr="00472CE5">
                <w:rPr>
                  <w:rStyle w:val="Hyperlink"/>
                  <w:shd w:val="clear" w:color="auto" w:fill="FFFFFF"/>
                </w:rPr>
                <w:t>https://www.rks-gov.net/EN/f43/republic-of-kosovo/government</w:t>
              </w:r>
            </w:hyperlink>
            <w:r w:rsidRPr="00472CE5">
              <w:rPr>
                <w:shd w:val="clear" w:color="auto" w:fill="FFFFFF"/>
              </w:rPr>
              <w:t xml:space="preserve"> </w:t>
            </w:r>
          </w:p>
          <w:p w14:paraId="18B0DC53" w14:textId="77777777" w:rsidR="005A1942" w:rsidRPr="00472CE5" w:rsidRDefault="005A1942" w:rsidP="003F50A8">
            <w:pPr>
              <w:spacing w:line="300" w:lineRule="atLeast"/>
              <w:rPr>
                <w:shd w:val="clear" w:color="auto" w:fill="FFFFFF"/>
              </w:rPr>
            </w:pPr>
          </w:p>
          <w:p w14:paraId="54011971" w14:textId="77777777" w:rsidR="005A1942" w:rsidRPr="00472CE5" w:rsidRDefault="005A1942" w:rsidP="003F50A8">
            <w:pPr>
              <w:spacing w:line="300" w:lineRule="atLeast"/>
              <w:rPr>
                <w:shd w:val="clear" w:color="auto" w:fill="FFFFFF"/>
              </w:rPr>
            </w:pPr>
            <w:r w:rsidRPr="00472CE5">
              <w:rPr>
                <w:shd w:val="clear" w:color="auto" w:fill="FFFFFF"/>
              </w:rPr>
              <w:t xml:space="preserve">Kosovo Official Gazette: </w:t>
            </w:r>
            <w:hyperlink r:id="rId16" w:history="1">
              <w:r w:rsidRPr="00472CE5">
                <w:rPr>
                  <w:rStyle w:val="Hyperlink"/>
                  <w:shd w:val="clear" w:color="auto" w:fill="FFFFFF"/>
                </w:rPr>
                <w:t>https://gzk.rks-gov.net/</w:t>
              </w:r>
            </w:hyperlink>
          </w:p>
          <w:p w14:paraId="4939F438" w14:textId="77777777" w:rsidR="005A1942" w:rsidRPr="00472CE5" w:rsidRDefault="005A1942" w:rsidP="003F50A8">
            <w:pPr>
              <w:spacing w:line="300" w:lineRule="atLeast"/>
              <w:rPr>
                <w:shd w:val="clear" w:color="auto" w:fill="FFFFFF"/>
              </w:rPr>
            </w:pPr>
          </w:p>
          <w:p w14:paraId="4F5ADEF6" w14:textId="77777777" w:rsidR="005A1942" w:rsidRPr="00472CE5" w:rsidRDefault="005A1942" w:rsidP="003F50A8">
            <w:pPr>
              <w:spacing w:line="300" w:lineRule="atLeast"/>
              <w:rPr>
                <w:shd w:val="clear" w:color="auto" w:fill="FFFFFF"/>
              </w:rPr>
            </w:pPr>
            <w:r w:rsidRPr="00472CE5">
              <w:rPr>
                <w:shd w:val="clear" w:color="auto" w:fill="FFFFFF"/>
              </w:rPr>
              <w:t xml:space="preserve">Ministry of European Integration:  </w:t>
            </w:r>
            <w:hyperlink r:id="rId17" w:history="1">
              <w:r w:rsidRPr="00472CE5">
                <w:rPr>
                  <w:rStyle w:val="Hyperlink"/>
                  <w:shd w:val="clear" w:color="auto" w:fill="FFFFFF"/>
                </w:rPr>
                <w:t>http://www.mei-ks.net/en/home</w:t>
              </w:r>
            </w:hyperlink>
            <w:r w:rsidRPr="00472CE5">
              <w:rPr>
                <w:shd w:val="clear" w:color="auto" w:fill="FFFFFF"/>
              </w:rPr>
              <w:t xml:space="preserve"> </w:t>
            </w:r>
          </w:p>
          <w:p w14:paraId="6C285C4E" w14:textId="77777777" w:rsidR="003F50A8" w:rsidRPr="00472CE5" w:rsidRDefault="003F50A8" w:rsidP="003F50A8">
            <w:pPr>
              <w:spacing w:line="300" w:lineRule="atLeast"/>
            </w:pPr>
          </w:p>
        </w:tc>
      </w:tr>
    </w:tbl>
    <w:p w14:paraId="7693E5F2" w14:textId="77777777" w:rsidR="0093147C" w:rsidRPr="00472CE5" w:rsidRDefault="0093147C" w:rsidP="0093147C">
      <w:pPr>
        <w:rPr>
          <w:vanish/>
        </w:rPr>
      </w:pPr>
    </w:p>
    <w:tbl>
      <w:tblPr>
        <w:tblpPr w:leftFromText="180" w:rightFromText="180" w:vertAnchor="text" w:horzAnchor="margin" w:tblpX="-1332" w:tblpY="4"/>
        <w:tblW w:w="1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7650"/>
      </w:tblGrid>
      <w:tr w:rsidR="00D67209" w:rsidRPr="00472CE5" w14:paraId="14066858" w14:textId="77777777" w:rsidTr="00997B5A">
        <w:tc>
          <w:tcPr>
            <w:tcW w:w="11700" w:type="dxa"/>
            <w:gridSpan w:val="2"/>
            <w:shd w:val="clear" w:color="auto" w:fill="D9D9D9"/>
          </w:tcPr>
          <w:p w14:paraId="22E972F2" w14:textId="77777777" w:rsidR="00D67209" w:rsidRPr="00472CE5" w:rsidRDefault="00662402" w:rsidP="00997B5A">
            <w:pPr>
              <w:rPr>
                <w:b/>
              </w:rPr>
            </w:pPr>
            <w:r w:rsidRPr="00472CE5">
              <w:rPr>
                <w:b/>
              </w:rPr>
              <w:t xml:space="preserve">Designed teaching plan: </w:t>
            </w:r>
            <w:r w:rsidR="00D67209" w:rsidRPr="00472CE5">
              <w:rPr>
                <w:b/>
              </w:rPr>
              <w:t xml:space="preserve"> </w:t>
            </w:r>
          </w:p>
          <w:p w14:paraId="70EB7578" w14:textId="77777777" w:rsidR="00D67209" w:rsidRPr="00472CE5" w:rsidRDefault="00D67209" w:rsidP="00997B5A">
            <w:pPr>
              <w:rPr>
                <w:b/>
              </w:rPr>
            </w:pPr>
          </w:p>
        </w:tc>
      </w:tr>
      <w:tr w:rsidR="00D67209" w:rsidRPr="00472CE5" w14:paraId="101C5804" w14:textId="77777777" w:rsidTr="00997B5A">
        <w:tc>
          <w:tcPr>
            <w:tcW w:w="4050" w:type="dxa"/>
            <w:shd w:val="clear" w:color="auto" w:fill="D9D9D9"/>
          </w:tcPr>
          <w:p w14:paraId="54DDB33C" w14:textId="77777777" w:rsidR="00D67209" w:rsidRPr="00472CE5" w:rsidRDefault="00662402" w:rsidP="00997B5A">
            <w:pPr>
              <w:rPr>
                <w:b/>
              </w:rPr>
            </w:pPr>
            <w:r w:rsidRPr="00472CE5">
              <w:rPr>
                <w:b/>
              </w:rPr>
              <w:t>Week</w:t>
            </w:r>
          </w:p>
        </w:tc>
        <w:tc>
          <w:tcPr>
            <w:tcW w:w="7650" w:type="dxa"/>
            <w:shd w:val="clear" w:color="auto" w:fill="D9D9D9"/>
          </w:tcPr>
          <w:p w14:paraId="5831F8A3" w14:textId="77777777" w:rsidR="00D67209" w:rsidRPr="00472CE5" w:rsidRDefault="00662402" w:rsidP="00997B5A">
            <w:pPr>
              <w:rPr>
                <w:b/>
              </w:rPr>
            </w:pPr>
            <w:r w:rsidRPr="00472CE5">
              <w:rPr>
                <w:b/>
              </w:rPr>
              <w:t xml:space="preserve">Lecture to be elaborated: </w:t>
            </w:r>
          </w:p>
        </w:tc>
      </w:tr>
      <w:tr w:rsidR="00D67209" w:rsidRPr="00472CE5" w14:paraId="247B2219" w14:textId="77777777" w:rsidTr="00997B5A">
        <w:tc>
          <w:tcPr>
            <w:tcW w:w="4050" w:type="dxa"/>
          </w:tcPr>
          <w:p w14:paraId="2A6939EB" w14:textId="77777777" w:rsidR="001D6B79" w:rsidRPr="00472CE5" w:rsidRDefault="001D6B79" w:rsidP="00997B5A">
            <w:pPr>
              <w:rPr>
                <w:b/>
                <w:i/>
              </w:rPr>
            </w:pPr>
          </w:p>
          <w:p w14:paraId="21DFA325" w14:textId="77777777" w:rsidR="00D67209" w:rsidRPr="00472CE5" w:rsidRDefault="006C1F94" w:rsidP="00997B5A">
            <w:pPr>
              <w:rPr>
                <w:b/>
              </w:rPr>
            </w:pPr>
            <w:r w:rsidRPr="00472CE5">
              <w:rPr>
                <w:b/>
                <w:i/>
              </w:rPr>
              <w:t>Week one</w:t>
            </w:r>
            <w:r w:rsidR="00D67209" w:rsidRPr="00472CE5">
              <w:rPr>
                <w:b/>
                <w:i/>
              </w:rPr>
              <w:t>:</w:t>
            </w:r>
          </w:p>
        </w:tc>
        <w:tc>
          <w:tcPr>
            <w:tcW w:w="7650" w:type="dxa"/>
          </w:tcPr>
          <w:p w14:paraId="1B8293D1" w14:textId="77777777" w:rsidR="000C058E" w:rsidRPr="00472CE5" w:rsidRDefault="000C058E" w:rsidP="00997B5A">
            <w:pPr>
              <w:spacing w:line="300" w:lineRule="atLeast"/>
              <w:rPr>
                <w:bCs/>
              </w:rPr>
            </w:pPr>
          </w:p>
          <w:p w14:paraId="7B6D7670" w14:textId="77777777" w:rsidR="00D67209" w:rsidRPr="00472CE5" w:rsidRDefault="000C058E" w:rsidP="00997B5A">
            <w:pPr>
              <w:spacing w:line="300" w:lineRule="atLeast"/>
              <w:rPr>
                <w:b/>
                <w:bCs/>
              </w:rPr>
            </w:pPr>
            <w:r w:rsidRPr="00472CE5">
              <w:rPr>
                <w:b/>
                <w:bCs/>
              </w:rPr>
              <w:t>Introduction to the Course</w:t>
            </w:r>
          </w:p>
          <w:p w14:paraId="3165ABC3" w14:textId="77777777" w:rsidR="000C058E" w:rsidRPr="00472CE5" w:rsidRDefault="000C058E" w:rsidP="00997B5A">
            <w:pPr>
              <w:spacing w:line="300" w:lineRule="atLeast"/>
              <w:rPr>
                <w:bCs/>
              </w:rPr>
            </w:pPr>
          </w:p>
        </w:tc>
      </w:tr>
      <w:tr w:rsidR="00D67209" w:rsidRPr="00E508FD" w14:paraId="4AC22243" w14:textId="77777777" w:rsidTr="00997B5A">
        <w:tc>
          <w:tcPr>
            <w:tcW w:w="4050" w:type="dxa"/>
          </w:tcPr>
          <w:p w14:paraId="22D7CCC9" w14:textId="77777777" w:rsidR="001D6B79" w:rsidRDefault="001D6B79" w:rsidP="00997B5A">
            <w:pPr>
              <w:rPr>
                <w:rFonts w:ascii="Calibri" w:hAnsi="Calibri" w:cs="Calibri"/>
                <w:b/>
                <w:i/>
              </w:rPr>
            </w:pPr>
          </w:p>
          <w:p w14:paraId="4BD7FB3C" w14:textId="77777777" w:rsidR="00D67209" w:rsidRPr="00E508FD" w:rsidRDefault="006C1F94" w:rsidP="00997B5A">
            <w:pPr>
              <w:rPr>
                <w:rFonts w:ascii="Calibri" w:hAnsi="Calibri" w:cs="Calibri"/>
                <w:b/>
              </w:rPr>
            </w:pPr>
            <w:r w:rsidRPr="00E508FD">
              <w:rPr>
                <w:rFonts w:ascii="Calibri" w:hAnsi="Calibri" w:cs="Calibri"/>
                <w:b/>
                <w:i/>
              </w:rPr>
              <w:t>Week two</w:t>
            </w:r>
            <w:r w:rsidR="00D67209" w:rsidRPr="00E508FD">
              <w:rPr>
                <w:rFonts w:ascii="Calibri" w:hAnsi="Calibri" w:cs="Calibri"/>
                <w:b/>
                <w:i/>
              </w:rPr>
              <w:t>:</w:t>
            </w:r>
          </w:p>
        </w:tc>
        <w:tc>
          <w:tcPr>
            <w:tcW w:w="7650" w:type="dxa"/>
          </w:tcPr>
          <w:p w14:paraId="37CDF9D3" w14:textId="77777777" w:rsidR="000C058E" w:rsidRPr="003315E2" w:rsidRDefault="000C058E" w:rsidP="00997B5A">
            <w:pPr>
              <w:pStyle w:val="BodyTextIndent2"/>
              <w:spacing w:line="300" w:lineRule="atLeast"/>
              <w:rPr>
                <w:bCs/>
              </w:rPr>
            </w:pPr>
          </w:p>
          <w:p w14:paraId="73F5E300" w14:textId="77777777" w:rsidR="000C058E" w:rsidRPr="003315E2" w:rsidRDefault="0024065E" w:rsidP="00997B5A">
            <w:pPr>
              <w:pStyle w:val="BodyTextIndent2"/>
              <w:spacing w:line="300" w:lineRule="atLeast"/>
              <w:rPr>
                <w:b/>
                <w:bCs/>
              </w:rPr>
            </w:pPr>
            <w:r w:rsidRPr="003315E2">
              <w:rPr>
                <w:b/>
              </w:rPr>
              <w:t>Part I.</w:t>
            </w:r>
            <w:r w:rsidR="00A30E6E" w:rsidRPr="003315E2">
              <w:rPr>
                <w:b/>
              </w:rPr>
              <w:t>1</w:t>
            </w:r>
            <w:r w:rsidRPr="003315E2">
              <w:rPr>
                <w:b/>
              </w:rPr>
              <w:t xml:space="preserve"> The Idea of Europe and  </w:t>
            </w:r>
            <w:r w:rsidR="003315E2" w:rsidRPr="003315E2">
              <w:rPr>
                <w:b/>
              </w:rPr>
              <w:t>EU integration</w:t>
            </w:r>
          </w:p>
          <w:p w14:paraId="3B125E8D" w14:textId="77777777" w:rsidR="00D67209" w:rsidRPr="003315E2" w:rsidRDefault="00FC0292" w:rsidP="00997B5A">
            <w:pPr>
              <w:pStyle w:val="BodyTextIndent2"/>
              <w:spacing w:line="300" w:lineRule="atLeast"/>
              <w:rPr>
                <w:bCs/>
              </w:rPr>
            </w:pPr>
            <w:r w:rsidRPr="003315E2">
              <w:rPr>
                <w:bCs/>
              </w:rPr>
              <w:t xml:space="preserve"> </w:t>
            </w:r>
          </w:p>
        </w:tc>
      </w:tr>
      <w:tr w:rsidR="00D67209" w:rsidRPr="00E508FD" w14:paraId="32656C41" w14:textId="77777777" w:rsidTr="00997B5A">
        <w:tc>
          <w:tcPr>
            <w:tcW w:w="4050" w:type="dxa"/>
          </w:tcPr>
          <w:p w14:paraId="14A9326B" w14:textId="77777777" w:rsidR="001D6B79" w:rsidRDefault="001D6B79" w:rsidP="00997B5A">
            <w:pPr>
              <w:rPr>
                <w:rFonts w:ascii="Calibri" w:hAnsi="Calibri" w:cs="Calibri"/>
                <w:b/>
                <w:i/>
              </w:rPr>
            </w:pPr>
          </w:p>
          <w:p w14:paraId="39FFF0B0" w14:textId="77777777" w:rsidR="00D67209" w:rsidRPr="00E508FD" w:rsidRDefault="00662402" w:rsidP="00997B5A">
            <w:pPr>
              <w:rPr>
                <w:rFonts w:ascii="Calibri" w:hAnsi="Calibri" w:cs="Calibri"/>
                <w:b/>
              </w:rPr>
            </w:pPr>
            <w:r w:rsidRPr="00E508FD">
              <w:rPr>
                <w:rFonts w:ascii="Calibri" w:hAnsi="Calibri" w:cs="Calibri"/>
                <w:b/>
                <w:i/>
              </w:rPr>
              <w:t>Week three</w:t>
            </w:r>
            <w:r w:rsidR="00D67209" w:rsidRPr="00E508FD">
              <w:rPr>
                <w:rFonts w:ascii="Calibri" w:hAnsi="Calibri" w:cs="Calibri"/>
                <w:b/>
              </w:rPr>
              <w:t>:</w:t>
            </w:r>
          </w:p>
        </w:tc>
        <w:tc>
          <w:tcPr>
            <w:tcW w:w="7650" w:type="dxa"/>
          </w:tcPr>
          <w:p w14:paraId="2AC16429" w14:textId="77777777" w:rsidR="00A30E6E" w:rsidRPr="003315E2" w:rsidRDefault="00A30E6E" w:rsidP="00997B5A">
            <w:pPr>
              <w:pStyle w:val="BodyTextIndent2"/>
              <w:spacing w:line="300" w:lineRule="atLeast"/>
              <w:ind w:left="0" w:firstLine="0"/>
              <w:rPr>
                <w:b/>
              </w:rPr>
            </w:pPr>
            <w:r w:rsidRPr="003315E2">
              <w:rPr>
                <w:b/>
              </w:rPr>
              <w:t>Part I.2</w:t>
            </w:r>
            <w:r w:rsidR="003315E2" w:rsidRPr="003315E2">
              <w:rPr>
                <w:b/>
              </w:rPr>
              <w:t>.</w:t>
            </w:r>
            <w:r w:rsidRPr="003315E2">
              <w:rPr>
                <w:b/>
              </w:rPr>
              <w:t xml:space="preserve"> The conceptual debates and theories focused on EU integration </w:t>
            </w:r>
          </w:p>
          <w:p w14:paraId="582C32AA" w14:textId="77777777" w:rsidR="00A30E6E" w:rsidRPr="003315E2" w:rsidRDefault="00A30E6E" w:rsidP="00997B5A">
            <w:pPr>
              <w:pStyle w:val="BodyTextIndent2"/>
              <w:spacing w:line="300" w:lineRule="atLeast"/>
              <w:ind w:left="0" w:firstLine="0"/>
            </w:pPr>
            <w:r w:rsidRPr="003315E2">
              <w:t xml:space="preserve">The rationalist and constructivist approaches </w:t>
            </w:r>
          </w:p>
          <w:p w14:paraId="32A07F52" w14:textId="77777777" w:rsidR="00D67209" w:rsidRPr="003315E2" w:rsidRDefault="00A30E6E" w:rsidP="00997B5A">
            <w:pPr>
              <w:pStyle w:val="BodyTextIndent2"/>
              <w:spacing w:line="300" w:lineRule="atLeast"/>
              <w:ind w:left="0" w:firstLine="0"/>
              <w:rPr>
                <w:bCs/>
              </w:rPr>
            </w:pPr>
            <w:r w:rsidRPr="003315E2">
              <w:t>Neo-functionalism</w:t>
            </w:r>
          </w:p>
          <w:p w14:paraId="52414547" w14:textId="77777777" w:rsidR="000C058E" w:rsidRPr="003315E2" w:rsidRDefault="00A30E6E" w:rsidP="00997B5A">
            <w:pPr>
              <w:pStyle w:val="BodyTextIndent2"/>
              <w:spacing w:line="300" w:lineRule="atLeast"/>
              <w:ind w:left="0" w:firstLine="0"/>
              <w:rPr>
                <w:bCs/>
              </w:rPr>
            </w:pPr>
            <w:r w:rsidRPr="003315E2">
              <w:rPr>
                <w:bCs/>
              </w:rPr>
              <w:t>Intergovernmentalism</w:t>
            </w:r>
          </w:p>
          <w:p w14:paraId="2D0BA27D" w14:textId="77777777" w:rsidR="00A30E6E" w:rsidRPr="003315E2" w:rsidRDefault="00A30E6E" w:rsidP="00997B5A">
            <w:pPr>
              <w:pStyle w:val="BodyTextIndent2"/>
              <w:spacing w:line="300" w:lineRule="atLeast"/>
              <w:ind w:left="0" w:firstLine="0"/>
              <w:rPr>
                <w:bCs/>
              </w:rPr>
            </w:pPr>
          </w:p>
        </w:tc>
      </w:tr>
      <w:tr w:rsidR="00600C1F" w:rsidRPr="00E508FD" w14:paraId="1CDBD669" w14:textId="77777777" w:rsidTr="00997B5A">
        <w:tc>
          <w:tcPr>
            <w:tcW w:w="4050" w:type="dxa"/>
          </w:tcPr>
          <w:p w14:paraId="77F6C117" w14:textId="77777777" w:rsidR="001D6B79" w:rsidRDefault="001D6B79" w:rsidP="00997B5A">
            <w:pPr>
              <w:rPr>
                <w:rFonts w:ascii="Calibri" w:hAnsi="Calibri" w:cs="Calibri"/>
                <w:b/>
                <w:i/>
              </w:rPr>
            </w:pPr>
          </w:p>
          <w:p w14:paraId="505A9A7F" w14:textId="77777777" w:rsidR="00600C1F" w:rsidRPr="00E508FD" w:rsidRDefault="00600C1F" w:rsidP="00997B5A">
            <w:pPr>
              <w:rPr>
                <w:rFonts w:ascii="Calibri" w:hAnsi="Calibri" w:cs="Calibri"/>
                <w:b/>
              </w:rPr>
            </w:pPr>
            <w:r w:rsidRPr="00E508FD">
              <w:rPr>
                <w:rFonts w:ascii="Calibri" w:hAnsi="Calibri" w:cs="Calibri"/>
                <w:b/>
                <w:i/>
              </w:rPr>
              <w:t>Week four:</w:t>
            </w:r>
          </w:p>
        </w:tc>
        <w:tc>
          <w:tcPr>
            <w:tcW w:w="7650" w:type="dxa"/>
          </w:tcPr>
          <w:p w14:paraId="3EE5DFD1" w14:textId="77777777" w:rsidR="00A30E6E" w:rsidRPr="003315E2" w:rsidRDefault="00A30E6E" w:rsidP="00997B5A">
            <w:pPr>
              <w:pStyle w:val="BodyTextIndent2"/>
              <w:spacing w:line="300" w:lineRule="atLeast"/>
              <w:ind w:left="0" w:firstLine="0"/>
            </w:pPr>
            <w:r w:rsidRPr="003315E2">
              <w:rPr>
                <w:b/>
              </w:rPr>
              <w:t>Part I.3</w:t>
            </w:r>
            <w:r w:rsidR="003315E2" w:rsidRPr="003315E2">
              <w:rPr>
                <w:b/>
              </w:rPr>
              <w:t>.</w:t>
            </w:r>
            <w:r w:rsidRPr="003315E2">
              <w:rPr>
                <w:b/>
              </w:rPr>
              <w:t xml:space="preserve"> The conceptual debates and theories focused on </w:t>
            </w:r>
            <w:r w:rsidRPr="005A1942">
              <w:rPr>
                <w:b/>
              </w:rPr>
              <w:t>EU integration (continuation)</w:t>
            </w:r>
          </w:p>
          <w:p w14:paraId="13C81B10" w14:textId="77777777" w:rsidR="00A30E6E" w:rsidRPr="003315E2" w:rsidRDefault="00A30E6E" w:rsidP="00997B5A">
            <w:pPr>
              <w:pStyle w:val="BodyTextIndent2"/>
              <w:spacing w:line="300" w:lineRule="atLeast"/>
              <w:ind w:left="0" w:firstLine="0"/>
              <w:rPr>
                <w:bCs/>
              </w:rPr>
            </w:pPr>
            <w:r w:rsidRPr="003315E2">
              <w:rPr>
                <w:bCs/>
              </w:rPr>
              <w:t>Liberal Intergovernmentalism</w:t>
            </w:r>
          </w:p>
          <w:p w14:paraId="7EC2E8E2" w14:textId="77777777" w:rsidR="00A30E6E" w:rsidRPr="003315E2" w:rsidRDefault="00A30E6E" w:rsidP="00997B5A">
            <w:pPr>
              <w:pStyle w:val="BodyTextIndent2"/>
              <w:spacing w:line="300" w:lineRule="atLeast"/>
              <w:ind w:left="0" w:firstLine="0"/>
              <w:rPr>
                <w:bCs/>
              </w:rPr>
            </w:pPr>
            <w:r w:rsidRPr="003315E2">
              <w:rPr>
                <w:bCs/>
              </w:rPr>
              <w:t>(New) Institutionalism</w:t>
            </w:r>
          </w:p>
          <w:p w14:paraId="166D2F86" w14:textId="77777777" w:rsidR="00600C1F" w:rsidRPr="003315E2" w:rsidRDefault="00A30E6E" w:rsidP="00997B5A">
            <w:pPr>
              <w:pStyle w:val="BodyTextIndent2"/>
              <w:spacing w:line="300" w:lineRule="atLeast"/>
            </w:pPr>
            <w:r w:rsidRPr="003315E2">
              <w:rPr>
                <w:bCs/>
              </w:rPr>
              <w:t>Multi -level Governance</w:t>
            </w:r>
            <w:r w:rsidRPr="003315E2">
              <w:t xml:space="preserve"> </w:t>
            </w:r>
            <w:r w:rsidR="0024065E" w:rsidRPr="003315E2">
              <w:t xml:space="preserve"> </w:t>
            </w:r>
          </w:p>
          <w:p w14:paraId="75C4E03F" w14:textId="77777777" w:rsidR="00600C1F" w:rsidRPr="003315E2" w:rsidRDefault="00600C1F" w:rsidP="00997B5A">
            <w:pPr>
              <w:pStyle w:val="BodyTextIndent2"/>
              <w:spacing w:line="300" w:lineRule="atLeast"/>
              <w:rPr>
                <w:b/>
              </w:rPr>
            </w:pPr>
          </w:p>
        </w:tc>
      </w:tr>
      <w:tr w:rsidR="00600C1F" w:rsidRPr="00E508FD" w14:paraId="0F80E325" w14:textId="77777777" w:rsidTr="00997B5A">
        <w:tc>
          <w:tcPr>
            <w:tcW w:w="4050" w:type="dxa"/>
          </w:tcPr>
          <w:p w14:paraId="38BD47FF" w14:textId="77777777" w:rsidR="001D6B79" w:rsidRDefault="001D6B79" w:rsidP="00997B5A">
            <w:pPr>
              <w:rPr>
                <w:rFonts w:ascii="Calibri" w:hAnsi="Calibri" w:cs="Calibri"/>
                <w:b/>
                <w:i/>
              </w:rPr>
            </w:pPr>
          </w:p>
          <w:p w14:paraId="507FD0E9" w14:textId="77777777" w:rsidR="00600C1F" w:rsidRPr="00E508FD" w:rsidRDefault="00600C1F" w:rsidP="00997B5A">
            <w:pPr>
              <w:rPr>
                <w:rFonts w:ascii="Calibri" w:hAnsi="Calibri" w:cs="Calibri"/>
                <w:b/>
              </w:rPr>
            </w:pPr>
            <w:r w:rsidRPr="00E508FD">
              <w:rPr>
                <w:rFonts w:ascii="Calibri" w:hAnsi="Calibri" w:cs="Calibri"/>
                <w:b/>
                <w:i/>
              </w:rPr>
              <w:t>Week five:</w:t>
            </w:r>
            <w:r w:rsidRPr="00E508FD">
              <w:rPr>
                <w:rFonts w:ascii="Calibri" w:hAnsi="Calibri" w:cs="Calibri"/>
                <w:b/>
              </w:rPr>
              <w:t xml:space="preserve">  </w:t>
            </w:r>
          </w:p>
        </w:tc>
        <w:tc>
          <w:tcPr>
            <w:tcW w:w="7650" w:type="dxa"/>
          </w:tcPr>
          <w:p w14:paraId="527E5B3A" w14:textId="77777777" w:rsidR="003315E2" w:rsidRDefault="003315E2" w:rsidP="00997B5A">
            <w:pPr>
              <w:rPr>
                <w:b/>
              </w:rPr>
            </w:pPr>
          </w:p>
          <w:p w14:paraId="547E9F14" w14:textId="77777777" w:rsidR="00600C1F" w:rsidRDefault="003315E2" w:rsidP="00997B5A">
            <w:pPr>
              <w:rPr>
                <w:b/>
              </w:rPr>
            </w:pPr>
            <w:r w:rsidRPr="003315E2">
              <w:rPr>
                <w:b/>
              </w:rPr>
              <w:t xml:space="preserve">II. </w:t>
            </w:r>
            <w:r w:rsidR="00A30E6E" w:rsidRPr="003315E2">
              <w:rPr>
                <w:b/>
              </w:rPr>
              <w:t>EU foreign policy towards Western Balkan’s</w:t>
            </w:r>
          </w:p>
          <w:p w14:paraId="18A9A865" w14:textId="77777777" w:rsidR="003315E2" w:rsidRDefault="003315E2" w:rsidP="00997B5A">
            <w:pPr>
              <w:rPr>
                <w:shd w:val="clear" w:color="auto" w:fill="FFFFFF"/>
              </w:rPr>
            </w:pPr>
            <w:proofErr w:type="spellStart"/>
            <w:r w:rsidRPr="003315E2">
              <w:rPr>
                <w:shd w:val="clear" w:color="auto" w:fill="FFFFFF"/>
              </w:rPr>
              <w:t>Stabilisation</w:t>
            </w:r>
            <w:proofErr w:type="spellEnd"/>
            <w:r w:rsidRPr="003315E2">
              <w:rPr>
                <w:shd w:val="clear" w:color="auto" w:fill="FFFFFF"/>
              </w:rPr>
              <w:t xml:space="preserve"> &amp; Association Process</w:t>
            </w:r>
          </w:p>
          <w:p w14:paraId="3FADF445" w14:textId="77777777" w:rsidR="003315E2" w:rsidRPr="003315E2" w:rsidRDefault="003315E2" w:rsidP="00997B5A">
            <w:pPr>
              <w:rPr>
                <w:b/>
              </w:rPr>
            </w:pPr>
          </w:p>
        </w:tc>
      </w:tr>
      <w:tr w:rsidR="00600C1F" w:rsidRPr="00E508FD" w14:paraId="134EF7EC" w14:textId="77777777" w:rsidTr="00997B5A">
        <w:tc>
          <w:tcPr>
            <w:tcW w:w="4050" w:type="dxa"/>
          </w:tcPr>
          <w:p w14:paraId="5E96C161" w14:textId="77777777" w:rsidR="001D6B79" w:rsidRDefault="001D6B79" w:rsidP="00997B5A">
            <w:pPr>
              <w:rPr>
                <w:rFonts w:ascii="Calibri" w:hAnsi="Calibri" w:cs="Calibri"/>
                <w:b/>
                <w:i/>
              </w:rPr>
            </w:pPr>
          </w:p>
          <w:p w14:paraId="58859641" w14:textId="77777777" w:rsidR="00600C1F" w:rsidRPr="00E508FD" w:rsidRDefault="00600C1F" w:rsidP="00997B5A">
            <w:pPr>
              <w:rPr>
                <w:rFonts w:ascii="Calibri" w:hAnsi="Calibri" w:cs="Calibri"/>
                <w:b/>
              </w:rPr>
            </w:pPr>
            <w:r w:rsidRPr="00E508FD">
              <w:rPr>
                <w:rFonts w:ascii="Calibri" w:hAnsi="Calibri" w:cs="Calibri"/>
                <w:b/>
                <w:i/>
              </w:rPr>
              <w:t>Week six</w:t>
            </w:r>
            <w:r w:rsidRPr="00E508FD">
              <w:rPr>
                <w:rFonts w:ascii="Calibri" w:hAnsi="Calibri" w:cs="Calibri"/>
                <w:b/>
              </w:rPr>
              <w:t>:</w:t>
            </w:r>
          </w:p>
        </w:tc>
        <w:tc>
          <w:tcPr>
            <w:tcW w:w="7650" w:type="dxa"/>
          </w:tcPr>
          <w:p w14:paraId="17E22AA9" w14:textId="77777777" w:rsidR="00600C1F" w:rsidRPr="003315E2" w:rsidRDefault="003315E2" w:rsidP="00997B5A">
            <w:pPr>
              <w:pStyle w:val="BodyTextIndent2"/>
              <w:spacing w:line="300" w:lineRule="atLeast"/>
              <w:ind w:left="0" w:firstLine="0"/>
              <w:rPr>
                <w:b/>
                <w:bCs/>
              </w:rPr>
            </w:pPr>
            <w:r w:rsidRPr="003315E2">
              <w:rPr>
                <w:b/>
                <w:bCs/>
              </w:rPr>
              <w:t xml:space="preserve">III. </w:t>
            </w:r>
            <w:r w:rsidR="00A30E6E" w:rsidRPr="003315E2">
              <w:rPr>
                <w:b/>
                <w:bCs/>
              </w:rPr>
              <w:t>EU and Kosovo</w:t>
            </w:r>
          </w:p>
          <w:p w14:paraId="5A8B5036" w14:textId="77777777" w:rsidR="00600C1F" w:rsidRPr="003315E2" w:rsidRDefault="00A30E6E" w:rsidP="00997B5A">
            <w:pPr>
              <w:pStyle w:val="BodyTextIndent2"/>
              <w:spacing w:line="300" w:lineRule="atLeast"/>
              <w:ind w:left="0" w:firstLine="0"/>
              <w:rPr>
                <w:bCs/>
              </w:rPr>
            </w:pPr>
            <w:r w:rsidRPr="003315E2">
              <w:rPr>
                <w:bCs/>
              </w:rPr>
              <w:t>The European integration process of Kosovo</w:t>
            </w:r>
          </w:p>
          <w:p w14:paraId="2D911803" w14:textId="77777777" w:rsidR="005A1942" w:rsidRDefault="003315E2" w:rsidP="00997B5A">
            <w:pPr>
              <w:pStyle w:val="BodyTextIndent2"/>
              <w:spacing w:line="300" w:lineRule="atLeast"/>
              <w:ind w:left="0" w:firstLine="0"/>
              <w:rPr>
                <w:bCs/>
              </w:rPr>
            </w:pPr>
            <w:r w:rsidRPr="003315E2">
              <w:rPr>
                <w:bCs/>
              </w:rPr>
              <w:t>Main Mechanisms and Institutions</w:t>
            </w:r>
          </w:p>
          <w:p w14:paraId="3252F040" w14:textId="77777777" w:rsidR="005A1942" w:rsidRDefault="005A1942" w:rsidP="00997B5A">
            <w:pPr>
              <w:pStyle w:val="BodyTextIndent2"/>
              <w:spacing w:line="300" w:lineRule="atLeast"/>
              <w:ind w:left="0" w:firstLine="0"/>
              <w:rPr>
                <w:bCs/>
              </w:rPr>
            </w:pPr>
            <w:r>
              <w:rPr>
                <w:bCs/>
              </w:rPr>
              <w:t>SAA, IPA, Visa liberalization process,  and other instruments</w:t>
            </w:r>
          </w:p>
          <w:p w14:paraId="32D793D4" w14:textId="77777777" w:rsidR="00550E40" w:rsidRPr="003315E2" w:rsidRDefault="00550E40" w:rsidP="00997B5A">
            <w:pPr>
              <w:pStyle w:val="BodyTextIndent2"/>
              <w:spacing w:line="300" w:lineRule="atLeast"/>
              <w:ind w:left="0" w:firstLine="0"/>
              <w:rPr>
                <w:bCs/>
              </w:rPr>
            </w:pPr>
          </w:p>
        </w:tc>
      </w:tr>
      <w:tr w:rsidR="00600C1F" w:rsidRPr="00E508FD" w14:paraId="415E9827" w14:textId="77777777" w:rsidTr="00997B5A">
        <w:tc>
          <w:tcPr>
            <w:tcW w:w="4050" w:type="dxa"/>
          </w:tcPr>
          <w:p w14:paraId="5789CC49" w14:textId="77777777" w:rsidR="001D6B79" w:rsidRDefault="001D6B79" w:rsidP="00997B5A">
            <w:pPr>
              <w:rPr>
                <w:rFonts w:ascii="Calibri" w:hAnsi="Calibri" w:cs="Calibri"/>
                <w:b/>
                <w:i/>
              </w:rPr>
            </w:pPr>
          </w:p>
          <w:p w14:paraId="5C6EE529" w14:textId="77777777" w:rsidR="00600C1F" w:rsidRPr="00E508FD" w:rsidRDefault="00600C1F" w:rsidP="00997B5A">
            <w:pPr>
              <w:rPr>
                <w:rFonts w:ascii="Calibri" w:hAnsi="Calibri" w:cs="Calibri"/>
                <w:b/>
              </w:rPr>
            </w:pPr>
            <w:r w:rsidRPr="00E508FD">
              <w:rPr>
                <w:rFonts w:ascii="Calibri" w:hAnsi="Calibri" w:cs="Calibri"/>
                <w:b/>
                <w:i/>
              </w:rPr>
              <w:t>Week seven:</w:t>
            </w:r>
            <w:r w:rsidRPr="00E508FD">
              <w:rPr>
                <w:rFonts w:ascii="Calibri" w:hAnsi="Calibri" w:cs="Calibri"/>
                <w:b/>
              </w:rPr>
              <w:t xml:space="preserve">  </w:t>
            </w:r>
          </w:p>
        </w:tc>
        <w:tc>
          <w:tcPr>
            <w:tcW w:w="7650" w:type="dxa"/>
          </w:tcPr>
          <w:p w14:paraId="255A2B2A" w14:textId="77777777" w:rsidR="00600C1F" w:rsidRPr="003315E2" w:rsidRDefault="003315E2" w:rsidP="00997B5A">
            <w:pPr>
              <w:pStyle w:val="BodyTextIndent2"/>
              <w:spacing w:line="300" w:lineRule="atLeast"/>
              <w:ind w:left="0" w:firstLine="0"/>
              <w:rPr>
                <w:b/>
                <w:bCs/>
              </w:rPr>
            </w:pPr>
            <w:r w:rsidRPr="003315E2">
              <w:rPr>
                <w:b/>
                <w:bCs/>
              </w:rPr>
              <w:t xml:space="preserve">III.1 </w:t>
            </w:r>
            <w:r w:rsidR="00550E40">
              <w:rPr>
                <w:b/>
                <w:bCs/>
              </w:rPr>
              <w:t xml:space="preserve">Kosovo –EU </w:t>
            </w:r>
            <w:r w:rsidRPr="003315E2">
              <w:rPr>
                <w:b/>
                <w:bCs/>
              </w:rPr>
              <w:t>Legal framework, strategies and action plans:</w:t>
            </w:r>
          </w:p>
          <w:p w14:paraId="0F36B8DC" w14:textId="77777777" w:rsidR="00600C1F" w:rsidRPr="003315E2" w:rsidRDefault="00A30E6E" w:rsidP="00997B5A">
            <w:pPr>
              <w:pStyle w:val="BodyTextIndent2"/>
              <w:spacing w:line="300" w:lineRule="atLeast"/>
              <w:ind w:left="0" w:firstLine="0"/>
              <w:rPr>
                <w:bCs/>
              </w:rPr>
            </w:pPr>
            <w:r w:rsidRPr="003315E2">
              <w:rPr>
                <w:bCs/>
              </w:rPr>
              <w:t>EU Integration strategy: STRATEGY – 2020</w:t>
            </w:r>
          </w:p>
        </w:tc>
      </w:tr>
      <w:tr w:rsidR="00600C1F" w:rsidRPr="00E508FD" w14:paraId="1242A7FF" w14:textId="77777777" w:rsidTr="00997B5A">
        <w:tc>
          <w:tcPr>
            <w:tcW w:w="4050" w:type="dxa"/>
          </w:tcPr>
          <w:p w14:paraId="64FFEDE7" w14:textId="77777777" w:rsidR="001D6B79" w:rsidRDefault="001D6B79" w:rsidP="00997B5A">
            <w:pPr>
              <w:rPr>
                <w:rFonts w:ascii="Calibri" w:hAnsi="Calibri" w:cs="Calibri"/>
                <w:b/>
                <w:i/>
              </w:rPr>
            </w:pPr>
          </w:p>
          <w:p w14:paraId="495699AC" w14:textId="77777777" w:rsidR="00600C1F" w:rsidRPr="00E508FD" w:rsidRDefault="00600C1F" w:rsidP="00997B5A">
            <w:pPr>
              <w:rPr>
                <w:rFonts w:ascii="Calibri" w:hAnsi="Calibri" w:cs="Calibri"/>
                <w:b/>
                <w:i/>
              </w:rPr>
            </w:pPr>
            <w:r w:rsidRPr="00E508FD">
              <w:rPr>
                <w:rFonts w:ascii="Calibri" w:hAnsi="Calibri" w:cs="Calibri"/>
                <w:b/>
                <w:i/>
              </w:rPr>
              <w:t xml:space="preserve">Week eight: </w:t>
            </w:r>
            <w:r w:rsidRPr="00E508FD">
              <w:rPr>
                <w:rFonts w:ascii="Calibri" w:hAnsi="Calibri" w:cs="Calibri"/>
                <w:b/>
              </w:rPr>
              <w:t xml:space="preserve">  </w:t>
            </w:r>
          </w:p>
        </w:tc>
        <w:tc>
          <w:tcPr>
            <w:tcW w:w="7650" w:type="dxa"/>
          </w:tcPr>
          <w:p w14:paraId="1A5244C3" w14:textId="77777777" w:rsidR="00600C1F" w:rsidRPr="003315E2" w:rsidRDefault="00600C1F" w:rsidP="00997B5A"/>
          <w:p w14:paraId="6124A82E" w14:textId="77777777" w:rsidR="00600C1F" w:rsidRPr="003315E2" w:rsidRDefault="00600C1F" w:rsidP="00997B5A">
            <w:pPr>
              <w:rPr>
                <w:b/>
              </w:rPr>
            </w:pPr>
            <w:r w:rsidRPr="003315E2">
              <w:rPr>
                <w:b/>
              </w:rPr>
              <w:t>Mid-term exam</w:t>
            </w:r>
          </w:p>
          <w:p w14:paraId="5654E784" w14:textId="77777777" w:rsidR="00600C1F" w:rsidRPr="003315E2" w:rsidRDefault="00600C1F" w:rsidP="00997B5A"/>
        </w:tc>
      </w:tr>
      <w:tr w:rsidR="00600C1F" w:rsidRPr="00E508FD" w14:paraId="5A1E1AFA" w14:textId="77777777" w:rsidTr="00997B5A">
        <w:tc>
          <w:tcPr>
            <w:tcW w:w="4050" w:type="dxa"/>
          </w:tcPr>
          <w:p w14:paraId="22338A7A" w14:textId="77777777" w:rsidR="001D6B79" w:rsidRDefault="001D6B79" w:rsidP="00997B5A">
            <w:pPr>
              <w:rPr>
                <w:rFonts w:ascii="Calibri" w:hAnsi="Calibri" w:cs="Calibri"/>
                <w:b/>
                <w:i/>
              </w:rPr>
            </w:pPr>
          </w:p>
          <w:p w14:paraId="2E541D93" w14:textId="77777777" w:rsidR="00600C1F" w:rsidRPr="00E508FD" w:rsidRDefault="00600C1F" w:rsidP="00997B5A">
            <w:pPr>
              <w:rPr>
                <w:rFonts w:ascii="Calibri" w:hAnsi="Calibri" w:cs="Calibri"/>
                <w:b/>
                <w:i/>
              </w:rPr>
            </w:pPr>
            <w:r w:rsidRPr="00E508FD">
              <w:rPr>
                <w:rFonts w:ascii="Calibri" w:hAnsi="Calibri" w:cs="Calibri"/>
                <w:b/>
                <w:i/>
              </w:rPr>
              <w:t>Week nine:</w:t>
            </w:r>
            <w:r w:rsidRPr="00E508FD">
              <w:rPr>
                <w:rFonts w:ascii="Calibri" w:hAnsi="Calibri" w:cs="Calibri"/>
                <w:b/>
              </w:rPr>
              <w:t xml:space="preserve">  </w:t>
            </w:r>
          </w:p>
        </w:tc>
        <w:tc>
          <w:tcPr>
            <w:tcW w:w="7650" w:type="dxa"/>
          </w:tcPr>
          <w:p w14:paraId="6BFF4D2B" w14:textId="77777777" w:rsidR="003F50A8" w:rsidRDefault="003315E2" w:rsidP="00997B5A">
            <w:pPr>
              <w:rPr>
                <w:b/>
              </w:rPr>
            </w:pPr>
            <w:r>
              <w:rPr>
                <w:b/>
              </w:rPr>
              <w:t xml:space="preserve">III.2 </w:t>
            </w:r>
            <w:r w:rsidRPr="003315E2">
              <w:rPr>
                <w:b/>
              </w:rPr>
              <w:t>EU and Kosovo Political relations</w:t>
            </w:r>
            <w:r w:rsidR="00550E40">
              <w:rPr>
                <w:b/>
              </w:rPr>
              <w:t>-EU s presence in Kosovo</w:t>
            </w:r>
            <w:r w:rsidR="003F50A8">
              <w:rPr>
                <w:b/>
              </w:rPr>
              <w:t xml:space="preserve"> </w:t>
            </w:r>
          </w:p>
          <w:p w14:paraId="3C405060" w14:textId="77777777" w:rsidR="003315E2" w:rsidRDefault="003315E2" w:rsidP="00997B5A">
            <w:r w:rsidRPr="003315E2">
              <w:t xml:space="preserve">European Union Office in Kosovo </w:t>
            </w:r>
            <w:r>
              <w:t xml:space="preserve"> </w:t>
            </w:r>
          </w:p>
          <w:p w14:paraId="0A584021" w14:textId="77777777" w:rsidR="003315E2" w:rsidRPr="003315E2" w:rsidRDefault="003315E2" w:rsidP="00997B5A">
            <w:pPr>
              <w:pStyle w:val="NormalWeb"/>
              <w:spacing w:before="0" w:beforeAutospacing="0" w:after="150" w:afterAutospacing="0" w:line="400" w:lineRule="atLeast"/>
            </w:pPr>
            <w:r w:rsidRPr="003315E2">
              <w:t xml:space="preserve">EU Special Representative (EUSR), </w:t>
            </w:r>
          </w:p>
          <w:p w14:paraId="76A0EFE0" w14:textId="77777777" w:rsidR="003315E2" w:rsidRPr="003315E2" w:rsidRDefault="003315E2" w:rsidP="00997B5A">
            <w:pPr>
              <w:pStyle w:val="NormalWeb"/>
              <w:spacing w:before="0" w:beforeAutospacing="0" w:after="150" w:afterAutospacing="0" w:line="400" w:lineRule="atLeast"/>
            </w:pPr>
            <w:r w:rsidRPr="003315E2">
              <w:t xml:space="preserve">European Security and </w:t>
            </w:r>
            <w:proofErr w:type="spellStart"/>
            <w:r w:rsidRPr="003315E2">
              <w:t>Defence</w:t>
            </w:r>
            <w:proofErr w:type="spellEnd"/>
            <w:r w:rsidRPr="003315E2">
              <w:t xml:space="preserve"> Policy (ESDP) </w:t>
            </w:r>
          </w:p>
          <w:p w14:paraId="171F65EE" w14:textId="77777777" w:rsidR="003315E2" w:rsidRPr="003315E2" w:rsidRDefault="003315E2" w:rsidP="00997B5A">
            <w:pPr>
              <w:pStyle w:val="NormalWeb"/>
              <w:spacing w:before="0" w:beforeAutospacing="0" w:after="150" w:afterAutospacing="0" w:line="400" w:lineRule="atLeast"/>
            </w:pPr>
            <w:r w:rsidRPr="003315E2">
              <w:t>EU mission i</w:t>
            </w:r>
            <w:r w:rsidR="003F50A8">
              <w:t xml:space="preserve">n the rule of law area (EULEX) </w:t>
            </w:r>
          </w:p>
          <w:p w14:paraId="2A961130" w14:textId="77777777" w:rsidR="003315E2" w:rsidRPr="00E508FD" w:rsidRDefault="003315E2" w:rsidP="00997B5A">
            <w:pPr>
              <w:rPr>
                <w:rFonts w:ascii="Calibri" w:hAnsi="Calibri" w:cs="Calibri"/>
                <w:b/>
              </w:rPr>
            </w:pPr>
          </w:p>
        </w:tc>
      </w:tr>
      <w:tr w:rsidR="00600C1F" w:rsidRPr="00E508FD" w14:paraId="6F57974B" w14:textId="77777777" w:rsidTr="00997B5A">
        <w:tc>
          <w:tcPr>
            <w:tcW w:w="4050" w:type="dxa"/>
          </w:tcPr>
          <w:p w14:paraId="4FFDE008" w14:textId="77777777" w:rsidR="001D6B79" w:rsidRDefault="001D6B79" w:rsidP="00997B5A">
            <w:pPr>
              <w:rPr>
                <w:rFonts w:ascii="Calibri" w:hAnsi="Calibri" w:cs="Calibri"/>
                <w:b/>
                <w:i/>
              </w:rPr>
            </w:pPr>
          </w:p>
          <w:p w14:paraId="59886C5F" w14:textId="77777777" w:rsidR="00600C1F" w:rsidRPr="00E508FD" w:rsidRDefault="00600C1F" w:rsidP="00997B5A">
            <w:pPr>
              <w:rPr>
                <w:rFonts w:ascii="Calibri" w:hAnsi="Calibri" w:cs="Calibri"/>
                <w:b/>
                <w:i/>
              </w:rPr>
            </w:pPr>
            <w:r w:rsidRPr="00E508FD">
              <w:rPr>
                <w:rFonts w:ascii="Calibri" w:hAnsi="Calibri" w:cs="Calibri"/>
                <w:b/>
                <w:i/>
              </w:rPr>
              <w:t>Week ten:</w:t>
            </w:r>
          </w:p>
        </w:tc>
        <w:tc>
          <w:tcPr>
            <w:tcW w:w="7650" w:type="dxa"/>
          </w:tcPr>
          <w:p w14:paraId="61B24DB4" w14:textId="77777777" w:rsidR="00550E40" w:rsidRPr="00550E40" w:rsidRDefault="003315E2" w:rsidP="00997B5A">
            <w:pPr>
              <w:rPr>
                <w:b/>
                <w:shd w:val="clear" w:color="auto" w:fill="FFFFFF"/>
              </w:rPr>
            </w:pPr>
            <w:r w:rsidRPr="00550E40">
              <w:rPr>
                <w:b/>
              </w:rPr>
              <w:t xml:space="preserve">III.3 </w:t>
            </w:r>
            <w:r w:rsidR="00550E40" w:rsidRPr="00550E40">
              <w:rPr>
                <w:color w:val="000000"/>
                <w:sz w:val="42"/>
                <w:szCs w:val="42"/>
                <w:shd w:val="clear" w:color="auto" w:fill="FFFFFF"/>
              </w:rPr>
              <w:t xml:space="preserve"> </w:t>
            </w:r>
            <w:r w:rsidR="00550E40" w:rsidRPr="00550E40">
              <w:rPr>
                <w:color w:val="333333"/>
                <w:sz w:val="25"/>
                <w:szCs w:val="25"/>
              </w:rPr>
              <w:t xml:space="preserve"> </w:t>
            </w:r>
            <w:r w:rsidR="00550E40" w:rsidRPr="00550E40">
              <w:rPr>
                <w:rStyle w:val="Strong"/>
              </w:rPr>
              <w:t>Political and financial commitment to Kosovo</w:t>
            </w:r>
            <w:r w:rsidR="00550E40" w:rsidRPr="00550E40">
              <w:rPr>
                <w:shd w:val="clear" w:color="auto" w:fill="FFFFFF"/>
              </w:rPr>
              <w:t> </w:t>
            </w:r>
            <w:r w:rsidR="00550E40" w:rsidRPr="00550E40">
              <w:rPr>
                <w:b/>
                <w:shd w:val="clear" w:color="auto" w:fill="FFFFFF"/>
              </w:rPr>
              <w:t xml:space="preserve"> </w:t>
            </w:r>
          </w:p>
          <w:p w14:paraId="105BE063" w14:textId="77777777" w:rsidR="00600C1F" w:rsidRPr="00550E40" w:rsidRDefault="00550E40" w:rsidP="00997B5A">
            <w:pPr>
              <w:rPr>
                <w:shd w:val="clear" w:color="auto" w:fill="FFFFFF"/>
              </w:rPr>
            </w:pPr>
            <w:r w:rsidRPr="00550E40">
              <w:rPr>
                <w:shd w:val="clear" w:color="auto" w:fill="FFFFFF"/>
              </w:rPr>
              <w:t>EU Technical and financial cooperation</w:t>
            </w:r>
          </w:p>
          <w:p w14:paraId="2FBC0251" w14:textId="77777777" w:rsidR="00550E40" w:rsidRPr="00550E40" w:rsidRDefault="00550E40" w:rsidP="00997B5A">
            <w:pPr>
              <w:rPr>
                <w:shd w:val="clear" w:color="auto" w:fill="FFFFFF"/>
              </w:rPr>
            </w:pPr>
            <w:r w:rsidRPr="00550E40">
              <w:rPr>
                <w:shd w:val="clear" w:color="auto" w:fill="FFFFFF"/>
              </w:rPr>
              <w:t>Economic Relations</w:t>
            </w:r>
          </w:p>
          <w:p w14:paraId="5AB1BAC9" w14:textId="77777777" w:rsidR="00550E40" w:rsidRPr="00550E40" w:rsidRDefault="00550E40" w:rsidP="00997B5A">
            <w:pPr>
              <w:rPr>
                <w:b/>
              </w:rPr>
            </w:pPr>
            <w:r w:rsidRPr="00550E40">
              <w:rPr>
                <w:rStyle w:val="Strong"/>
                <w:b w:val="0"/>
              </w:rPr>
              <w:t>Instrument for Pre-Accession Assistance (IPA)</w:t>
            </w:r>
          </w:p>
        </w:tc>
      </w:tr>
      <w:tr w:rsidR="00600C1F" w:rsidRPr="00E508FD" w14:paraId="562296C3" w14:textId="77777777" w:rsidTr="00997B5A">
        <w:tc>
          <w:tcPr>
            <w:tcW w:w="4050" w:type="dxa"/>
          </w:tcPr>
          <w:p w14:paraId="0E541621" w14:textId="77777777" w:rsidR="001D6B79" w:rsidRDefault="001D6B79" w:rsidP="00997B5A">
            <w:pPr>
              <w:rPr>
                <w:rFonts w:ascii="Calibri" w:hAnsi="Calibri" w:cs="Calibri"/>
                <w:b/>
                <w:i/>
              </w:rPr>
            </w:pPr>
          </w:p>
          <w:p w14:paraId="4AE1A975" w14:textId="77777777" w:rsidR="00600C1F" w:rsidRPr="00E508FD" w:rsidRDefault="00600C1F" w:rsidP="00997B5A">
            <w:pPr>
              <w:rPr>
                <w:rFonts w:ascii="Calibri" w:hAnsi="Calibri" w:cs="Calibri"/>
                <w:b/>
                <w:i/>
              </w:rPr>
            </w:pPr>
            <w:r w:rsidRPr="00E508FD">
              <w:rPr>
                <w:rFonts w:ascii="Calibri" w:hAnsi="Calibri" w:cs="Calibri"/>
                <w:b/>
                <w:i/>
              </w:rPr>
              <w:t>Week eleven</w:t>
            </w:r>
            <w:r w:rsidRPr="00E508FD">
              <w:rPr>
                <w:rFonts w:ascii="Calibri" w:hAnsi="Calibri" w:cs="Calibri"/>
                <w:b/>
              </w:rPr>
              <w:t>:</w:t>
            </w:r>
          </w:p>
        </w:tc>
        <w:tc>
          <w:tcPr>
            <w:tcW w:w="7650" w:type="dxa"/>
          </w:tcPr>
          <w:p w14:paraId="4E2ED38E" w14:textId="77777777" w:rsidR="00600C1F" w:rsidRDefault="003315E2" w:rsidP="00997B5A">
            <w:pPr>
              <w:rPr>
                <w:b/>
              </w:rPr>
            </w:pPr>
            <w:r w:rsidRPr="00550E40">
              <w:rPr>
                <w:b/>
              </w:rPr>
              <w:t>III.4</w:t>
            </w:r>
            <w:r w:rsidR="00550E40" w:rsidRPr="00550E40">
              <w:rPr>
                <w:b/>
              </w:rPr>
              <w:t xml:space="preserve"> </w:t>
            </w:r>
            <w:r w:rsidR="00550E40">
              <w:rPr>
                <w:b/>
              </w:rPr>
              <w:t xml:space="preserve"> EU and other international presences in Kosovo</w:t>
            </w:r>
          </w:p>
          <w:p w14:paraId="7576D78F" w14:textId="77777777" w:rsidR="00550E40" w:rsidRDefault="00550E40" w:rsidP="00997B5A">
            <w:r w:rsidRPr="00550E40">
              <w:t>Cooperation or rivalry?</w:t>
            </w:r>
          </w:p>
          <w:p w14:paraId="6B387525" w14:textId="77777777" w:rsidR="003F50A8" w:rsidRDefault="003F50A8" w:rsidP="00997B5A">
            <w:r>
              <w:t xml:space="preserve">UNMIK; NATO /KFOR; OSCE; </w:t>
            </w:r>
            <w:proofErr w:type="spellStart"/>
            <w:r>
              <w:t>CoE</w:t>
            </w:r>
            <w:proofErr w:type="spellEnd"/>
            <w:r>
              <w:t>.</w:t>
            </w:r>
          </w:p>
          <w:p w14:paraId="6FF2F15E" w14:textId="77777777" w:rsidR="00550E40" w:rsidRPr="00550E40" w:rsidRDefault="00550E40" w:rsidP="00997B5A">
            <w:r>
              <w:t>Legal framework for cooperation: UNSC Resolution 1244.</w:t>
            </w:r>
          </w:p>
        </w:tc>
      </w:tr>
      <w:tr w:rsidR="00600C1F" w:rsidRPr="00E508FD" w14:paraId="1453DB64" w14:textId="77777777" w:rsidTr="00997B5A">
        <w:tc>
          <w:tcPr>
            <w:tcW w:w="4050" w:type="dxa"/>
          </w:tcPr>
          <w:p w14:paraId="07FE9B2C" w14:textId="77777777" w:rsidR="001D6B79" w:rsidRDefault="001D6B79" w:rsidP="00997B5A">
            <w:pPr>
              <w:rPr>
                <w:rFonts w:ascii="Calibri" w:hAnsi="Calibri" w:cs="Calibri"/>
                <w:b/>
                <w:i/>
              </w:rPr>
            </w:pPr>
          </w:p>
          <w:p w14:paraId="4D93A2C7" w14:textId="77777777" w:rsidR="00600C1F" w:rsidRPr="00E508FD" w:rsidRDefault="00600C1F" w:rsidP="00997B5A">
            <w:pPr>
              <w:rPr>
                <w:rFonts w:ascii="Calibri" w:hAnsi="Calibri" w:cs="Calibri"/>
                <w:b/>
                <w:i/>
              </w:rPr>
            </w:pPr>
            <w:r w:rsidRPr="00E508FD">
              <w:rPr>
                <w:rFonts w:ascii="Calibri" w:hAnsi="Calibri" w:cs="Calibri"/>
                <w:b/>
                <w:i/>
              </w:rPr>
              <w:t xml:space="preserve">Week twelve: </w:t>
            </w:r>
            <w:r w:rsidRPr="00E508FD">
              <w:rPr>
                <w:rFonts w:ascii="Calibri" w:hAnsi="Calibri" w:cs="Calibri"/>
                <w:b/>
              </w:rPr>
              <w:t xml:space="preserve">  </w:t>
            </w:r>
          </w:p>
        </w:tc>
        <w:tc>
          <w:tcPr>
            <w:tcW w:w="7650" w:type="dxa"/>
          </w:tcPr>
          <w:p w14:paraId="33D8842F" w14:textId="77777777" w:rsidR="00600C1F" w:rsidRPr="00550E40" w:rsidRDefault="003315E2" w:rsidP="00997B5A">
            <w:pPr>
              <w:rPr>
                <w:b/>
              </w:rPr>
            </w:pPr>
            <w:r w:rsidRPr="00550E40">
              <w:rPr>
                <w:b/>
              </w:rPr>
              <w:t>III.5</w:t>
            </w:r>
            <w:r w:rsidR="00550E40">
              <w:rPr>
                <w:b/>
              </w:rPr>
              <w:t xml:space="preserve"> Guest speaker/visit ( EU institutions in Kosovo and /or Ministry of European Integration )</w:t>
            </w:r>
          </w:p>
        </w:tc>
      </w:tr>
      <w:tr w:rsidR="00600C1F" w:rsidRPr="00E508FD" w14:paraId="6A94FB95" w14:textId="77777777" w:rsidTr="00997B5A">
        <w:tc>
          <w:tcPr>
            <w:tcW w:w="4050" w:type="dxa"/>
          </w:tcPr>
          <w:p w14:paraId="70143669" w14:textId="77777777" w:rsidR="001D6B79" w:rsidRDefault="001D6B79" w:rsidP="00997B5A">
            <w:pPr>
              <w:rPr>
                <w:rFonts w:ascii="Calibri" w:hAnsi="Calibri" w:cs="Calibri"/>
                <w:b/>
                <w:i/>
              </w:rPr>
            </w:pPr>
          </w:p>
          <w:p w14:paraId="527844FE" w14:textId="77777777" w:rsidR="00600C1F" w:rsidRPr="00E508FD" w:rsidRDefault="00600C1F" w:rsidP="00997B5A">
            <w:pPr>
              <w:rPr>
                <w:rFonts w:ascii="Calibri" w:hAnsi="Calibri" w:cs="Calibri"/>
                <w:b/>
                <w:i/>
              </w:rPr>
            </w:pPr>
            <w:r w:rsidRPr="00E508FD">
              <w:rPr>
                <w:rFonts w:ascii="Calibri" w:hAnsi="Calibri" w:cs="Calibri"/>
                <w:b/>
                <w:i/>
              </w:rPr>
              <w:t xml:space="preserve">Week thirteen: </w:t>
            </w:r>
            <w:r w:rsidRPr="00E508FD">
              <w:rPr>
                <w:rFonts w:ascii="Calibri" w:hAnsi="Calibri" w:cs="Calibri"/>
                <w:b/>
              </w:rPr>
              <w:t xml:space="preserve">   </w:t>
            </w:r>
          </w:p>
        </w:tc>
        <w:tc>
          <w:tcPr>
            <w:tcW w:w="7650" w:type="dxa"/>
          </w:tcPr>
          <w:p w14:paraId="6AFB9F02" w14:textId="77777777" w:rsidR="00600C1F" w:rsidRDefault="003315E2" w:rsidP="00997B5A">
            <w:pPr>
              <w:pStyle w:val="BodyTextIndent2"/>
              <w:spacing w:line="300" w:lineRule="atLeast"/>
              <w:ind w:left="0" w:firstLine="0"/>
              <w:rPr>
                <w:b/>
              </w:rPr>
            </w:pPr>
            <w:r w:rsidRPr="00550E40">
              <w:rPr>
                <w:b/>
              </w:rPr>
              <w:t>III.6</w:t>
            </w:r>
            <w:r w:rsidR="00550E40" w:rsidRPr="00550E40">
              <w:rPr>
                <w:b/>
              </w:rPr>
              <w:t xml:space="preserve"> Measuring progress</w:t>
            </w:r>
          </w:p>
          <w:p w14:paraId="52100EA8" w14:textId="77777777" w:rsidR="00550E40" w:rsidRPr="00550E40" w:rsidRDefault="00550E40" w:rsidP="00997B5A">
            <w:pPr>
              <w:pStyle w:val="BodyTextIndent2"/>
              <w:spacing w:line="300" w:lineRule="atLeast"/>
              <w:ind w:left="0" w:firstLine="0"/>
              <w:rPr>
                <w:b/>
              </w:rPr>
            </w:pPr>
          </w:p>
          <w:p w14:paraId="4D0F117B" w14:textId="77777777" w:rsidR="00550E40" w:rsidRDefault="00550E40" w:rsidP="00997B5A">
            <w:pPr>
              <w:pStyle w:val="BodyTextIndent2"/>
              <w:spacing w:line="300" w:lineRule="atLeast"/>
              <w:ind w:left="0" w:firstLine="0"/>
            </w:pPr>
            <w:r w:rsidRPr="00550E40">
              <w:t>Progress reports on Kosovo</w:t>
            </w:r>
          </w:p>
          <w:p w14:paraId="561E7C57" w14:textId="77777777" w:rsidR="00550E40" w:rsidRPr="00550E40" w:rsidRDefault="00550E40" w:rsidP="00997B5A">
            <w:pPr>
              <w:pStyle w:val="BodyTextIndent2"/>
              <w:spacing w:line="300" w:lineRule="atLeast"/>
              <w:ind w:left="0" w:firstLine="0"/>
            </w:pPr>
          </w:p>
        </w:tc>
      </w:tr>
      <w:tr w:rsidR="00600C1F" w:rsidRPr="00E508FD" w14:paraId="598E1A47" w14:textId="77777777" w:rsidTr="00997B5A">
        <w:tc>
          <w:tcPr>
            <w:tcW w:w="4050" w:type="dxa"/>
          </w:tcPr>
          <w:p w14:paraId="70846522" w14:textId="77777777" w:rsidR="001D6B79" w:rsidRDefault="001D6B79" w:rsidP="00997B5A">
            <w:pPr>
              <w:rPr>
                <w:rFonts w:ascii="Calibri" w:hAnsi="Calibri" w:cs="Calibri"/>
                <w:b/>
                <w:i/>
              </w:rPr>
            </w:pPr>
          </w:p>
          <w:p w14:paraId="2228B9AC" w14:textId="77777777" w:rsidR="00600C1F" w:rsidRPr="00E508FD" w:rsidRDefault="00600C1F" w:rsidP="00997B5A">
            <w:pPr>
              <w:rPr>
                <w:rFonts w:ascii="Calibri" w:hAnsi="Calibri" w:cs="Calibri"/>
                <w:b/>
                <w:i/>
              </w:rPr>
            </w:pPr>
            <w:r w:rsidRPr="00E508FD">
              <w:rPr>
                <w:rFonts w:ascii="Calibri" w:hAnsi="Calibri" w:cs="Calibri"/>
                <w:b/>
                <w:i/>
              </w:rPr>
              <w:t xml:space="preserve">Week fourteen: </w:t>
            </w:r>
            <w:r w:rsidRPr="00E508FD">
              <w:rPr>
                <w:rFonts w:ascii="Calibri" w:hAnsi="Calibri" w:cs="Calibri"/>
                <w:b/>
              </w:rPr>
              <w:t xml:space="preserve">  </w:t>
            </w:r>
          </w:p>
        </w:tc>
        <w:tc>
          <w:tcPr>
            <w:tcW w:w="7650" w:type="dxa"/>
          </w:tcPr>
          <w:p w14:paraId="0F67B9C1" w14:textId="77777777" w:rsidR="00600C1F" w:rsidRDefault="003315E2" w:rsidP="00997B5A">
            <w:pPr>
              <w:rPr>
                <w:b/>
              </w:rPr>
            </w:pPr>
            <w:r w:rsidRPr="00550E40">
              <w:rPr>
                <w:b/>
              </w:rPr>
              <w:t>III.7</w:t>
            </w:r>
            <w:r w:rsidR="00550E40" w:rsidRPr="00550E40">
              <w:rPr>
                <w:b/>
              </w:rPr>
              <w:t xml:space="preserve"> </w:t>
            </w:r>
            <w:r w:rsidR="00550E40">
              <w:rPr>
                <w:b/>
              </w:rPr>
              <w:t xml:space="preserve"> Kosovo CSO’s and EU integration processes</w:t>
            </w:r>
            <w:r w:rsidR="00550E40" w:rsidRPr="00550E40">
              <w:rPr>
                <w:b/>
              </w:rPr>
              <w:t xml:space="preserve"> </w:t>
            </w:r>
          </w:p>
          <w:p w14:paraId="194DD26B" w14:textId="77777777" w:rsidR="00550E40" w:rsidRPr="00550E40" w:rsidRDefault="00550E40" w:rsidP="00997B5A">
            <w:r>
              <w:t xml:space="preserve">EU –Kosovo </w:t>
            </w:r>
            <w:r w:rsidRPr="00550E40">
              <w:t>Civil society dialogue</w:t>
            </w:r>
          </w:p>
        </w:tc>
      </w:tr>
      <w:tr w:rsidR="00600C1F" w:rsidRPr="00E508FD" w14:paraId="6BA6A005" w14:textId="77777777" w:rsidTr="00997B5A">
        <w:tc>
          <w:tcPr>
            <w:tcW w:w="4050" w:type="dxa"/>
          </w:tcPr>
          <w:p w14:paraId="3B92F39B" w14:textId="77777777" w:rsidR="001D6B79" w:rsidRDefault="001D6B79" w:rsidP="00997B5A">
            <w:pPr>
              <w:rPr>
                <w:rFonts w:ascii="Calibri" w:hAnsi="Calibri" w:cs="Calibri"/>
                <w:b/>
                <w:i/>
              </w:rPr>
            </w:pPr>
          </w:p>
          <w:p w14:paraId="0F9844AC" w14:textId="77777777" w:rsidR="00600C1F" w:rsidRPr="00E508FD" w:rsidRDefault="00600C1F" w:rsidP="00997B5A">
            <w:pPr>
              <w:rPr>
                <w:rFonts w:ascii="Calibri" w:hAnsi="Calibri" w:cs="Calibri"/>
                <w:b/>
                <w:i/>
              </w:rPr>
            </w:pPr>
            <w:r w:rsidRPr="00E508FD">
              <w:rPr>
                <w:rFonts w:ascii="Calibri" w:hAnsi="Calibri" w:cs="Calibri"/>
                <w:b/>
                <w:i/>
              </w:rPr>
              <w:t xml:space="preserve">Week fifteen: </w:t>
            </w:r>
            <w:r w:rsidRPr="00E508FD">
              <w:rPr>
                <w:rFonts w:ascii="Calibri" w:hAnsi="Calibri" w:cs="Calibri"/>
                <w:b/>
              </w:rPr>
              <w:t xml:space="preserve">   </w:t>
            </w:r>
          </w:p>
        </w:tc>
        <w:tc>
          <w:tcPr>
            <w:tcW w:w="7650" w:type="dxa"/>
          </w:tcPr>
          <w:p w14:paraId="5F8F3946" w14:textId="77777777" w:rsidR="00600C1F" w:rsidRPr="00E508FD" w:rsidRDefault="00600C1F" w:rsidP="00997B5A">
            <w:pPr>
              <w:rPr>
                <w:rFonts w:ascii="Calibri" w:hAnsi="Calibri" w:cs="Calibri"/>
              </w:rPr>
            </w:pPr>
          </w:p>
          <w:p w14:paraId="14951484" w14:textId="77777777" w:rsidR="00600C1F" w:rsidRPr="00550E40" w:rsidRDefault="00600C1F" w:rsidP="00997B5A">
            <w:pPr>
              <w:rPr>
                <w:b/>
              </w:rPr>
            </w:pPr>
            <w:r w:rsidRPr="00550E40">
              <w:rPr>
                <w:b/>
              </w:rPr>
              <w:t>Final exam</w:t>
            </w:r>
          </w:p>
          <w:p w14:paraId="3640B683" w14:textId="77777777" w:rsidR="00600C1F" w:rsidRPr="00E508FD" w:rsidRDefault="00600C1F" w:rsidP="00997B5A">
            <w:pPr>
              <w:rPr>
                <w:rFonts w:ascii="Calibri" w:hAnsi="Calibri" w:cs="Calibri"/>
              </w:rPr>
            </w:pPr>
          </w:p>
        </w:tc>
      </w:tr>
    </w:tbl>
    <w:p w14:paraId="7255D740" w14:textId="77777777" w:rsidR="006F116D" w:rsidRPr="00E508FD" w:rsidRDefault="006F116D">
      <w:pPr>
        <w:rPr>
          <w:rFonts w:ascii="Calibri" w:hAnsi="Calibri" w:cs="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F116F" w:rsidRPr="00E508FD" w14:paraId="58377C68" w14:textId="77777777" w:rsidTr="00CD6E12">
        <w:tc>
          <w:tcPr>
            <w:tcW w:w="8856" w:type="dxa"/>
            <w:shd w:val="clear" w:color="auto" w:fill="D9D9D9"/>
          </w:tcPr>
          <w:p w14:paraId="622FA0C4" w14:textId="77777777" w:rsidR="00CF116F" w:rsidRPr="00E508FD" w:rsidRDefault="006C1F94" w:rsidP="006C1F94">
            <w:pPr>
              <w:jc w:val="center"/>
              <w:rPr>
                <w:rFonts w:ascii="Calibri" w:hAnsi="Calibri" w:cs="Calibri"/>
                <w:b/>
              </w:rPr>
            </w:pPr>
            <w:r w:rsidRPr="00E508FD">
              <w:rPr>
                <w:rFonts w:ascii="Calibri" w:hAnsi="Calibri" w:cs="Calibri"/>
                <w:b/>
              </w:rPr>
              <w:t>Academic policies and rules of conduct</w:t>
            </w:r>
            <w:r w:rsidR="00CF116F" w:rsidRPr="00E508FD">
              <w:rPr>
                <w:rFonts w:ascii="Calibri" w:hAnsi="Calibri" w:cs="Calibri"/>
                <w:b/>
              </w:rPr>
              <w:t>:</w:t>
            </w:r>
          </w:p>
        </w:tc>
      </w:tr>
      <w:tr w:rsidR="00CF116F" w:rsidRPr="00E508FD" w14:paraId="51189CCA" w14:textId="77777777" w:rsidTr="007E6202">
        <w:trPr>
          <w:trHeight w:val="1088"/>
        </w:trPr>
        <w:tc>
          <w:tcPr>
            <w:tcW w:w="8856" w:type="dxa"/>
          </w:tcPr>
          <w:p w14:paraId="63AC8FA0" w14:textId="77777777" w:rsidR="001D6B79" w:rsidRDefault="008C073F" w:rsidP="000B526E">
            <w:pPr>
              <w:rPr>
                <w:rFonts w:ascii="Calibri" w:hAnsi="Calibri" w:cs="Calibri"/>
                <w:bCs/>
              </w:rPr>
            </w:pPr>
            <w:r w:rsidRPr="00E508FD">
              <w:rPr>
                <w:rFonts w:ascii="Calibri" w:hAnsi="Calibri" w:cs="Calibri"/>
                <w:bCs/>
              </w:rPr>
              <w:t xml:space="preserve"> </w:t>
            </w:r>
          </w:p>
          <w:p w14:paraId="6E0ED1E7" w14:textId="77777777" w:rsidR="000B526E" w:rsidRPr="00472CE5" w:rsidRDefault="000B526E" w:rsidP="000B526E">
            <w:pPr>
              <w:rPr>
                <w:bCs/>
              </w:rPr>
            </w:pPr>
            <w:r w:rsidRPr="00472CE5">
              <w:rPr>
                <w:bCs/>
              </w:rPr>
              <w:t xml:space="preserve">Students during the process of learning, examinations, as well as their presence in the faculty should pay attention to: </w:t>
            </w:r>
          </w:p>
          <w:p w14:paraId="49977085" w14:textId="77777777" w:rsidR="000B526E" w:rsidRPr="00472CE5" w:rsidRDefault="000B526E" w:rsidP="000B526E">
            <w:pPr>
              <w:numPr>
                <w:ilvl w:val="0"/>
                <w:numId w:val="6"/>
              </w:numPr>
              <w:rPr>
                <w:bCs/>
              </w:rPr>
            </w:pPr>
            <w:r w:rsidRPr="00472CE5">
              <w:rPr>
                <w:bCs/>
              </w:rPr>
              <w:t>respect the academic and non-ac</w:t>
            </w:r>
            <w:r w:rsidR="003F50A8" w:rsidRPr="00472CE5">
              <w:rPr>
                <w:bCs/>
              </w:rPr>
              <w:t xml:space="preserve">ademic staff of the university </w:t>
            </w:r>
          </w:p>
          <w:p w14:paraId="51C483D8" w14:textId="77777777" w:rsidR="000B526E" w:rsidRPr="00472CE5" w:rsidRDefault="000B526E" w:rsidP="003822A3">
            <w:pPr>
              <w:numPr>
                <w:ilvl w:val="0"/>
                <w:numId w:val="6"/>
              </w:numPr>
              <w:rPr>
                <w:bCs/>
              </w:rPr>
            </w:pPr>
            <w:r w:rsidRPr="00472CE5">
              <w:rPr>
                <w:bCs/>
              </w:rPr>
              <w:t>n</w:t>
            </w:r>
            <w:r w:rsidR="003F50A8" w:rsidRPr="00472CE5">
              <w:rPr>
                <w:bCs/>
              </w:rPr>
              <w:t>ot hinder the teaching process, and respect all class rules</w:t>
            </w:r>
            <w:r w:rsidRPr="00472CE5">
              <w:rPr>
                <w:bCs/>
              </w:rPr>
              <w:t>;</w:t>
            </w:r>
          </w:p>
          <w:p w14:paraId="7B02D406" w14:textId="77777777" w:rsidR="000B526E" w:rsidRPr="00472CE5" w:rsidRDefault="000B526E" w:rsidP="000B526E">
            <w:pPr>
              <w:numPr>
                <w:ilvl w:val="0"/>
                <w:numId w:val="6"/>
              </w:numPr>
              <w:rPr>
                <w:bCs/>
              </w:rPr>
            </w:pPr>
            <w:r w:rsidRPr="00472CE5">
              <w:rPr>
                <w:bCs/>
              </w:rPr>
              <w:t>not use food, drinks, c</w:t>
            </w:r>
            <w:r w:rsidR="003F50A8" w:rsidRPr="00472CE5">
              <w:rPr>
                <w:bCs/>
              </w:rPr>
              <w:t>hewing-gums in the class room;</w:t>
            </w:r>
          </w:p>
          <w:p w14:paraId="368CF339" w14:textId="77777777" w:rsidR="000B526E" w:rsidRPr="00472CE5" w:rsidRDefault="000B526E" w:rsidP="000B526E">
            <w:pPr>
              <w:numPr>
                <w:ilvl w:val="0"/>
                <w:numId w:val="6"/>
              </w:numPr>
              <w:rPr>
                <w:bCs/>
              </w:rPr>
            </w:pPr>
            <w:r w:rsidRPr="00472CE5">
              <w:rPr>
                <w:bCs/>
              </w:rPr>
              <w:t>not  use the mobile phone in the class room;</w:t>
            </w:r>
          </w:p>
          <w:p w14:paraId="585BB416" w14:textId="77777777" w:rsidR="006F116D" w:rsidRPr="00E508FD" w:rsidRDefault="003F50A8" w:rsidP="003F50A8">
            <w:pPr>
              <w:numPr>
                <w:ilvl w:val="0"/>
                <w:numId w:val="6"/>
              </w:numPr>
              <w:rPr>
                <w:rFonts w:ascii="Calibri" w:hAnsi="Calibri" w:cs="Calibri"/>
                <w:sz w:val="22"/>
                <w:szCs w:val="22"/>
                <w:lang w:val="sq-AL"/>
              </w:rPr>
            </w:pPr>
            <w:r w:rsidRPr="00472CE5">
              <w:rPr>
                <w:bCs/>
              </w:rPr>
              <w:t xml:space="preserve">respect the </w:t>
            </w:r>
            <w:r w:rsidR="000B526E" w:rsidRPr="00472CE5">
              <w:rPr>
                <w:bCs/>
              </w:rPr>
              <w:t xml:space="preserve">exam </w:t>
            </w:r>
            <w:r w:rsidRPr="00472CE5">
              <w:rPr>
                <w:bCs/>
              </w:rPr>
              <w:t xml:space="preserve">rules </w:t>
            </w:r>
            <w:r w:rsidR="000B526E" w:rsidRPr="00472CE5">
              <w:rPr>
                <w:bCs/>
              </w:rPr>
              <w:t>and other tests</w:t>
            </w:r>
          </w:p>
        </w:tc>
      </w:tr>
    </w:tbl>
    <w:p w14:paraId="3843C155" w14:textId="77777777" w:rsidR="00CF116F" w:rsidRPr="00E508FD" w:rsidRDefault="00CF116F">
      <w:pPr>
        <w:rPr>
          <w:rFonts w:ascii="Calibri" w:hAnsi="Calibri" w:cs="Calibri"/>
          <w:b/>
          <w:sz w:val="28"/>
          <w:szCs w:val="28"/>
        </w:rPr>
      </w:pPr>
    </w:p>
    <w:p w14:paraId="1A5CAC74" w14:textId="77777777" w:rsidR="00B815D1" w:rsidRPr="00E508FD" w:rsidRDefault="00B815D1">
      <w:pPr>
        <w:rPr>
          <w:rFonts w:ascii="Calibri" w:hAnsi="Calibri" w:cs="Calibri"/>
          <w:b/>
          <w:sz w:val="28"/>
          <w:szCs w:val="28"/>
        </w:rPr>
      </w:pPr>
    </w:p>
    <w:sectPr w:rsidR="00B815D1" w:rsidRPr="00E508FD">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B5B2" w14:textId="77777777" w:rsidR="001D6272" w:rsidRDefault="001D6272">
      <w:r>
        <w:separator/>
      </w:r>
    </w:p>
  </w:endnote>
  <w:endnote w:type="continuationSeparator" w:id="0">
    <w:p w14:paraId="5ED72B87" w14:textId="77777777" w:rsidR="001D6272" w:rsidRDefault="001D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9795"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1D08BE"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71EC" w14:textId="77777777" w:rsidR="002D3069" w:rsidRDefault="002D3069" w:rsidP="009B3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6809">
      <w:rPr>
        <w:rStyle w:val="PageNumber"/>
        <w:noProof/>
      </w:rPr>
      <w:t>3</w:t>
    </w:r>
    <w:r>
      <w:rPr>
        <w:rStyle w:val="PageNumber"/>
      </w:rPr>
      <w:fldChar w:fldCharType="end"/>
    </w:r>
  </w:p>
  <w:p w14:paraId="5B4337FC"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00F77" w14:textId="77777777" w:rsidR="001D6272" w:rsidRDefault="001D6272">
      <w:r>
        <w:separator/>
      </w:r>
    </w:p>
  </w:footnote>
  <w:footnote w:type="continuationSeparator" w:id="0">
    <w:p w14:paraId="70318713" w14:textId="77777777" w:rsidR="001D6272" w:rsidRDefault="001D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3116"/>
    <w:multiLevelType w:val="hybridMultilevel"/>
    <w:tmpl w:val="84AE7238"/>
    <w:lvl w:ilvl="0" w:tplc="4CACC970">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DAE5FE0"/>
    <w:multiLevelType w:val="hybridMultilevel"/>
    <w:tmpl w:val="F1EC81FE"/>
    <w:lvl w:ilvl="0" w:tplc="9510FC6C">
      <w:start w:val="24"/>
      <w:numFmt w:val="decimal"/>
      <w:lvlText w:val="%1."/>
      <w:lvlJc w:val="left"/>
      <w:pPr>
        <w:ind w:left="54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A8B48ED"/>
    <w:multiLevelType w:val="hybridMultilevel"/>
    <w:tmpl w:val="96CA2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E7E4D"/>
    <w:multiLevelType w:val="hybridMultilevel"/>
    <w:tmpl w:val="1CE04106"/>
    <w:lvl w:ilvl="0" w:tplc="46221A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7E0020"/>
    <w:multiLevelType w:val="hybridMultilevel"/>
    <w:tmpl w:val="87A2D3A2"/>
    <w:lvl w:ilvl="0" w:tplc="A76ECB6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74D6A"/>
    <w:multiLevelType w:val="hybridMultilevel"/>
    <w:tmpl w:val="BC3CF51E"/>
    <w:lvl w:ilvl="0" w:tplc="241A6D18">
      <w:start w:val="14"/>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44F2068"/>
    <w:multiLevelType w:val="hybridMultilevel"/>
    <w:tmpl w:val="F54C08DC"/>
    <w:lvl w:ilvl="0" w:tplc="8AB6F112">
      <w:start w:val="1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CA"/>
    <w:rsid w:val="00004B39"/>
    <w:rsid w:val="00012981"/>
    <w:rsid w:val="0001436F"/>
    <w:rsid w:val="00016B16"/>
    <w:rsid w:val="000302C4"/>
    <w:rsid w:val="00031020"/>
    <w:rsid w:val="00036261"/>
    <w:rsid w:val="00043592"/>
    <w:rsid w:val="00046809"/>
    <w:rsid w:val="00060E9F"/>
    <w:rsid w:val="000632A4"/>
    <w:rsid w:val="00093798"/>
    <w:rsid w:val="00094027"/>
    <w:rsid w:val="000B2452"/>
    <w:rsid w:val="000B372A"/>
    <w:rsid w:val="000B526E"/>
    <w:rsid w:val="000B6BFB"/>
    <w:rsid w:val="000C058E"/>
    <w:rsid w:val="000C25A9"/>
    <w:rsid w:val="000C2BED"/>
    <w:rsid w:val="000C73ED"/>
    <w:rsid w:val="000D1DA1"/>
    <w:rsid w:val="000D7E6A"/>
    <w:rsid w:val="000E0CA1"/>
    <w:rsid w:val="000F136F"/>
    <w:rsid w:val="00102557"/>
    <w:rsid w:val="001058D5"/>
    <w:rsid w:val="00105C2D"/>
    <w:rsid w:val="00110A8E"/>
    <w:rsid w:val="00117B42"/>
    <w:rsid w:val="00126F3D"/>
    <w:rsid w:val="00132604"/>
    <w:rsid w:val="00146683"/>
    <w:rsid w:val="001502EA"/>
    <w:rsid w:val="0015273E"/>
    <w:rsid w:val="00161C5C"/>
    <w:rsid w:val="00163A54"/>
    <w:rsid w:val="00170905"/>
    <w:rsid w:val="0017421E"/>
    <w:rsid w:val="00175DD8"/>
    <w:rsid w:val="00176AFD"/>
    <w:rsid w:val="00176C6F"/>
    <w:rsid w:val="00183923"/>
    <w:rsid w:val="001853BC"/>
    <w:rsid w:val="0018620B"/>
    <w:rsid w:val="001A240D"/>
    <w:rsid w:val="001B3E82"/>
    <w:rsid w:val="001B69FE"/>
    <w:rsid w:val="001D6272"/>
    <w:rsid w:val="001D6B79"/>
    <w:rsid w:val="001F2218"/>
    <w:rsid w:val="001F7394"/>
    <w:rsid w:val="001F73A3"/>
    <w:rsid w:val="002017F6"/>
    <w:rsid w:val="002022C9"/>
    <w:rsid w:val="00203A7D"/>
    <w:rsid w:val="00213196"/>
    <w:rsid w:val="0021580C"/>
    <w:rsid w:val="002177ED"/>
    <w:rsid w:val="0024065E"/>
    <w:rsid w:val="002414F7"/>
    <w:rsid w:val="002466FE"/>
    <w:rsid w:val="00255B22"/>
    <w:rsid w:val="002610A3"/>
    <w:rsid w:val="002616BC"/>
    <w:rsid w:val="0026367C"/>
    <w:rsid w:val="0027465E"/>
    <w:rsid w:val="00276F6A"/>
    <w:rsid w:val="002833E9"/>
    <w:rsid w:val="002917B6"/>
    <w:rsid w:val="00293AFE"/>
    <w:rsid w:val="0029455C"/>
    <w:rsid w:val="002B26D5"/>
    <w:rsid w:val="002C00FA"/>
    <w:rsid w:val="002D15B5"/>
    <w:rsid w:val="002D3069"/>
    <w:rsid w:val="002D4F7D"/>
    <w:rsid w:val="002F36DB"/>
    <w:rsid w:val="0030354C"/>
    <w:rsid w:val="00303C5B"/>
    <w:rsid w:val="00303CDB"/>
    <w:rsid w:val="003125FD"/>
    <w:rsid w:val="003315E2"/>
    <w:rsid w:val="003339C1"/>
    <w:rsid w:val="003402E1"/>
    <w:rsid w:val="0035058C"/>
    <w:rsid w:val="0036701C"/>
    <w:rsid w:val="003726E4"/>
    <w:rsid w:val="00381B41"/>
    <w:rsid w:val="003822A3"/>
    <w:rsid w:val="0039606A"/>
    <w:rsid w:val="003A45B6"/>
    <w:rsid w:val="003A6FEB"/>
    <w:rsid w:val="003B625C"/>
    <w:rsid w:val="003B75E2"/>
    <w:rsid w:val="003C3817"/>
    <w:rsid w:val="003D0854"/>
    <w:rsid w:val="003D1045"/>
    <w:rsid w:val="003E17A2"/>
    <w:rsid w:val="003E3193"/>
    <w:rsid w:val="003E4EB9"/>
    <w:rsid w:val="003F5007"/>
    <w:rsid w:val="003F50A8"/>
    <w:rsid w:val="003F6ED6"/>
    <w:rsid w:val="00404F13"/>
    <w:rsid w:val="00420FA7"/>
    <w:rsid w:val="00426B54"/>
    <w:rsid w:val="00433A02"/>
    <w:rsid w:val="00435ED5"/>
    <w:rsid w:val="00441DAD"/>
    <w:rsid w:val="00443E01"/>
    <w:rsid w:val="00445AC1"/>
    <w:rsid w:val="00446EC9"/>
    <w:rsid w:val="00456D49"/>
    <w:rsid w:val="00472CE5"/>
    <w:rsid w:val="0048247C"/>
    <w:rsid w:val="00497227"/>
    <w:rsid w:val="004A2584"/>
    <w:rsid w:val="004B75A7"/>
    <w:rsid w:val="004C0CCA"/>
    <w:rsid w:val="004D0B2E"/>
    <w:rsid w:val="004F6D8A"/>
    <w:rsid w:val="0050243E"/>
    <w:rsid w:val="00502E19"/>
    <w:rsid w:val="00514BE5"/>
    <w:rsid w:val="0052023E"/>
    <w:rsid w:val="0052069E"/>
    <w:rsid w:val="00523AC1"/>
    <w:rsid w:val="005310FA"/>
    <w:rsid w:val="00544EC1"/>
    <w:rsid w:val="00550E40"/>
    <w:rsid w:val="005671AC"/>
    <w:rsid w:val="0057386A"/>
    <w:rsid w:val="00575B34"/>
    <w:rsid w:val="00592AD4"/>
    <w:rsid w:val="005A1942"/>
    <w:rsid w:val="005B37C6"/>
    <w:rsid w:val="005B4D8A"/>
    <w:rsid w:val="005F3FB3"/>
    <w:rsid w:val="005F7803"/>
    <w:rsid w:val="00600C1F"/>
    <w:rsid w:val="00603DD2"/>
    <w:rsid w:val="00611468"/>
    <w:rsid w:val="00623215"/>
    <w:rsid w:val="00630614"/>
    <w:rsid w:val="00630E8E"/>
    <w:rsid w:val="00662402"/>
    <w:rsid w:val="0067007B"/>
    <w:rsid w:val="006746D8"/>
    <w:rsid w:val="0067489E"/>
    <w:rsid w:val="006B5B26"/>
    <w:rsid w:val="006C1F94"/>
    <w:rsid w:val="006C5810"/>
    <w:rsid w:val="006D0329"/>
    <w:rsid w:val="006D7FB4"/>
    <w:rsid w:val="006F116D"/>
    <w:rsid w:val="006F54C4"/>
    <w:rsid w:val="007038CC"/>
    <w:rsid w:val="007234C4"/>
    <w:rsid w:val="00746D8D"/>
    <w:rsid w:val="0075254B"/>
    <w:rsid w:val="007535B0"/>
    <w:rsid w:val="00761BB1"/>
    <w:rsid w:val="00762EA9"/>
    <w:rsid w:val="00767A42"/>
    <w:rsid w:val="00767D5A"/>
    <w:rsid w:val="00770249"/>
    <w:rsid w:val="00776CDF"/>
    <w:rsid w:val="00777D28"/>
    <w:rsid w:val="00780530"/>
    <w:rsid w:val="00781805"/>
    <w:rsid w:val="00791D18"/>
    <w:rsid w:val="00795CC7"/>
    <w:rsid w:val="007B1510"/>
    <w:rsid w:val="007B68A2"/>
    <w:rsid w:val="007C3132"/>
    <w:rsid w:val="007D4090"/>
    <w:rsid w:val="007E0F95"/>
    <w:rsid w:val="007E1DBE"/>
    <w:rsid w:val="007E2506"/>
    <w:rsid w:val="007E6202"/>
    <w:rsid w:val="007E6641"/>
    <w:rsid w:val="007F3E23"/>
    <w:rsid w:val="007F46C5"/>
    <w:rsid w:val="007F7D5B"/>
    <w:rsid w:val="00801EBC"/>
    <w:rsid w:val="00803EF5"/>
    <w:rsid w:val="00812934"/>
    <w:rsid w:val="00813547"/>
    <w:rsid w:val="00824EB6"/>
    <w:rsid w:val="0085333A"/>
    <w:rsid w:val="00875705"/>
    <w:rsid w:val="00882E6A"/>
    <w:rsid w:val="008855CA"/>
    <w:rsid w:val="00892455"/>
    <w:rsid w:val="008A439B"/>
    <w:rsid w:val="008A716D"/>
    <w:rsid w:val="008C073F"/>
    <w:rsid w:val="008C285B"/>
    <w:rsid w:val="008C4132"/>
    <w:rsid w:val="008C79B0"/>
    <w:rsid w:val="008D0608"/>
    <w:rsid w:val="008D7D94"/>
    <w:rsid w:val="008F1C40"/>
    <w:rsid w:val="00902955"/>
    <w:rsid w:val="00903474"/>
    <w:rsid w:val="00917BE8"/>
    <w:rsid w:val="00920AF8"/>
    <w:rsid w:val="00924A4D"/>
    <w:rsid w:val="0093147C"/>
    <w:rsid w:val="00937BB0"/>
    <w:rsid w:val="009530B5"/>
    <w:rsid w:val="00956834"/>
    <w:rsid w:val="0096093A"/>
    <w:rsid w:val="009837F0"/>
    <w:rsid w:val="0098591E"/>
    <w:rsid w:val="00990CE3"/>
    <w:rsid w:val="00993737"/>
    <w:rsid w:val="009946B5"/>
    <w:rsid w:val="00997B5A"/>
    <w:rsid w:val="009A30DD"/>
    <w:rsid w:val="009A3E64"/>
    <w:rsid w:val="009A40C4"/>
    <w:rsid w:val="009A56AC"/>
    <w:rsid w:val="009A630B"/>
    <w:rsid w:val="009A6EC1"/>
    <w:rsid w:val="009B098D"/>
    <w:rsid w:val="009B3525"/>
    <w:rsid w:val="009B3F0A"/>
    <w:rsid w:val="009C01CD"/>
    <w:rsid w:val="009D17B1"/>
    <w:rsid w:val="009D2401"/>
    <w:rsid w:val="009E243C"/>
    <w:rsid w:val="009E2AF8"/>
    <w:rsid w:val="009E6BEC"/>
    <w:rsid w:val="009E6C84"/>
    <w:rsid w:val="009E7AF7"/>
    <w:rsid w:val="00A04B45"/>
    <w:rsid w:val="00A15271"/>
    <w:rsid w:val="00A160E4"/>
    <w:rsid w:val="00A30E6E"/>
    <w:rsid w:val="00A375E7"/>
    <w:rsid w:val="00A40ABC"/>
    <w:rsid w:val="00A5078F"/>
    <w:rsid w:val="00A53251"/>
    <w:rsid w:val="00A545BA"/>
    <w:rsid w:val="00A55821"/>
    <w:rsid w:val="00A64E0E"/>
    <w:rsid w:val="00A662A0"/>
    <w:rsid w:val="00A706B8"/>
    <w:rsid w:val="00A76A19"/>
    <w:rsid w:val="00A85DB8"/>
    <w:rsid w:val="00AA2C57"/>
    <w:rsid w:val="00AA3C2B"/>
    <w:rsid w:val="00AA4A36"/>
    <w:rsid w:val="00AC08ED"/>
    <w:rsid w:val="00AC1B54"/>
    <w:rsid w:val="00AC7019"/>
    <w:rsid w:val="00AD28ED"/>
    <w:rsid w:val="00AD6D64"/>
    <w:rsid w:val="00AE294C"/>
    <w:rsid w:val="00AF499C"/>
    <w:rsid w:val="00B0140E"/>
    <w:rsid w:val="00B237D7"/>
    <w:rsid w:val="00B34FC4"/>
    <w:rsid w:val="00B35215"/>
    <w:rsid w:val="00B36093"/>
    <w:rsid w:val="00B41A83"/>
    <w:rsid w:val="00B815D1"/>
    <w:rsid w:val="00B81D5B"/>
    <w:rsid w:val="00BA6E9C"/>
    <w:rsid w:val="00BB07E9"/>
    <w:rsid w:val="00BB1A1A"/>
    <w:rsid w:val="00BB782D"/>
    <w:rsid w:val="00BD1122"/>
    <w:rsid w:val="00BE3435"/>
    <w:rsid w:val="00BE73AD"/>
    <w:rsid w:val="00BF2B1D"/>
    <w:rsid w:val="00C16377"/>
    <w:rsid w:val="00C26DF9"/>
    <w:rsid w:val="00C44051"/>
    <w:rsid w:val="00C6155B"/>
    <w:rsid w:val="00C730AC"/>
    <w:rsid w:val="00C819AA"/>
    <w:rsid w:val="00C82B44"/>
    <w:rsid w:val="00C86F77"/>
    <w:rsid w:val="00C96787"/>
    <w:rsid w:val="00CA35AA"/>
    <w:rsid w:val="00CA43A6"/>
    <w:rsid w:val="00CB1B61"/>
    <w:rsid w:val="00CB37C5"/>
    <w:rsid w:val="00CC57BF"/>
    <w:rsid w:val="00CD02F2"/>
    <w:rsid w:val="00CD1251"/>
    <w:rsid w:val="00CD1754"/>
    <w:rsid w:val="00CD6436"/>
    <w:rsid w:val="00CD6E12"/>
    <w:rsid w:val="00CE05A0"/>
    <w:rsid w:val="00CE376A"/>
    <w:rsid w:val="00CF116F"/>
    <w:rsid w:val="00CF3FDE"/>
    <w:rsid w:val="00CF7515"/>
    <w:rsid w:val="00D00476"/>
    <w:rsid w:val="00D01797"/>
    <w:rsid w:val="00D10BC6"/>
    <w:rsid w:val="00D2375F"/>
    <w:rsid w:val="00D26D74"/>
    <w:rsid w:val="00D35581"/>
    <w:rsid w:val="00D609EC"/>
    <w:rsid w:val="00D637D2"/>
    <w:rsid w:val="00D67209"/>
    <w:rsid w:val="00D67AF8"/>
    <w:rsid w:val="00D763B6"/>
    <w:rsid w:val="00D81233"/>
    <w:rsid w:val="00D8704D"/>
    <w:rsid w:val="00D92889"/>
    <w:rsid w:val="00DA2B3D"/>
    <w:rsid w:val="00DA4472"/>
    <w:rsid w:val="00DA488B"/>
    <w:rsid w:val="00DB2823"/>
    <w:rsid w:val="00DC6888"/>
    <w:rsid w:val="00DC700E"/>
    <w:rsid w:val="00DE716D"/>
    <w:rsid w:val="00DF0101"/>
    <w:rsid w:val="00DF6543"/>
    <w:rsid w:val="00E24421"/>
    <w:rsid w:val="00E30A3A"/>
    <w:rsid w:val="00E439A4"/>
    <w:rsid w:val="00E508FD"/>
    <w:rsid w:val="00E64FDE"/>
    <w:rsid w:val="00E709D9"/>
    <w:rsid w:val="00E81DE7"/>
    <w:rsid w:val="00E8202B"/>
    <w:rsid w:val="00E82F09"/>
    <w:rsid w:val="00E83194"/>
    <w:rsid w:val="00E83F3E"/>
    <w:rsid w:val="00E867B1"/>
    <w:rsid w:val="00EA1E2C"/>
    <w:rsid w:val="00EA3D87"/>
    <w:rsid w:val="00EA51F6"/>
    <w:rsid w:val="00EB758F"/>
    <w:rsid w:val="00EB7821"/>
    <w:rsid w:val="00ED2672"/>
    <w:rsid w:val="00ED67EF"/>
    <w:rsid w:val="00EE2DF0"/>
    <w:rsid w:val="00EF57F9"/>
    <w:rsid w:val="00F04222"/>
    <w:rsid w:val="00F25001"/>
    <w:rsid w:val="00F34158"/>
    <w:rsid w:val="00F47480"/>
    <w:rsid w:val="00F5660C"/>
    <w:rsid w:val="00F8074A"/>
    <w:rsid w:val="00FA5A3C"/>
    <w:rsid w:val="00FA73F4"/>
    <w:rsid w:val="00FB050B"/>
    <w:rsid w:val="00FB41EB"/>
    <w:rsid w:val="00FC0292"/>
    <w:rsid w:val="00FC681F"/>
    <w:rsid w:val="00FD548F"/>
    <w:rsid w:val="00FE1391"/>
    <w:rsid w:val="00FE43C2"/>
    <w:rsid w:val="00FE50E7"/>
    <w:rsid w:val="00FE60AD"/>
    <w:rsid w:val="00FF5337"/>
    <w:rsid w:val="00FF7590"/>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919B7"/>
  <w15:docId w15:val="{6CB481E3-915C-4E1E-88CD-36BA94A5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A194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B237D7"/>
    <w:pPr>
      <w:keepNext/>
      <w:jc w:val="center"/>
      <w:outlineLvl w:val="1"/>
    </w:pPr>
    <w:rPr>
      <w:b/>
      <w:bCs/>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CF116F"/>
    <w:rPr>
      <w:sz w:val="24"/>
      <w:szCs w:val="24"/>
    </w:rPr>
  </w:style>
  <w:style w:type="character" w:styleId="Hyperlink">
    <w:name w:val="Hyperlink"/>
    <w:rsid w:val="00E709D9"/>
    <w:rPr>
      <w:color w:val="0000FF"/>
      <w:u w:val="single"/>
    </w:rPr>
  </w:style>
  <w:style w:type="character" w:customStyle="1" w:styleId="Heading2Char">
    <w:name w:val="Heading 2 Char"/>
    <w:link w:val="Heading2"/>
    <w:rsid w:val="00B237D7"/>
    <w:rPr>
      <w:b/>
      <w:bCs/>
      <w:sz w:val="24"/>
      <w:szCs w:val="24"/>
      <w:lang w:val="sq-AL"/>
    </w:rPr>
  </w:style>
  <w:style w:type="paragraph" w:styleId="FootnoteText">
    <w:name w:val="footnote text"/>
    <w:basedOn w:val="Normal"/>
    <w:link w:val="FootnoteTextChar"/>
    <w:uiPriority w:val="99"/>
    <w:unhideWhenUsed/>
    <w:rsid w:val="00B237D7"/>
    <w:rPr>
      <w:sz w:val="20"/>
      <w:szCs w:val="20"/>
    </w:rPr>
  </w:style>
  <w:style w:type="character" w:customStyle="1" w:styleId="FootnoteTextChar">
    <w:name w:val="Footnote Text Char"/>
    <w:link w:val="FootnoteText"/>
    <w:uiPriority w:val="99"/>
    <w:rsid w:val="00B237D7"/>
  </w:style>
  <w:style w:type="paragraph" w:styleId="ListParagraph">
    <w:name w:val="List Paragraph"/>
    <w:basedOn w:val="Normal"/>
    <w:uiPriority w:val="34"/>
    <w:qFormat/>
    <w:rsid w:val="00B237D7"/>
    <w:pPr>
      <w:ind w:left="720"/>
    </w:pPr>
    <w:rPr>
      <w:lang w:val="sq-AL"/>
    </w:rPr>
  </w:style>
  <w:style w:type="paragraph" w:styleId="BodyTextIndent2">
    <w:name w:val="Body Text Indent 2"/>
    <w:basedOn w:val="Normal"/>
    <w:link w:val="BodyTextIndent2Char"/>
    <w:rsid w:val="00FC0292"/>
    <w:pPr>
      <w:spacing w:line="300" w:lineRule="exact"/>
      <w:ind w:left="1260" w:hanging="1260"/>
    </w:pPr>
  </w:style>
  <w:style w:type="character" w:customStyle="1" w:styleId="BodyTextIndent2Char">
    <w:name w:val="Body Text Indent 2 Char"/>
    <w:link w:val="BodyTextIndent2"/>
    <w:rsid w:val="00FC0292"/>
    <w:rPr>
      <w:sz w:val="24"/>
      <w:szCs w:val="24"/>
    </w:rPr>
  </w:style>
  <w:style w:type="paragraph" w:styleId="BodyTextIndent">
    <w:name w:val="Body Text Indent"/>
    <w:basedOn w:val="Normal"/>
    <w:link w:val="BodyTextIndentChar"/>
    <w:rsid w:val="00497227"/>
    <w:pPr>
      <w:spacing w:after="120"/>
      <w:ind w:left="360"/>
    </w:pPr>
  </w:style>
  <w:style w:type="character" w:customStyle="1" w:styleId="BodyTextIndentChar">
    <w:name w:val="Body Text Indent Char"/>
    <w:link w:val="BodyTextIndent"/>
    <w:rsid w:val="00497227"/>
    <w:rPr>
      <w:sz w:val="24"/>
      <w:szCs w:val="24"/>
    </w:rPr>
  </w:style>
  <w:style w:type="character" w:customStyle="1" w:styleId="shorttext">
    <w:name w:val="short_text"/>
    <w:rsid w:val="00770249"/>
  </w:style>
  <w:style w:type="character" w:customStyle="1" w:styleId="alt-edited">
    <w:name w:val="alt-edited"/>
    <w:rsid w:val="00AF499C"/>
  </w:style>
  <w:style w:type="paragraph" w:styleId="NormalWeb">
    <w:name w:val="Normal (Web)"/>
    <w:basedOn w:val="Normal"/>
    <w:uiPriority w:val="99"/>
    <w:unhideWhenUsed/>
    <w:rsid w:val="003315E2"/>
    <w:pPr>
      <w:spacing w:before="100" w:beforeAutospacing="1" w:after="100" w:afterAutospacing="1"/>
    </w:pPr>
  </w:style>
  <w:style w:type="character" w:styleId="Strong">
    <w:name w:val="Strong"/>
    <w:uiPriority w:val="22"/>
    <w:qFormat/>
    <w:rsid w:val="00550E40"/>
    <w:rPr>
      <w:b/>
      <w:bCs/>
    </w:rPr>
  </w:style>
  <w:style w:type="character" w:customStyle="1" w:styleId="Heading1Char">
    <w:name w:val="Heading 1 Char"/>
    <w:link w:val="Heading1"/>
    <w:rsid w:val="005A1942"/>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135988">
      <w:bodyDiv w:val="1"/>
      <w:marLeft w:val="0"/>
      <w:marRight w:val="0"/>
      <w:marTop w:val="0"/>
      <w:marBottom w:val="0"/>
      <w:divBdr>
        <w:top w:val="none" w:sz="0" w:space="0" w:color="auto"/>
        <w:left w:val="none" w:sz="0" w:space="0" w:color="auto"/>
        <w:bottom w:val="none" w:sz="0" w:space="0" w:color="auto"/>
        <w:right w:val="none" w:sz="0" w:space="0" w:color="auto"/>
      </w:divBdr>
    </w:div>
    <w:div w:id="1644307679">
      <w:bodyDiv w:val="1"/>
      <w:marLeft w:val="0"/>
      <w:marRight w:val="0"/>
      <w:marTop w:val="0"/>
      <w:marBottom w:val="0"/>
      <w:divBdr>
        <w:top w:val="none" w:sz="0" w:space="0" w:color="auto"/>
        <w:left w:val="none" w:sz="0" w:space="0" w:color="auto"/>
        <w:bottom w:val="none" w:sz="0" w:space="0" w:color="auto"/>
        <w:right w:val="none" w:sz="0" w:space="0" w:color="auto"/>
      </w:divBdr>
      <w:divsChild>
        <w:div w:id="1101298375">
          <w:marLeft w:val="0"/>
          <w:marRight w:val="0"/>
          <w:marTop w:val="90"/>
          <w:marBottom w:val="0"/>
          <w:divBdr>
            <w:top w:val="none" w:sz="0" w:space="0" w:color="auto"/>
            <w:left w:val="none" w:sz="0" w:space="0" w:color="auto"/>
            <w:bottom w:val="none" w:sz="0" w:space="0" w:color="auto"/>
            <w:right w:val="none" w:sz="0" w:space="0" w:color="auto"/>
          </w:divBdr>
        </w:div>
        <w:div w:id="2030830507">
          <w:marLeft w:val="0"/>
          <w:marRight w:val="0"/>
          <w:marTop w:val="0"/>
          <w:marBottom w:val="330"/>
          <w:divBdr>
            <w:top w:val="none" w:sz="0" w:space="0" w:color="auto"/>
            <w:left w:val="none" w:sz="0" w:space="0" w:color="auto"/>
            <w:bottom w:val="none" w:sz="0" w:space="0" w:color="auto"/>
            <w:right w:val="none" w:sz="0" w:space="0" w:color="auto"/>
          </w:divBdr>
        </w:div>
      </w:divsChild>
    </w:div>
    <w:div w:id="1918906337">
      <w:bodyDiv w:val="1"/>
      <w:marLeft w:val="0"/>
      <w:marRight w:val="0"/>
      <w:marTop w:val="0"/>
      <w:marBottom w:val="0"/>
      <w:divBdr>
        <w:top w:val="none" w:sz="0" w:space="0" w:color="auto"/>
        <w:left w:val="none" w:sz="0" w:space="0" w:color="auto"/>
        <w:bottom w:val="none" w:sz="0" w:space="0" w:color="auto"/>
        <w:right w:val="none" w:sz="0" w:space="0" w:color="auto"/>
      </w:divBdr>
    </w:div>
    <w:div w:id="208576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mzije.istrefi@uni-pr.edu" TargetMode="External"/><Relationship Id="rId13" Type="http://schemas.openxmlformats.org/officeDocument/2006/relationships/hyperlink" Target="https://eeas.europa.eu/delegations/kosovo_en/1387/Kosovo*%20and%20the%20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ryeministri-ks.net/repository/docs/National_Strategy_for_European_Integration_Kosovo_2020_ENG.PDF" TargetMode="External"/><Relationship Id="rId17" Type="http://schemas.openxmlformats.org/officeDocument/2006/relationships/hyperlink" Target="http://www.mei-ks.net/en/home" TargetMode="External"/><Relationship Id="rId2" Type="http://schemas.openxmlformats.org/officeDocument/2006/relationships/numbering" Target="numbering.xml"/><Relationship Id="rId16" Type="http://schemas.openxmlformats.org/officeDocument/2006/relationships/hyperlink" Target="https://gzk.rks-gov.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eas.europa.eu/topics/eu-global-strategy_en" TargetMode="External"/><Relationship Id="rId5" Type="http://schemas.openxmlformats.org/officeDocument/2006/relationships/webSettings" Target="webSettings.xml"/><Relationship Id="rId15" Type="http://schemas.openxmlformats.org/officeDocument/2006/relationships/hyperlink" Target="https://www.rks-gov.net/EN/f43/republic-of-kosovo/government" TargetMode="External"/><Relationship Id="rId10" Type="http://schemas.openxmlformats.org/officeDocument/2006/relationships/hyperlink" Target="https://eur-lex.europa.eu/resource.html?uri=cellar:2bf140bf-a3f8-4ab2-b506-fd71826e6da6.0023.02/DOC_1&amp;format=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uropa.eu/" TargetMode="External"/><Relationship Id="rId14" Type="http://schemas.openxmlformats.org/officeDocument/2006/relationships/hyperlink" Target="https://ec.europa.eu/neighbourhood-enlargement/countries/detailed-country-information/kosovo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CA940-6490-47C3-AE2C-91CD826D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8919</CharactersWithSpaces>
  <SharedDoc>false</SharedDoc>
  <HLinks>
    <vt:vector size="72" baseType="variant">
      <vt:variant>
        <vt:i4>4915284</vt:i4>
      </vt:variant>
      <vt:variant>
        <vt:i4>33</vt:i4>
      </vt:variant>
      <vt:variant>
        <vt:i4>0</vt:i4>
      </vt:variant>
      <vt:variant>
        <vt:i4>5</vt:i4>
      </vt:variant>
      <vt:variant>
        <vt:lpwstr>http://www.mei-ks.net/en/home</vt:lpwstr>
      </vt:variant>
      <vt:variant>
        <vt:lpwstr/>
      </vt:variant>
      <vt:variant>
        <vt:i4>524358</vt:i4>
      </vt:variant>
      <vt:variant>
        <vt:i4>30</vt:i4>
      </vt:variant>
      <vt:variant>
        <vt:i4>0</vt:i4>
      </vt:variant>
      <vt:variant>
        <vt:i4>5</vt:i4>
      </vt:variant>
      <vt:variant>
        <vt:lpwstr>https://gzk.rks-gov.net/</vt:lpwstr>
      </vt:variant>
      <vt:variant>
        <vt:lpwstr/>
      </vt:variant>
      <vt:variant>
        <vt:i4>4718665</vt:i4>
      </vt:variant>
      <vt:variant>
        <vt:i4>27</vt:i4>
      </vt:variant>
      <vt:variant>
        <vt:i4>0</vt:i4>
      </vt:variant>
      <vt:variant>
        <vt:i4>5</vt:i4>
      </vt:variant>
      <vt:variant>
        <vt:lpwstr>https://www.rks-gov.net/EN/f43/republic-of-kosovo/government</vt:lpwstr>
      </vt:variant>
      <vt:variant>
        <vt:lpwstr/>
      </vt:variant>
      <vt:variant>
        <vt:i4>8192069</vt:i4>
      </vt:variant>
      <vt:variant>
        <vt:i4>24</vt:i4>
      </vt:variant>
      <vt:variant>
        <vt:i4>0</vt:i4>
      </vt:variant>
      <vt:variant>
        <vt:i4>5</vt:i4>
      </vt:variant>
      <vt:variant>
        <vt:lpwstr>https://ec.europa.eu/neighbourhood-enlargement/countries/detailed-country-information/kosovo_en</vt:lpwstr>
      </vt:variant>
      <vt:variant>
        <vt:lpwstr/>
      </vt:variant>
      <vt:variant>
        <vt:i4>7929862</vt:i4>
      </vt:variant>
      <vt:variant>
        <vt:i4>21</vt:i4>
      </vt:variant>
      <vt:variant>
        <vt:i4>0</vt:i4>
      </vt:variant>
      <vt:variant>
        <vt:i4>5</vt:i4>
      </vt:variant>
      <vt:variant>
        <vt:lpwstr>https://eeas.europa.eu/delegations/kosovo_en/1387/Kosovo* and the EU</vt:lpwstr>
      </vt:variant>
      <vt:variant>
        <vt:lpwstr/>
      </vt:variant>
      <vt:variant>
        <vt:i4>1507351</vt:i4>
      </vt:variant>
      <vt:variant>
        <vt:i4>18</vt:i4>
      </vt:variant>
      <vt:variant>
        <vt:i4>0</vt:i4>
      </vt:variant>
      <vt:variant>
        <vt:i4>5</vt:i4>
      </vt:variant>
      <vt:variant>
        <vt:lpwstr>http://europa.eu/</vt:lpwstr>
      </vt:variant>
      <vt:variant>
        <vt:lpwstr/>
      </vt:variant>
      <vt:variant>
        <vt:i4>1900593</vt:i4>
      </vt:variant>
      <vt:variant>
        <vt:i4>15</vt:i4>
      </vt:variant>
      <vt:variant>
        <vt:i4>0</vt:i4>
      </vt:variant>
      <vt:variant>
        <vt:i4>5</vt:i4>
      </vt:variant>
      <vt:variant>
        <vt:lpwstr>http://www.kryeministri-ks.net/repository/docs/National_Strategy_for_European_Integration_Kosovo_2020_ENG.PDF</vt:lpwstr>
      </vt:variant>
      <vt:variant>
        <vt:lpwstr/>
      </vt:variant>
      <vt:variant>
        <vt:i4>3014729</vt:i4>
      </vt:variant>
      <vt:variant>
        <vt:i4>12</vt:i4>
      </vt:variant>
      <vt:variant>
        <vt:i4>0</vt:i4>
      </vt:variant>
      <vt:variant>
        <vt:i4>5</vt:i4>
      </vt:variant>
      <vt:variant>
        <vt:lpwstr>https://eeas.europa.eu/topics/eu-global-strategy_en</vt:lpwstr>
      </vt:variant>
      <vt:variant>
        <vt:lpwstr/>
      </vt:variant>
      <vt:variant>
        <vt:i4>3145793</vt:i4>
      </vt:variant>
      <vt:variant>
        <vt:i4>9</vt:i4>
      </vt:variant>
      <vt:variant>
        <vt:i4>0</vt:i4>
      </vt:variant>
      <vt:variant>
        <vt:i4>5</vt:i4>
      </vt:variant>
      <vt:variant>
        <vt:lpwstr>https://eur-lex.europa.eu/resource.html?uri=cellar:2bf140bf-a3f8-4ab2-b506-fd71826e6da6.0023.02/DOC_1&amp;format=PDF</vt:lpwstr>
      </vt:variant>
      <vt:variant>
        <vt:lpwstr/>
      </vt:variant>
      <vt:variant>
        <vt:i4>7340089</vt:i4>
      </vt:variant>
      <vt:variant>
        <vt:i4>6</vt:i4>
      </vt:variant>
      <vt:variant>
        <vt:i4>0</vt:i4>
      </vt:variant>
      <vt:variant>
        <vt:i4>5</vt:i4>
      </vt:variant>
      <vt:variant>
        <vt:lpwstr>https://www.amazon.com/Jean-Claude-Piris/e/B003B05HUO/ref=dp_byline_cont_book_1</vt:lpwstr>
      </vt:variant>
      <vt:variant>
        <vt:lpwstr/>
      </vt:variant>
      <vt:variant>
        <vt:i4>2883605</vt:i4>
      </vt:variant>
      <vt:variant>
        <vt:i4>3</vt:i4>
      </vt:variant>
      <vt:variant>
        <vt:i4>0</vt:i4>
      </vt:variant>
      <vt:variant>
        <vt:i4>5</vt:i4>
      </vt:variant>
      <vt:variant>
        <vt:lpwstr>mailto:flamur.mrasori@uni-pr.edu</vt:lpwstr>
      </vt:variant>
      <vt:variant>
        <vt:lpwstr/>
      </vt:variant>
      <vt:variant>
        <vt:i4>4587618</vt:i4>
      </vt:variant>
      <vt:variant>
        <vt:i4>0</vt:i4>
      </vt:variant>
      <vt:variant>
        <vt:i4>0</vt:i4>
      </vt:variant>
      <vt:variant>
        <vt:i4>5</vt:i4>
      </vt:variant>
      <vt:variant>
        <vt:lpwstr>mailto:remzije.istrefi@uni-pr.edu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PC-RI</cp:lastModifiedBy>
  <cp:revision>3</cp:revision>
  <cp:lastPrinted>2011-03-07T08:39:00Z</cp:lastPrinted>
  <dcterms:created xsi:type="dcterms:W3CDTF">2021-11-01T07:15:00Z</dcterms:created>
  <dcterms:modified xsi:type="dcterms:W3CDTF">2021-11-01T07:15:00Z</dcterms:modified>
</cp:coreProperties>
</file>