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2224" w14:textId="77777777" w:rsidR="0062712C" w:rsidRPr="00060801" w:rsidRDefault="0062712C" w:rsidP="0062712C">
      <w:pPr>
        <w:rPr>
          <w:rStyle w:val="BookTitle"/>
          <w:rFonts w:ascii="Times New Roman" w:hAnsi="Times New Roman" w:cs="Times New Roman"/>
          <w:sz w:val="28"/>
          <w:szCs w:val="28"/>
        </w:rPr>
      </w:pPr>
      <w:proofErr w:type="spellStart"/>
      <w:r w:rsidRPr="00060801">
        <w:rPr>
          <w:rStyle w:val="BookTitle"/>
          <w:rFonts w:ascii="Times New Roman" w:hAnsi="Times New Roman" w:cs="Times New Roman"/>
          <w:sz w:val="28"/>
          <w:szCs w:val="28"/>
        </w:rPr>
        <w:t>Dega</w:t>
      </w:r>
      <w:proofErr w:type="spellEnd"/>
      <w:r w:rsidRPr="00060801">
        <w:rPr>
          <w:rStyle w:val="BookTitle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06849" w:rsidRPr="00060801">
        <w:rPr>
          <w:rStyle w:val="BookTitle"/>
          <w:rFonts w:ascii="Times New Roman" w:hAnsi="Times New Roman" w:cs="Times New Roman"/>
          <w:sz w:val="28"/>
          <w:szCs w:val="28"/>
        </w:rPr>
        <w:t>Gazetari</w:t>
      </w:r>
      <w:proofErr w:type="spellEnd"/>
    </w:p>
    <w:p w14:paraId="7BEC8BF4" w14:textId="55CB0F5F" w:rsidR="0062712C" w:rsidRPr="00060801" w:rsidRDefault="0062712C" w:rsidP="0062712C">
      <w:pPr>
        <w:rPr>
          <w:rStyle w:val="BookTitle"/>
          <w:rFonts w:ascii="Times New Roman" w:hAnsi="Times New Roman" w:cs="Times New Roman"/>
          <w:sz w:val="28"/>
          <w:szCs w:val="28"/>
        </w:rPr>
      </w:pPr>
      <w:proofErr w:type="spellStart"/>
      <w:r w:rsidRPr="00060801">
        <w:rPr>
          <w:rStyle w:val="BookTitle"/>
          <w:rFonts w:ascii="Times New Roman" w:hAnsi="Times New Roman" w:cs="Times New Roman"/>
          <w:sz w:val="28"/>
          <w:szCs w:val="28"/>
        </w:rPr>
        <w:t>Programi</w:t>
      </w:r>
      <w:proofErr w:type="spellEnd"/>
      <w:r w:rsidRPr="00060801">
        <w:rPr>
          <w:rStyle w:val="BookTitl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801">
        <w:rPr>
          <w:rStyle w:val="BookTitle"/>
          <w:rFonts w:ascii="Times New Roman" w:hAnsi="Times New Roman" w:cs="Times New Roman"/>
          <w:sz w:val="28"/>
          <w:szCs w:val="28"/>
        </w:rPr>
        <w:t>i</w:t>
      </w:r>
      <w:proofErr w:type="spellEnd"/>
      <w:r w:rsidRPr="00060801">
        <w:rPr>
          <w:rStyle w:val="BookTitl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801">
        <w:rPr>
          <w:rStyle w:val="BookTitle"/>
          <w:rFonts w:ascii="Times New Roman" w:hAnsi="Times New Roman" w:cs="Times New Roman"/>
          <w:sz w:val="28"/>
          <w:szCs w:val="28"/>
        </w:rPr>
        <w:t>studimeve</w:t>
      </w:r>
      <w:proofErr w:type="spellEnd"/>
      <w:r w:rsidRPr="00060801">
        <w:rPr>
          <w:rStyle w:val="BookTitle"/>
          <w:rFonts w:ascii="Times New Roman" w:hAnsi="Times New Roman" w:cs="Times New Roman"/>
          <w:sz w:val="28"/>
          <w:szCs w:val="28"/>
        </w:rPr>
        <w:t xml:space="preserve">: </w:t>
      </w:r>
      <w:r w:rsidR="00D74826" w:rsidRPr="00060801">
        <w:rPr>
          <w:rStyle w:val="BookTitle"/>
          <w:rFonts w:ascii="Times New Roman" w:hAnsi="Times New Roman" w:cs="Times New Roman"/>
          <w:sz w:val="28"/>
          <w:szCs w:val="28"/>
        </w:rPr>
        <w:t>BA</w:t>
      </w:r>
    </w:p>
    <w:p w14:paraId="6C657CFB" w14:textId="2FAD6938" w:rsidR="0062712C" w:rsidRPr="00060801" w:rsidRDefault="0062712C" w:rsidP="00174C2D">
      <w:pPr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</w:pPr>
      <w:proofErr w:type="spellStart"/>
      <w:r w:rsidRPr="00060801">
        <w:rPr>
          <w:rStyle w:val="BookTitle"/>
          <w:rFonts w:ascii="Times New Roman" w:hAnsi="Times New Roman" w:cs="Times New Roman"/>
          <w:sz w:val="28"/>
          <w:szCs w:val="28"/>
        </w:rPr>
        <w:t>Silabuset</w:t>
      </w:r>
      <w:proofErr w:type="spellEnd"/>
      <w:r w:rsidRPr="00060801">
        <w:rPr>
          <w:rStyle w:val="BookTitle"/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60801">
        <w:rPr>
          <w:rStyle w:val="BookTitle"/>
          <w:rFonts w:ascii="Times New Roman" w:hAnsi="Times New Roman" w:cs="Times New Roman"/>
          <w:sz w:val="28"/>
          <w:szCs w:val="28"/>
        </w:rPr>
        <w:t>lëndëve</w:t>
      </w:r>
      <w:proofErr w:type="spellEnd"/>
      <w:r w:rsidRPr="00060801">
        <w:rPr>
          <w:rStyle w:val="BookTitle"/>
          <w:rFonts w:ascii="Times New Roman" w:hAnsi="Times New Roman" w:cs="Times New Roman"/>
          <w:sz w:val="28"/>
          <w:szCs w:val="28"/>
        </w:rPr>
        <w:t>:</w:t>
      </w:r>
      <w:r w:rsidR="00174C2D" w:rsidRPr="00060801">
        <w:rPr>
          <w:rStyle w:val="BookTitle"/>
          <w:rFonts w:ascii="Times New Roman" w:hAnsi="Times New Roman" w:cs="Times New Roman"/>
          <w:sz w:val="28"/>
          <w:szCs w:val="28"/>
        </w:rPr>
        <w:t xml:space="preserve"> </w:t>
      </w:r>
      <w:r w:rsidR="00D74826" w:rsidRPr="00060801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ETIKË E GAZETARISË</w:t>
      </w:r>
    </w:p>
    <w:p w14:paraId="4B5A97A1" w14:textId="77777777" w:rsidR="00174C2D" w:rsidRPr="00060801" w:rsidRDefault="00174C2D" w:rsidP="00174C2D">
      <w:pPr>
        <w:rPr>
          <w:rFonts w:ascii="Times New Roman" w:hAnsi="Times New Roman" w:cs="Times New Roman"/>
          <w:b/>
          <w:bCs/>
          <w:smallCaps/>
          <w:spacing w:val="5"/>
          <w:sz w:val="28"/>
          <w:szCs w:val="28"/>
        </w:rPr>
      </w:pPr>
    </w:p>
    <w:tbl>
      <w:tblPr>
        <w:tblW w:w="10530" w:type="dxa"/>
        <w:tblInd w:w="-550" w:type="dxa"/>
        <w:tblLayout w:type="fixed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2712C" w:rsidRPr="006B1FCD" w14:paraId="11E1C3B7" w14:textId="77777777" w:rsidTr="002E0D48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C78929C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74C2D">
              <w:rPr>
                <w:rFonts w:ascii="Times New Roman" w:hAnsi="Times New Roman" w:cs="Times New Roman"/>
                <w:b/>
                <w:color w:val="auto"/>
                <w:szCs w:val="24"/>
              </w:rPr>
              <w:t>Informatat</w:t>
            </w:r>
            <w:proofErr w:type="spellEnd"/>
            <w:r w:rsidRPr="00174C2D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174C2D">
              <w:rPr>
                <w:rFonts w:ascii="Times New Roman" w:hAnsi="Times New Roman" w:cs="Times New Roman"/>
                <w:b/>
                <w:color w:val="auto"/>
                <w:szCs w:val="24"/>
              </w:rPr>
              <w:t>themelore</w:t>
            </w:r>
            <w:proofErr w:type="spellEnd"/>
            <w:r w:rsidRPr="00174C2D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174C2D">
              <w:rPr>
                <w:rFonts w:ascii="Times New Roman" w:hAnsi="Times New Roman" w:cs="Times New Roman"/>
                <w:b/>
                <w:color w:val="auto"/>
                <w:szCs w:val="24"/>
              </w:rPr>
              <w:t>për</w:t>
            </w:r>
            <w:proofErr w:type="spellEnd"/>
            <w:r w:rsidRPr="00174C2D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174C2D">
              <w:rPr>
                <w:rFonts w:ascii="Times New Roman" w:hAnsi="Times New Roman" w:cs="Times New Roman"/>
                <w:b/>
                <w:color w:val="auto"/>
                <w:szCs w:val="24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89D3408" w14:textId="77777777" w:rsidR="0062712C" w:rsidRPr="006B1FCD" w:rsidRDefault="0062712C" w:rsidP="004E64D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712C" w:rsidRPr="006B1FCD" w14:paraId="56F0DD78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1E0EC9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29FD8D" w14:textId="77777777" w:rsidR="0062712C" w:rsidRPr="006B1FCD" w:rsidRDefault="002E0D48" w:rsidP="004E64D4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Filologjisë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Departamenti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Gazetarisë</w:t>
            </w:r>
            <w:proofErr w:type="spellEnd"/>
          </w:p>
        </w:tc>
      </w:tr>
      <w:tr w:rsidR="0062712C" w:rsidRPr="00B157E6" w14:paraId="52029E25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6D16DD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130710" w14:textId="1356347B" w:rsidR="0062712C" w:rsidRPr="00B157E6" w:rsidRDefault="00D74826" w:rsidP="00E26478">
            <w:pPr>
              <w:pStyle w:val="NoSpacing"/>
              <w:rPr>
                <w:rFonts w:ascii="Times New Roman" w:hAnsi="Times New Roman" w:cs="Times New Roman"/>
                <w:szCs w:val="24"/>
                <w:lang w:val="es-VE"/>
              </w:rPr>
            </w:pPr>
            <w:r>
              <w:rPr>
                <w:rFonts w:ascii="Times New Roman" w:hAnsi="Times New Roman" w:cs="Times New Roman"/>
                <w:szCs w:val="24"/>
                <w:lang w:val="es-VE"/>
              </w:rPr>
              <w:t>Etikë e gazetarisë</w:t>
            </w:r>
          </w:p>
        </w:tc>
      </w:tr>
      <w:tr w:rsidR="0062712C" w:rsidRPr="006B1FCD" w14:paraId="54D85CA1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79C729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DA4D67" w14:textId="55D4C7ED" w:rsidR="0062712C" w:rsidRPr="006B1FCD" w:rsidRDefault="00D74826" w:rsidP="004E64D4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BA</w:t>
            </w:r>
          </w:p>
        </w:tc>
      </w:tr>
      <w:tr w:rsidR="0062712C" w:rsidRPr="006B1FCD" w14:paraId="2F7E5E44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668221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9AE634" w14:textId="1BC47BD9" w:rsidR="0062712C" w:rsidRPr="006B1FCD" w:rsidRDefault="00D74826" w:rsidP="004E64D4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obligative</w:t>
            </w:r>
          </w:p>
        </w:tc>
      </w:tr>
      <w:tr w:rsidR="0062712C" w:rsidRPr="006B1FCD" w14:paraId="6B99570F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F31678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B1C32D" w14:textId="41C89A2D" w:rsidR="0062712C" w:rsidRPr="006B1FCD" w:rsidRDefault="002E0D48" w:rsidP="00B157E6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viti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I-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4826">
              <w:rPr>
                <w:rFonts w:ascii="Times New Roman" w:hAnsi="Times New Roman" w:cs="Times New Roman"/>
                <w:szCs w:val="24"/>
              </w:rPr>
              <w:t>II</w:t>
            </w:r>
            <w:r w:rsidRPr="006B1FCD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</w:p>
        </w:tc>
      </w:tr>
      <w:tr w:rsidR="0062712C" w:rsidRPr="006B1FCD" w14:paraId="0D9D0653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ADBFC0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A218C5" w14:textId="0128B747" w:rsidR="002E0D48" w:rsidRPr="006B1FCD" w:rsidRDefault="0062712C" w:rsidP="002E0D4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2 +</w:t>
            </w:r>
            <w:r w:rsidR="00754AF2"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482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2712C" w:rsidRPr="006B1FCD" w14:paraId="0F488267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085FF0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556675" w14:textId="77777777" w:rsidR="0062712C" w:rsidRPr="006B1FCD" w:rsidRDefault="00B157E6" w:rsidP="004E64D4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2712C" w:rsidRPr="006B1FCD" w14:paraId="0DBBAE57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BF7279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97699E" w14:textId="4B4CB9E5" w:rsidR="0062712C" w:rsidRPr="006B1FCD" w:rsidRDefault="00174C2D" w:rsidP="004E64D4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="00F72864">
              <w:rPr>
                <w:rFonts w:ascii="Times New Roman" w:hAnsi="Times New Roman" w:cs="Times New Roman"/>
                <w:szCs w:val="24"/>
              </w:rPr>
              <w:t>merkure</w:t>
            </w:r>
            <w:proofErr w:type="spellEnd"/>
            <w:r w:rsidR="00F7286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72864"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-1</w:t>
            </w:r>
            <w:r w:rsidR="00F72864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:30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salla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476CA">
              <w:rPr>
                <w:rFonts w:ascii="Times New Roman" w:hAnsi="Times New Roman" w:cs="Times New Roman"/>
                <w:szCs w:val="24"/>
              </w:rPr>
              <w:t>101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62712C" w:rsidRPr="006B1FCD" w14:paraId="6807068B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7A5F43C" w14:textId="77777777" w:rsidR="0062712C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  <w:p w14:paraId="741BEE35" w14:textId="11F9BE35" w:rsidR="00D74826" w:rsidRPr="006B1FCD" w:rsidRDefault="00D74826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Asistenti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/ja: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F77B9A" w14:textId="77777777" w:rsidR="0062712C" w:rsidRDefault="002E0D48" w:rsidP="00B157E6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 xml:space="preserve">Prof. </w:t>
            </w:r>
            <w:r w:rsidR="00B157E6">
              <w:rPr>
                <w:rFonts w:ascii="Times New Roman" w:hAnsi="Times New Roman" w:cs="Times New Roman"/>
                <w:szCs w:val="24"/>
              </w:rPr>
              <w:t xml:space="preserve">ass. Remzie Shahini-Hoxhaj, </w:t>
            </w:r>
            <w:r w:rsidR="000E3049">
              <w:rPr>
                <w:rFonts w:ascii="Times New Roman" w:hAnsi="Times New Roman" w:cs="Times New Roman"/>
                <w:szCs w:val="24"/>
              </w:rPr>
              <w:t>PhD</w:t>
            </w:r>
          </w:p>
          <w:p w14:paraId="6E8E66B4" w14:textId="634B5475" w:rsidR="00D74826" w:rsidRPr="006B1FCD" w:rsidRDefault="00D74826" w:rsidP="00B157E6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Ass.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Dren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Gërguri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PhD</w:t>
            </w:r>
          </w:p>
        </w:tc>
      </w:tr>
      <w:tr w:rsidR="0062712C" w:rsidRPr="006B1FCD" w14:paraId="27CACB8E" w14:textId="77777777" w:rsidTr="002E0D4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92E5C6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9"/>
            </w:tblGrid>
            <w:tr w:rsidR="00EF620E" w:rsidRPr="006B1FCD" w14:paraId="7EA1289E" w14:textId="77777777" w:rsidTr="002E0D48">
              <w:trPr>
                <w:trHeight w:val="239"/>
              </w:trPr>
              <w:tc>
                <w:tcPr>
                  <w:tcW w:w="3199" w:type="dxa"/>
                </w:tcPr>
                <w:p w14:paraId="45E4190C" w14:textId="28D9C0D9" w:rsidR="00EF620E" w:rsidRDefault="00000000" w:rsidP="00D748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eastAsiaTheme="minorHAnsi" w:hAnsi="Times New Roman" w:cs="Times New Roman"/>
                      <w:szCs w:val="24"/>
                      <w:lang w:val="sq-AL"/>
                    </w:rPr>
                  </w:pPr>
                  <w:hyperlink r:id="rId7" w:history="1">
                    <w:r w:rsidR="00D74826" w:rsidRPr="001C66D6">
                      <w:rPr>
                        <w:rStyle w:val="Hyperlink"/>
                        <w:rFonts w:ascii="Times New Roman" w:eastAsiaTheme="minorHAnsi" w:hAnsi="Times New Roman" w:cs="Times New Roman"/>
                        <w:szCs w:val="24"/>
                        <w:lang w:val="sq-AL"/>
                      </w:rPr>
                      <w:t>remzie.shahinihoxhaj@uni-pr.edu</w:t>
                    </w:r>
                  </w:hyperlink>
                  <w:r w:rsidR="00D74826">
                    <w:rPr>
                      <w:rFonts w:ascii="Times New Roman" w:eastAsiaTheme="minorHAnsi" w:hAnsi="Times New Roman" w:cs="Times New Roman"/>
                      <w:szCs w:val="24"/>
                      <w:lang w:val="sq-AL"/>
                    </w:rPr>
                    <w:t xml:space="preserve"> </w:t>
                  </w:r>
                </w:p>
                <w:p w14:paraId="4E85D09E" w14:textId="6F0330F9" w:rsidR="00D74826" w:rsidRPr="006B1FCD" w:rsidRDefault="00000000" w:rsidP="00D748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eastAsiaTheme="minorHAnsi" w:hAnsi="Times New Roman" w:cs="Times New Roman"/>
                      <w:szCs w:val="24"/>
                      <w:lang w:val="sq-AL"/>
                    </w:rPr>
                  </w:pPr>
                  <w:hyperlink r:id="rId8" w:history="1">
                    <w:r w:rsidR="00D74826" w:rsidRPr="001C66D6">
                      <w:rPr>
                        <w:rStyle w:val="Hyperlink"/>
                        <w:rFonts w:ascii="Times New Roman" w:eastAsiaTheme="minorHAnsi" w:hAnsi="Times New Roman" w:cs="Times New Roman"/>
                        <w:szCs w:val="24"/>
                        <w:lang w:val="sq-AL"/>
                      </w:rPr>
                      <w:t>dren.gerguri@uni-pr.edu</w:t>
                    </w:r>
                  </w:hyperlink>
                  <w:r w:rsidR="00D74826">
                    <w:rPr>
                      <w:rFonts w:ascii="Times New Roman" w:eastAsiaTheme="minorHAnsi" w:hAnsi="Times New Roman" w:cs="Times New Roman"/>
                      <w:szCs w:val="24"/>
                      <w:lang w:val="sq-AL"/>
                    </w:rPr>
                    <w:t xml:space="preserve"> </w:t>
                  </w:r>
                </w:p>
              </w:tc>
            </w:tr>
          </w:tbl>
          <w:p w14:paraId="07A032D5" w14:textId="77777777" w:rsidR="0062712C" w:rsidRPr="006B1FCD" w:rsidRDefault="0062712C" w:rsidP="00D74826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D361DE" w:rsidRPr="006B1FCD" w14:paraId="3330AFC7" w14:textId="77777777" w:rsidTr="002E0D48">
        <w:trPr>
          <w:trHeight w:val="1423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EFC694" w14:textId="77777777" w:rsidR="00D361DE" w:rsidRPr="006B1FCD" w:rsidRDefault="00D361DE" w:rsidP="00D361D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720D34" w14:textId="77777777" w:rsidR="00A11D86" w:rsidRPr="00DD0966" w:rsidRDefault="00A11D86" w:rsidP="00A11D86">
            <w:pPr>
              <w:jc w:val="both"/>
            </w:pPr>
            <w:proofErr w:type="spellStart"/>
            <w:r w:rsidRPr="00DD0966">
              <w:rPr>
                <w:lang w:val="it-IT"/>
              </w:rPr>
              <w:t>Ky</w:t>
            </w:r>
            <w:proofErr w:type="spellEnd"/>
            <w:r w:rsidRPr="00DD0966">
              <w:rPr>
                <w:lang w:val="it-IT"/>
              </w:rPr>
              <w:t xml:space="preserve"> </w:t>
            </w:r>
            <w:proofErr w:type="spellStart"/>
            <w:r w:rsidRPr="00DD0966">
              <w:rPr>
                <w:lang w:val="it-IT"/>
              </w:rPr>
              <w:t>modul</w:t>
            </w:r>
            <w:proofErr w:type="spellEnd"/>
            <w:r w:rsidRPr="00DD0966">
              <w:rPr>
                <w:lang w:val="it-IT"/>
              </w:rPr>
              <w:t xml:space="preserve"> </w:t>
            </w:r>
            <w:proofErr w:type="spellStart"/>
            <w:r w:rsidRPr="00DD0966">
              <w:rPr>
                <w:lang w:val="it-IT"/>
              </w:rPr>
              <w:t>ofron</w:t>
            </w:r>
            <w:proofErr w:type="spellEnd"/>
            <w:r w:rsidRPr="00DD0966">
              <w:rPr>
                <w:lang w:val="it-IT"/>
              </w:rPr>
              <w:t xml:space="preserve"> </w:t>
            </w:r>
            <w:proofErr w:type="spellStart"/>
            <w:r w:rsidRPr="00DD0966">
              <w:rPr>
                <w:lang w:val="it-IT"/>
              </w:rPr>
              <w:t>një</w:t>
            </w:r>
            <w:proofErr w:type="spellEnd"/>
            <w:r w:rsidRPr="00DD0966">
              <w:rPr>
                <w:lang w:val="it-IT"/>
              </w:rPr>
              <w:t xml:space="preserve"> </w:t>
            </w:r>
            <w:proofErr w:type="spellStart"/>
            <w:r w:rsidRPr="00DD0966">
              <w:rPr>
                <w:lang w:val="it-IT"/>
              </w:rPr>
              <w:t>hyrje</w:t>
            </w:r>
            <w:proofErr w:type="spellEnd"/>
            <w:r w:rsidRPr="00DD0966">
              <w:rPr>
                <w:lang w:val="it-IT"/>
              </w:rPr>
              <w:t xml:space="preserve"> </w:t>
            </w:r>
            <w:proofErr w:type="spellStart"/>
            <w:r w:rsidRPr="00DD0966">
              <w:rPr>
                <w:lang w:val="it-IT"/>
              </w:rPr>
              <w:t>në</w:t>
            </w:r>
            <w:proofErr w:type="spellEnd"/>
            <w:r w:rsidRPr="00DD0966">
              <w:rPr>
                <w:lang w:val="it-IT"/>
              </w:rPr>
              <w:t xml:space="preserve"> </w:t>
            </w:r>
            <w:proofErr w:type="spellStart"/>
            <w:r w:rsidRPr="00DD0966">
              <w:rPr>
                <w:lang w:val="it-IT"/>
              </w:rPr>
              <w:t>etikën</w:t>
            </w:r>
            <w:proofErr w:type="spellEnd"/>
            <w:r w:rsidRPr="00DD0966">
              <w:rPr>
                <w:lang w:val="it-IT"/>
              </w:rPr>
              <w:t xml:space="preserve"> e </w:t>
            </w:r>
            <w:proofErr w:type="spellStart"/>
            <w:r w:rsidRPr="00DD0966">
              <w:rPr>
                <w:lang w:val="it-IT"/>
              </w:rPr>
              <w:t>medias</w:t>
            </w:r>
            <w:proofErr w:type="spellEnd"/>
            <w:r w:rsidRPr="00DD0966">
              <w:rPr>
                <w:lang w:val="it-IT"/>
              </w:rPr>
              <w:t xml:space="preserve">, si </w:t>
            </w:r>
            <w:proofErr w:type="spellStart"/>
            <w:r w:rsidRPr="00DD0966">
              <w:rPr>
                <w:lang w:val="it-IT"/>
              </w:rPr>
              <w:t>pjesë</w:t>
            </w:r>
            <w:proofErr w:type="spellEnd"/>
            <w:r w:rsidRPr="00DD0966">
              <w:rPr>
                <w:lang w:val="it-IT"/>
              </w:rPr>
              <w:t xml:space="preserve"> </w:t>
            </w:r>
            <w:proofErr w:type="spellStart"/>
            <w:r w:rsidRPr="00DD0966">
              <w:rPr>
                <w:lang w:val="it-IT"/>
              </w:rPr>
              <w:t>shumë</w:t>
            </w:r>
            <w:proofErr w:type="spellEnd"/>
            <w:r w:rsidRPr="00DD0966">
              <w:rPr>
                <w:lang w:val="it-IT"/>
              </w:rPr>
              <w:t xml:space="preserve"> e </w:t>
            </w:r>
            <w:proofErr w:type="spellStart"/>
            <w:r w:rsidRPr="00DD0966">
              <w:rPr>
                <w:lang w:val="it-IT"/>
              </w:rPr>
              <w:t>rëndësishme</w:t>
            </w:r>
            <w:proofErr w:type="spellEnd"/>
            <w:r w:rsidRPr="00DD0966">
              <w:rPr>
                <w:lang w:val="it-IT"/>
              </w:rPr>
              <w:t xml:space="preserve"> e </w:t>
            </w:r>
            <w:proofErr w:type="spellStart"/>
            <w:r w:rsidRPr="00DD0966">
              <w:rPr>
                <w:lang w:val="it-IT"/>
              </w:rPr>
              <w:t>botës</w:t>
            </w:r>
            <w:proofErr w:type="spellEnd"/>
            <w:r w:rsidRPr="00DD0966">
              <w:rPr>
                <w:lang w:val="it-IT"/>
              </w:rPr>
              <w:t xml:space="preserve"> mediale. </w:t>
            </w:r>
            <w:r w:rsidRPr="00DD0966">
              <w:t xml:space="preserve">Moduli </w:t>
            </w:r>
            <w:proofErr w:type="spellStart"/>
            <w:r w:rsidRPr="00DD0966">
              <w:t>është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dizajnuar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atë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mënyrë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që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t’ju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pajisë</w:t>
            </w:r>
            <w:proofErr w:type="spellEnd"/>
            <w:r w:rsidRPr="00DD0966">
              <w:t xml:space="preserve"> me </w:t>
            </w:r>
            <w:proofErr w:type="spellStart"/>
            <w:r w:rsidRPr="00DD0966">
              <w:t>pjesën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teorike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praktike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qasjes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gazetareske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sipas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normave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vlerave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etike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botën</w:t>
            </w:r>
            <w:proofErr w:type="spellEnd"/>
            <w:r w:rsidRPr="00DD0966">
              <w:t xml:space="preserve"> e </w:t>
            </w:r>
            <w:proofErr w:type="spellStart"/>
            <w:r w:rsidRPr="00DD0966">
              <w:t>mediave</w:t>
            </w:r>
            <w:proofErr w:type="spellEnd"/>
            <w:r w:rsidRPr="00DD0966">
              <w:t xml:space="preserve">. </w:t>
            </w:r>
            <w:proofErr w:type="spellStart"/>
            <w:r w:rsidRPr="00DD0966">
              <w:t>Përmes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kombinimit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ligjëratave</w:t>
            </w:r>
            <w:proofErr w:type="spellEnd"/>
            <w:r w:rsidRPr="00DD0966">
              <w:t xml:space="preserve">, </w:t>
            </w:r>
            <w:proofErr w:type="spellStart"/>
            <w:r w:rsidRPr="00DD0966">
              <w:t>detyrave</w:t>
            </w:r>
            <w:proofErr w:type="spellEnd"/>
            <w:r w:rsidRPr="00DD0966">
              <w:t xml:space="preserve">, </w:t>
            </w:r>
            <w:proofErr w:type="spellStart"/>
            <w:r w:rsidRPr="00DD0966">
              <w:t>punës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grupe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punimeve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seminarike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studentëve</w:t>
            </w:r>
            <w:proofErr w:type="spellEnd"/>
            <w:r w:rsidRPr="00DD0966">
              <w:t xml:space="preserve"> do </w:t>
            </w:r>
            <w:proofErr w:type="spellStart"/>
            <w:r w:rsidRPr="00DD0966">
              <w:t>t’ju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ofrohen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njohuri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nga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pjesa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legjislative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ajo e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drejtave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njeriut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mbrojtjen</w:t>
            </w:r>
            <w:proofErr w:type="spellEnd"/>
            <w:r w:rsidRPr="00DD0966">
              <w:t xml:space="preserve"> e </w:t>
            </w:r>
            <w:proofErr w:type="spellStart"/>
            <w:r w:rsidRPr="00DD0966">
              <w:t>kodeve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etike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fushën</w:t>
            </w:r>
            <w:proofErr w:type="spellEnd"/>
            <w:r w:rsidRPr="00DD0966">
              <w:t xml:space="preserve"> e </w:t>
            </w:r>
            <w:proofErr w:type="spellStart"/>
            <w:r w:rsidRPr="00DD0966">
              <w:t>gazetarisë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medias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përgjithësi</w:t>
            </w:r>
            <w:proofErr w:type="spellEnd"/>
            <w:r w:rsidRPr="00DD0966">
              <w:t xml:space="preserve">. </w:t>
            </w:r>
            <w:proofErr w:type="spellStart"/>
            <w:r w:rsidRPr="00DD0966">
              <w:rPr>
                <w:lang w:val="it-IT"/>
              </w:rPr>
              <w:t>Lënda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është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një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semestrale</w:t>
            </w:r>
            <w:proofErr w:type="spellEnd"/>
            <w:r w:rsidRPr="00DD0966">
              <w:t xml:space="preserve">. </w:t>
            </w:r>
            <w:proofErr w:type="spellStart"/>
            <w:r w:rsidRPr="00DD0966">
              <w:t>Fillimisht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ligjëratat</w:t>
            </w:r>
            <w:proofErr w:type="spellEnd"/>
            <w:r w:rsidRPr="00DD0966">
              <w:t xml:space="preserve"> do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ofrojnë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njohurit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themelore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për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etikën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kontekstin</w:t>
            </w:r>
            <w:proofErr w:type="spellEnd"/>
            <w:r w:rsidRPr="00DD0966">
              <w:t xml:space="preserve"> e medias, e </w:t>
            </w:r>
            <w:proofErr w:type="spellStart"/>
            <w:r w:rsidRPr="00DD0966">
              <w:t>më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pastaj</w:t>
            </w:r>
            <w:proofErr w:type="spellEnd"/>
            <w:r w:rsidRPr="00DD0966">
              <w:t xml:space="preserve"> me </w:t>
            </w:r>
            <w:proofErr w:type="spellStart"/>
            <w:r w:rsidRPr="00DD0966">
              <w:t>normat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vlerat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që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ofrojnë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kodet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etikë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medias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zbatimi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tyre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përditshmërinë</w:t>
            </w:r>
            <w:proofErr w:type="spellEnd"/>
            <w:r w:rsidRPr="00DD0966">
              <w:t xml:space="preserve"> e </w:t>
            </w:r>
            <w:proofErr w:type="spellStart"/>
            <w:r w:rsidRPr="00DD0966">
              <w:t>punës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këtë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fushë</w:t>
            </w:r>
            <w:proofErr w:type="spellEnd"/>
            <w:r w:rsidRPr="00DD0966">
              <w:t>.</w:t>
            </w:r>
          </w:p>
          <w:p w14:paraId="514A872D" w14:textId="100066BD" w:rsidR="00D361DE" w:rsidRPr="006B1FCD" w:rsidRDefault="00D361DE" w:rsidP="00D361DE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A11D86" w:rsidRPr="00B157E6" w14:paraId="40428DAD" w14:textId="77777777" w:rsidTr="002E0D48">
        <w:trPr>
          <w:trHeight w:val="25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6DD42461" w14:textId="77777777" w:rsidR="00A11D86" w:rsidRPr="006B1FCD" w:rsidRDefault="00A11D86" w:rsidP="00A11D8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Qëllimet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7E849B30" w14:textId="2EADA03D" w:rsidR="00A11D86" w:rsidRPr="006B1FCD" w:rsidRDefault="00A11D86" w:rsidP="00A11D86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DD0966">
              <w:t>Kjo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lëndë</w:t>
            </w:r>
            <w:proofErr w:type="spellEnd"/>
            <w:r w:rsidRPr="00DD0966">
              <w:t xml:space="preserve"> do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ju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ndihmoj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studentëve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ndërtojnë</w:t>
            </w:r>
            <w:proofErr w:type="spellEnd"/>
            <w:r w:rsidRPr="00DD0966">
              <w:t xml:space="preserve">, </w:t>
            </w:r>
            <w:proofErr w:type="spellStart"/>
            <w:r w:rsidRPr="00DD0966">
              <w:t>ngritin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testojnë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vlerat</w:t>
            </w:r>
            <w:proofErr w:type="spellEnd"/>
            <w:r w:rsidRPr="00DD0966">
              <w:t xml:space="preserve"> e </w:t>
            </w:r>
            <w:proofErr w:type="spellStart"/>
            <w:r w:rsidRPr="00DD0966">
              <w:t>tyre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raport</w:t>
            </w:r>
            <w:proofErr w:type="spellEnd"/>
            <w:r w:rsidRPr="00DD0966">
              <w:t xml:space="preserve"> me </w:t>
            </w:r>
            <w:proofErr w:type="spellStart"/>
            <w:r w:rsidRPr="00DD0966">
              <w:t>vlerat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etike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profesionale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media, </w:t>
            </w:r>
            <w:proofErr w:type="spellStart"/>
            <w:r w:rsidRPr="00DD0966">
              <w:t>si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stimuloj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mendimin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kritik</w:t>
            </w:r>
            <w:proofErr w:type="spellEnd"/>
            <w:r w:rsidRPr="00DD0966">
              <w:t xml:space="preserve"> me </w:t>
            </w:r>
            <w:proofErr w:type="spellStart"/>
            <w:r w:rsidRPr="00DD0966">
              <w:t>qëllim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diskutimit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tema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ndryshme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kontroverse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botën</w:t>
            </w:r>
            <w:proofErr w:type="spellEnd"/>
            <w:r w:rsidRPr="00DD0966">
              <w:t xml:space="preserve"> e </w:t>
            </w:r>
            <w:proofErr w:type="spellStart"/>
            <w:r w:rsidRPr="00DD0966">
              <w:t>mediave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raport</w:t>
            </w:r>
            <w:proofErr w:type="spellEnd"/>
            <w:r w:rsidRPr="00DD0966">
              <w:t xml:space="preserve"> </w:t>
            </w:r>
            <w:r w:rsidRPr="00DD0966">
              <w:lastRenderedPageBreak/>
              <w:t xml:space="preserve">me </w:t>
            </w:r>
            <w:proofErr w:type="spellStart"/>
            <w:r w:rsidRPr="00DD0966">
              <w:t>kodet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etike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do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ofrohen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ligjërata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shtesë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nga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ekspertë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kësaj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fushe</w:t>
            </w:r>
            <w:proofErr w:type="spellEnd"/>
            <w:r w:rsidRPr="00DD0966">
              <w:t>.</w:t>
            </w:r>
          </w:p>
        </w:tc>
      </w:tr>
    </w:tbl>
    <w:p w14:paraId="54420ED2" w14:textId="77777777" w:rsidR="0062712C" w:rsidRPr="006B1FCD" w:rsidRDefault="0062712C" w:rsidP="0062712C">
      <w:pPr>
        <w:spacing w:after="0" w:line="259" w:lineRule="auto"/>
        <w:ind w:left="-718" w:right="11185" w:firstLine="0"/>
        <w:rPr>
          <w:rFonts w:ascii="Times New Roman" w:hAnsi="Times New Roman" w:cs="Times New Roman"/>
          <w:szCs w:val="24"/>
          <w:lang w:val="sq-AL"/>
        </w:rPr>
      </w:pPr>
    </w:p>
    <w:tbl>
      <w:tblPr>
        <w:tblW w:w="1298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52"/>
        <w:gridCol w:w="1952"/>
        <w:gridCol w:w="328"/>
        <w:gridCol w:w="3580"/>
        <w:gridCol w:w="1597"/>
        <w:gridCol w:w="2374"/>
      </w:tblGrid>
      <w:tr w:rsidR="00A37BE8" w:rsidRPr="00B157E6" w14:paraId="23800300" w14:textId="77777777" w:rsidTr="00E26478">
        <w:trPr>
          <w:gridAfter w:val="1"/>
          <w:wAfter w:w="2374" w:type="dxa"/>
          <w:trHeight w:val="532"/>
        </w:trPr>
        <w:tc>
          <w:tcPr>
            <w:tcW w:w="510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3F7A7D" w14:textId="77777777" w:rsidR="00A37BE8" w:rsidRPr="006B1FCD" w:rsidRDefault="00A37BE8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fr-FR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  <w:lang w:val="fr-FR"/>
              </w:rPr>
              <w:t>Rezultatet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  <w:lang w:val="fr-FR"/>
              </w:rPr>
              <w:t>pritshme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  <w:lang w:val="fr-FR"/>
              </w:rPr>
              <w:t>nxënies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  <w:lang w:val="fr-FR"/>
              </w:rPr>
              <w:t>:</w:t>
            </w:r>
          </w:p>
        </w:tc>
        <w:tc>
          <w:tcPr>
            <w:tcW w:w="5505" w:type="dxa"/>
            <w:gridSpan w:val="3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6F4ACBF9" w14:textId="77777777" w:rsidR="00A37BE8" w:rsidRPr="006B1FCD" w:rsidRDefault="00A37BE8" w:rsidP="00E569A5">
            <w:pPr>
              <w:pStyle w:val="TableParagraph"/>
              <w:ind w:left="103" w:right="104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6849" w:rsidRPr="00B157E6" w14:paraId="709175C8" w14:textId="77777777" w:rsidTr="004E64D4">
        <w:trPr>
          <w:gridAfter w:val="1"/>
          <w:wAfter w:w="2374" w:type="dxa"/>
          <w:trHeight w:val="340"/>
        </w:trPr>
        <w:tc>
          <w:tcPr>
            <w:tcW w:w="10609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0FFCE14" w14:textId="77777777" w:rsidR="00206849" w:rsidRPr="006B1FCD" w:rsidRDefault="00206849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B1FCD">
              <w:rPr>
                <w:rFonts w:ascii="Times New Roman" w:hAnsi="Times New Roman" w:cs="Times New Roman"/>
                <w:b/>
                <w:color w:val="auto"/>
                <w:szCs w:val="24"/>
                <w:lang w:val="sq-AL"/>
              </w:rPr>
              <w:t>Ngarkesa e studentit (duhet të jetë në përputhje me rezultatet e nxënies së studentit)</w:t>
            </w:r>
          </w:p>
        </w:tc>
      </w:tr>
      <w:tr w:rsidR="00206849" w:rsidRPr="006B1FCD" w14:paraId="1396A884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60736B" w14:textId="77777777" w:rsidR="00206849" w:rsidRPr="006B1FCD" w:rsidRDefault="00206849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389554" w14:textId="77777777" w:rsidR="00206849" w:rsidRPr="006B1FCD" w:rsidRDefault="00206849" w:rsidP="0020684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7C59FF8" w14:textId="77777777" w:rsidR="00206849" w:rsidRPr="006B1FCD" w:rsidRDefault="00206849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206849" w:rsidRPr="006B1FCD" w14:paraId="02C15103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CB8501" w14:textId="77777777" w:rsidR="00206849" w:rsidRPr="006B1FCD" w:rsidRDefault="00206849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BA41EB" w14:textId="77777777" w:rsidR="00206849" w:rsidRPr="006B1FCD" w:rsidRDefault="00206849" w:rsidP="0020684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2 (90min)                              15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7FA3F1" w14:textId="77777777" w:rsidR="00206849" w:rsidRPr="006B1FCD" w:rsidRDefault="00A37BE8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22,5</w:t>
            </w:r>
          </w:p>
        </w:tc>
      </w:tr>
      <w:tr w:rsidR="00206849" w:rsidRPr="00B157E6" w14:paraId="7538DF50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4D8853" w14:textId="77777777" w:rsidR="00206849" w:rsidRPr="006B1FCD" w:rsidRDefault="00206849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es-VE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  <w:lang w:val="es-VE"/>
              </w:rPr>
              <w:t>Teori/Punë në laborator/Ushtrime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73C6C0" w14:textId="77777777" w:rsidR="00206849" w:rsidRPr="006B1FCD" w:rsidRDefault="00206849" w:rsidP="00206849">
            <w:pPr>
              <w:tabs>
                <w:tab w:val="center" w:pos="61"/>
                <w:tab w:val="center" w:pos="1974"/>
              </w:tabs>
              <w:spacing w:before="240"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es-VE"/>
              </w:rPr>
            </w:pP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E9C8221" w14:textId="77777777" w:rsidR="00206849" w:rsidRPr="006B1FCD" w:rsidRDefault="00206849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es-VE"/>
              </w:rPr>
            </w:pPr>
          </w:p>
        </w:tc>
      </w:tr>
      <w:tr w:rsidR="00754AF2" w:rsidRPr="006B1FCD" w14:paraId="7AC9F11C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DBEA2A" w14:textId="77777777" w:rsidR="00754AF2" w:rsidRPr="006B1FCD" w:rsidRDefault="00754AF2" w:rsidP="00754AF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B30888" w14:textId="77777777" w:rsidR="00754AF2" w:rsidRPr="006B1FCD" w:rsidRDefault="00754AF2" w:rsidP="00754AF2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2 (90min)                              15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B5AF085" w14:textId="77777777" w:rsidR="00754AF2" w:rsidRPr="006B1FCD" w:rsidRDefault="00754AF2" w:rsidP="00754AF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22,5</w:t>
            </w:r>
          </w:p>
        </w:tc>
      </w:tr>
      <w:tr w:rsidR="00206849" w:rsidRPr="006B1FCD" w14:paraId="0C00EAAC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33B45C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për test intermediar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9B0A8F" w14:textId="77777777" w:rsidR="00206849" w:rsidRPr="006B1FCD" w:rsidRDefault="00206849" w:rsidP="002068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15                                    1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F0E152" w14:textId="77777777" w:rsidR="00206849" w:rsidRPr="006B1FCD" w:rsidRDefault="00206849" w:rsidP="002068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206849" w:rsidRPr="006B1FCD" w14:paraId="13172B86" w14:textId="77777777" w:rsidTr="004E64D4">
        <w:trPr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3780D5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Konsultime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me mësimdhënësin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E5635A2" w14:textId="77777777" w:rsidR="00206849" w:rsidRPr="006B1FCD" w:rsidRDefault="00206849" w:rsidP="0020684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10 min                         15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C5461EB" w14:textId="77777777" w:rsidR="00206849" w:rsidRPr="006B1FCD" w:rsidRDefault="00206849" w:rsidP="00206849">
            <w:pPr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2.5</w:t>
            </w:r>
          </w:p>
        </w:tc>
        <w:tc>
          <w:tcPr>
            <w:tcW w:w="2374" w:type="dxa"/>
          </w:tcPr>
          <w:p w14:paraId="3C3D3496" w14:textId="77777777" w:rsidR="00206849" w:rsidRPr="006B1FCD" w:rsidRDefault="00206849" w:rsidP="00206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6849" w:rsidRPr="006B1FCD" w14:paraId="4DA962CF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ED5CAA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Puna 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terren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F08CD4E" w14:textId="77777777" w:rsidR="00206849" w:rsidRPr="006B1FCD" w:rsidRDefault="00754AF2" w:rsidP="00206849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2                                   15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92ABE" w14:textId="77777777" w:rsidR="00206849" w:rsidRPr="006B1FCD" w:rsidRDefault="00754AF2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206849" w:rsidRPr="006B1FCD" w14:paraId="391CA782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408A58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, punimi i seminarit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08486F" w14:textId="77777777" w:rsidR="00206849" w:rsidRPr="006B1FCD" w:rsidRDefault="00206849" w:rsidP="002068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 8                                2                                 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9CF848B" w14:textId="77777777" w:rsidR="00206849" w:rsidRPr="006B1FCD" w:rsidRDefault="00206849" w:rsidP="002068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16</w:t>
            </w:r>
          </w:p>
        </w:tc>
      </w:tr>
      <w:tr w:rsidR="00206849" w:rsidRPr="006B1FCD" w14:paraId="151F7D5F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52E5FE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shtëpie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4E0ADA" w14:textId="77777777" w:rsidR="00206849" w:rsidRPr="006B1FCD" w:rsidRDefault="00206849" w:rsidP="0020684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2                                  15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033546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206849" w:rsidRPr="006B1FCD" w14:paraId="6CFB1C4D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196F2A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në shtëpi)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CA8D4E" w14:textId="77777777" w:rsidR="00206849" w:rsidRPr="006B1FCD" w:rsidRDefault="00206849" w:rsidP="0020684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3                                  15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9BA44F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45</w:t>
            </w:r>
          </w:p>
        </w:tc>
      </w:tr>
      <w:tr w:rsidR="00206849" w:rsidRPr="006B1FCD" w14:paraId="7F304E0B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799940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F92003" w14:textId="77777777" w:rsidR="00206849" w:rsidRPr="006B1FCD" w:rsidRDefault="00EF620E" w:rsidP="002068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  <w:r w:rsidR="00206849" w:rsidRPr="006B1FCD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        1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F4E055B" w14:textId="77777777" w:rsidR="00206849" w:rsidRPr="006B1FCD" w:rsidRDefault="00EF620E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</w:p>
        </w:tc>
      </w:tr>
      <w:tr w:rsidR="00206849" w:rsidRPr="006B1FCD" w14:paraId="33200015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2F01F7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  <w:lang w:val="es-VE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  <w:lang w:val="es-VE"/>
              </w:rPr>
              <w:t>Koha e vlerësimit (testi, kuizi, provimi final)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6B583D" w14:textId="77777777" w:rsidR="00206849" w:rsidRPr="006B1FCD" w:rsidRDefault="00206849" w:rsidP="002068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5                                    2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2251193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10</w:t>
            </w:r>
          </w:p>
        </w:tc>
      </w:tr>
      <w:tr w:rsidR="00206849" w:rsidRPr="006B1FCD" w14:paraId="153BE094" w14:textId="77777777" w:rsidTr="004E64D4">
        <w:trPr>
          <w:gridAfter w:val="1"/>
          <w:wAfter w:w="2374" w:type="dxa"/>
          <w:trHeight w:val="53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AFEAA3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, prezantimet, etj.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0C95439" w14:textId="77777777" w:rsidR="00206849" w:rsidRPr="006B1FCD" w:rsidRDefault="00206849" w:rsidP="002068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1                                   2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B0BC7E" w14:textId="77777777" w:rsidR="00206849" w:rsidRPr="006B1FCD" w:rsidRDefault="00206849" w:rsidP="002068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</w:tr>
      <w:tr w:rsidR="00206849" w:rsidRPr="006B1FCD" w14:paraId="1A3061A1" w14:textId="77777777" w:rsidTr="004E64D4">
        <w:trPr>
          <w:gridAfter w:val="1"/>
          <w:wAfter w:w="2374" w:type="dxa"/>
          <w:trHeight w:val="340"/>
        </w:trPr>
        <w:tc>
          <w:tcPr>
            <w:tcW w:w="54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234716" w14:textId="77777777" w:rsidR="00206849" w:rsidRPr="006B1FCD" w:rsidRDefault="00206849" w:rsidP="0020684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B1FCD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3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6AEF1C" w14:textId="77777777" w:rsidR="00206849" w:rsidRPr="006B1FCD" w:rsidRDefault="00206849" w:rsidP="002068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263D007" w14:textId="77777777" w:rsidR="00206849" w:rsidRPr="006B1FCD" w:rsidRDefault="001C238F" w:rsidP="00754AF2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4AF2" w:rsidRPr="006B1FC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6B1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  <w:proofErr w:type="spellEnd"/>
          </w:p>
        </w:tc>
      </w:tr>
      <w:tr w:rsidR="00206849" w:rsidRPr="00B157E6" w14:paraId="4ECF5359" w14:textId="77777777" w:rsidTr="00EF620E">
        <w:trPr>
          <w:gridAfter w:val="1"/>
          <w:wAfter w:w="2374" w:type="dxa"/>
          <w:trHeight w:val="532"/>
        </w:trPr>
        <w:tc>
          <w:tcPr>
            <w:tcW w:w="315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1E2319" w14:textId="77777777" w:rsidR="00206849" w:rsidRPr="006B1FCD" w:rsidRDefault="00206849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457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835461C" w14:textId="6BCA456A" w:rsidR="00E26478" w:rsidRPr="006B1FCD" w:rsidRDefault="00A11D86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DD0966">
              <w:t>Ligjërata</w:t>
            </w:r>
            <w:proofErr w:type="spellEnd"/>
            <w:r w:rsidRPr="00DD0966">
              <w:t xml:space="preserve"> do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ndahen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pjesën</w:t>
            </w:r>
            <w:proofErr w:type="spellEnd"/>
            <w:r w:rsidRPr="00DD0966">
              <w:t xml:space="preserve"> e </w:t>
            </w:r>
            <w:proofErr w:type="spellStart"/>
            <w:r w:rsidRPr="00DD0966">
              <w:t>ligjërimit</w:t>
            </w:r>
            <w:proofErr w:type="spellEnd"/>
            <w:r w:rsidRPr="00DD0966">
              <w:t xml:space="preserve">, </w:t>
            </w:r>
            <w:proofErr w:type="spellStart"/>
            <w:r w:rsidRPr="00DD0966">
              <w:t>referateve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shkurta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pjesë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interaktive</w:t>
            </w:r>
            <w:proofErr w:type="spellEnd"/>
            <w:r w:rsidRPr="00DD0966">
              <w:t xml:space="preserve">. </w:t>
            </w:r>
            <w:proofErr w:type="spellStart"/>
            <w:r w:rsidRPr="00DD0966">
              <w:t>Studentet</w:t>
            </w:r>
            <w:proofErr w:type="spellEnd"/>
            <w:r w:rsidRPr="00DD0966">
              <w:t xml:space="preserve"> do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ftohen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mbledhin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njohuri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nga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literatura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shtesë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për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secilën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njësi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mësimore</w:t>
            </w:r>
            <w:proofErr w:type="spellEnd"/>
            <w:r w:rsidRPr="00DD0966">
              <w:t xml:space="preserve">. </w:t>
            </w:r>
            <w:proofErr w:type="spellStart"/>
            <w:r w:rsidRPr="00DD0966">
              <w:t>Poashtu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gjatë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viti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secili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studentet</w:t>
            </w:r>
            <w:proofErr w:type="spellEnd"/>
            <w:r w:rsidRPr="00DD0966">
              <w:t xml:space="preserve"> do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ftohen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punojnë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punë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hulumtuese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detyra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ndryshme</w:t>
            </w:r>
            <w:proofErr w:type="spellEnd"/>
            <w:r w:rsidRPr="00DD0966">
              <w:t>.</w:t>
            </w:r>
          </w:p>
        </w:tc>
      </w:tr>
      <w:tr w:rsidR="00206849" w:rsidRPr="00B157E6" w14:paraId="61650F45" w14:textId="77777777" w:rsidTr="004E64D4">
        <w:trPr>
          <w:gridAfter w:val="1"/>
          <w:wAfter w:w="2374" w:type="dxa"/>
          <w:trHeight w:val="1486"/>
        </w:trPr>
        <w:tc>
          <w:tcPr>
            <w:tcW w:w="315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BD597F" w14:textId="77777777" w:rsidR="00206849" w:rsidRPr="006B1FCD" w:rsidRDefault="00206849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457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41FF1CE" w14:textId="0A649485" w:rsidR="00A11D86" w:rsidRPr="00DD0966" w:rsidRDefault="00A11D86" w:rsidP="00A11D86">
            <w:pPr>
              <w:jc w:val="both"/>
            </w:pPr>
            <w:r>
              <w:t>2</w:t>
            </w:r>
            <w:r w:rsidRPr="00DD0966">
              <w:t xml:space="preserve">0% </w:t>
            </w:r>
            <w:proofErr w:type="spellStart"/>
            <w:r w:rsidRPr="00DD0966">
              <w:t>Detyrat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ushtrime</w:t>
            </w:r>
            <w:proofErr w:type="spellEnd"/>
          </w:p>
          <w:p w14:paraId="088C5DF5" w14:textId="21BDEA3A" w:rsidR="00A11D86" w:rsidRPr="00DD0966" w:rsidRDefault="00A11D86" w:rsidP="00A11D86">
            <w:pPr>
              <w:jc w:val="both"/>
            </w:pPr>
            <w:r>
              <w:rPr>
                <w:lang w:val="it-IT"/>
              </w:rPr>
              <w:t>4</w:t>
            </w:r>
            <w:r w:rsidRPr="00DD0966">
              <w:rPr>
                <w:lang w:val="it-IT"/>
              </w:rPr>
              <w:t xml:space="preserve">0% </w:t>
            </w:r>
            <w:proofErr w:type="spellStart"/>
            <w:r w:rsidRPr="00DD0966">
              <w:t>Aktiviteti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ligjërata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prezantimet</w:t>
            </w:r>
            <w:proofErr w:type="spellEnd"/>
            <w:r w:rsidRPr="00DD0966">
              <w:t xml:space="preserve">  </w:t>
            </w:r>
          </w:p>
          <w:p w14:paraId="7767BA5A" w14:textId="0BFD25B2" w:rsidR="00206849" w:rsidRPr="00B157E6" w:rsidRDefault="00A11D86" w:rsidP="00A11D8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q-AL"/>
              </w:rPr>
            </w:pPr>
            <w:r w:rsidRPr="00DD0966">
              <w:rPr>
                <w:lang w:val="it-IT"/>
              </w:rPr>
              <w:t xml:space="preserve">40% </w:t>
            </w:r>
            <w:proofErr w:type="spellStart"/>
            <w:r w:rsidRPr="00DD0966">
              <w:rPr>
                <w:lang w:val="it-IT"/>
              </w:rPr>
              <w:t>Provimi</w:t>
            </w:r>
            <w:proofErr w:type="spellEnd"/>
            <w:r w:rsidRPr="00DD0966">
              <w:rPr>
                <w:lang w:val="it-IT"/>
              </w:rPr>
              <w:t xml:space="preserve"> </w:t>
            </w:r>
            <w:proofErr w:type="spellStart"/>
            <w:r w:rsidRPr="00DD0966">
              <w:rPr>
                <w:lang w:val="it-IT"/>
              </w:rPr>
              <w:t>final</w:t>
            </w:r>
            <w:proofErr w:type="spellEnd"/>
          </w:p>
        </w:tc>
      </w:tr>
      <w:tr w:rsidR="00206849" w:rsidRPr="006B1FCD" w14:paraId="7A81E52D" w14:textId="77777777" w:rsidTr="004E64D4">
        <w:trPr>
          <w:gridAfter w:val="1"/>
          <w:wAfter w:w="2374" w:type="dxa"/>
          <w:trHeight w:val="916"/>
        </w:trPr>
        <w:tc>
          <w:tcPr>
            <w:tcW w:w="315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07BE94" w14:textId="77777777" w:rsidR="00206849" w:rsidRPr="006B1FCD" w:rsidRDefault="00206849" w:rsidP="0020684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lastRenderedPageBreak/>
              <w:t>Literatura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457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44"/>
            </w:tblGrid>
            <w:tr w:rsidR="00E569A5" w:rsidRPr="00E569A5" w14:paraId="7BA6E9C7" w14:textId="77777777">
              <w:trPr>
                <w:trHeight w:val="2927"/>
              </w:trPr>
              <w:tc>
                <w:tcPr>
                  <w:tcW w:w="0" w:type="auto"/>
                </w:tcPr>
                <w:p w14:paraId="42BD3F1A" w14:textId="66B57AF7" w:rsidR="00A11D86" w:rsidRDefault="00A11D86" w:rsidP="00A11D86">
                  <w:proofErr w:type="spellStart"/>
                  <w:r w:rsidRPr="00DD0966">
                    <w:t>Benedek</w:t>
                  </w:r>
                  <w:proofErr w:type="spellEnd"/>
                  <w:r w:rsidRPr="00DD0966">
                    <w:t xml:space="preserve">, Wolfgang (2009): </w:t>
                  </w:r>
                  <w:proofErr w:type="spellStart"/>
                  <w:r w:rsidRPr="00DD0966">
                    <w:t>Kuptimi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i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të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Drejtave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të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Njeriut</w:t>
                  </w:r>
                  <w:proofErr w:type="spellEnd"/>
                  <w:r w:rsidRPr="00DD0966">
                    <w:t xml:space="preserve">. Manual </w:t>
                  </w:r>
                  <w:proofErr w:type="spellStart"/>
                  <w:r w:rsidRPr="00DD0966">
                    <w:t>për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arsimimin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për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të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Drejtat</w:t>
                  </w:r>
                  <w:proofErr w:type="spellEnd"/>
                  <w:r w:rsidRPr="00DD0966">
                    <w:t xml:space="preserve"> e </w:t>
                  </w:r>
                  <w:proofErr w:type="spellStart"/>
                  <w:r w:rsidRPr="00DD0966">
                    <w:t>Njeriut</w:t>
                  </w:r>
                  <w:proofErr w:type="spellEnd"/>
                  <w:r w:rsidRPr="00DD0966">
                    <w:t xml:space="preserve">. </w:t>
                  </w:r>
                  <w:proofErr w:type="spellStart"/>
                  <w:r w:rsidRPr="00DD0966">
                    <w:t>Qendra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për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të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Drejtat</w:t>
                  </w:r>
                  <w:proofErr w:type="spellEnd"/>
                  <w:r w:rsidRPr="00DD0966">
                    <w:t xml:space="preserve"> e </w:t>
                  </w:r>
                  <w:proofErr w:type="spellStart"/>
                  <w:r w:rsidRPr="00DD0966">
                    <w:t>Njeriut</w:t>
                  </w:r>
                  <w:proofErr w:type="spellEnd"/>
                  <w:r w:rsidRPr="00DD0966">
                    <w:t xml:space="preserve"> UP</w:t>
                  </w:r>
                </w:p>
                <w:p w14:paraId="712A8EBA" w14:textId="77777777" w:rsidR="00A11D86" w:rsidRDefault="00A11D86" w:rsidP="00A11D86">
                  <w:proofErr w:type="spellStart"/>
                  <w:r w:rsidRPr="00DD0966">
                    <w:t>Instituti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Shqiptar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i</w:t>
                  </w:r>
                  <w:proofErr w:type="spellEnd"/>
                  <w:r w:rsidRPr="00DD0966">
                    <w:t xml:space="preserve"> Medias (2007): </w:t>
                  </w:r>
                  <w:proofErr w:type="spellStart"/>
                  <w:r w:rsidRPr="00DD0966">
                    <w:t>Diskutim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për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Etikën</w:t>
                  </w:r>
                  <w:proofErr w:type="spellEnd"/>
                  <w:r w:rsidRPr="00DD0966">
                    <w:t xml:space="preserve">. </w:t>
                  </w:r>
                  <w:proofErr w:type="spellStart"/>
                  <w:r w:rsidRPr="00DD0966">
                    <w:t>Përmbledhje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esesh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dhe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artikujsh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për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etikën</w:t>
                  </w:r>
                  <w:proofErr w:type="spellEnd"/>
                  <w:r w:rsidRPr="00DD0966">
                    <w:t xml:space="preserve"> e </w:t>
                  </w:r>
                  <w:proofErr w:type="spellStart"/>
                  <w:r w:rsidRPr="00DD0966">
                    <w:t>gazetarisë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së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sotme</w:t>
                  </w:r>
                  <w:proofErr w:type="spellEnd"/>
                  <w:r w:rsidRPr="00DD0966">
                    <w:t xml:space="preserve">. </w:t>
                  </w:r>
                  <w:proofErr w:type="spellStart"/>
                  <w:r w:rsidRPr="00DD0966">
                    <w:t>Tiranë</w:t>
                  </w:r>
                  <w:proofErr w:type="spellEnd"/>
                </w:p>
                <w:p w14:paraId="08B25DF3" w14:textId="77777777" w:rsidR="00A11D86" w:rsidRPr="00DD0966" w:rsidRDefault="00A11D86" w:rsidP="00A11D86">
                  <w:proofErr w:type="spellStart"/>
                  <w:r w:rsidRPr="00DD0966">
                    <w:t>Lamberth</w:t>
                  </w:r>
                  <w:proofErr w:type="spellEnd"/>
                  <w:r w:rsidRPr="00DD0966">
                    <w:t xml:space="preserve">, Edmund B. (1998): </w:t>
                  </w:r>
                  <w:proofErr w:type="spellStart"/>
                  <w:r w:rsidRPr="00DD0966">
                    <w:t>Gazetaria</w:t>
                  </w:r>
                  <w:proofErr w:type="spellEnd"/>
                  <w:r w:rsidRPr="00DD0966">
                    <w:t xml:space="preserve"> me </w:t>
                  </w:r>
                  <w:proofErr w:type="spellStart"/>
                  <w:r w:rsidRPr="00DD0966">
                    <w:t>perkushtim</w:t>
                  </w:r>
                  <w:proofErr w:type="spellEnd"/>
                  <w:r w:rsidRPr="00DD0966">
                    <w:t xml:space="preserve">. </w:t>
                  </w:r>
                  <w:proofErr w:type="spellStart"/>
                  <w:r w:rsidRPr="00DD0966">
                    <w:t>Etike</w:t>
                  </w:r>
                  <w:proofErr w:type="spellEnd"/>
                  <w:r w:rsidRPr="00DD0966">
                    <w:t xml:space="preserve"> per </w:t>
                  </w:r>
                  <w:proofErr w:type="spellStart"/>
                  <w:r w:rsidRPr="00DD0966">
                    <w:t>profesionin</w:t>
                  </w:r>
                  <w:proofErr w:type="spellEnd"/>
                  <w:r w:rsidRPr="00DD0966">
                    <w:t xml:space="preserve">. </w:t>
                  </w:r>
                  <w:proofErr w:type="spellStart"/>
                  <w:r w:rsidRPr="00DD0966">
                    <w:t>Dituria</w:t>
                  </w:r>
                  <w:proofErr w:type="spellEnd"/>
                  <w:r w:rsidRPr="00DD0966">
                    <w:t>.</w:t>
                  </w:r>
                </w:p>
                <w:p w14:paraId="3DCAE7CD" w14:textId="77777777" w:rsidR="00A11D86" w:rsidRPr="00DD0966" w:rsidRDefault="00A11D86" w:rsidP="00A11D86">
                  <w:proofErr w:type="spellStart"/>
                  <w:r w:rsidRPr="00DD0966">
                    <w:t>Koronel</w:t>
                  </w:r>
                  <w:proofErr w:type="spellEnd"/>
                  <w:r w:rsidRPr="00DD0966">
                    <w:t xml:space="preserve">, </w:t>
                  </w:r>
                  <w:proofErr w:type="spellStart"/>
                  <w:r w:rsidRPr="00DD0966">
                    <w:t>Shilla</w:t>
                  </w:r>
                  <w:proofErr w:type="spellEnd"/>
                  <w:r w:rsidRPr="00DD0966">
                    <w:t xml:space="preserve"> S. (2009): </w:t>
                  </w:r>
                  <w:proofErr w:type="spellStart"/>
                  <w:r w:rsidRPr="00DD0966">
                    <w:t>Të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gërmosh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më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thellë</w:t>
                  </w:r>
                  <w:proofErr w:type="spellEnd"/>
                  <w:r w:rsidRPr="00DD0966">
                    <w:t xml:space="preserve">. </w:t>
                  </w:r>
                  <w:proofErr w:type="spellStart"/>
                  <w:r w:rsidRPr="00DD0966">
                    <w:t>Udhëzues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për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gazetaret</w:t>
                  </w:r>
                  <w:proofErr w:type="spellEnd"/>
                  <w:r w:rsidRPr="00DD0966">
                    <w:t xml:space="preserve"> </w:t>
                  </w:r>
                  <w:proofErr w:type="spellStart"/>
                  <w:r w:rsidRPr="00DD0966">
                    <w:t>hulumtues</w:t>
                  </w:r>
                  <w:proofErr w:type="spellEnd"/>
                  <w:r w:rsidRPr="00DD0966">
                    <w:t xml:space="preserve"> ne </w:t>
                  </w:r>
                  <w:proofErr w:type="spellStart"/>
                  <w:r w:rsidRPr="00DD0966">
                    <w:t>Ballkan</w:t>
                  </w:r>
                  <w:proofErr w:type="spellEnd"/>
                  <w:r w:rsidRPr="00DD0966">
                    <w:t>. BIRN</w:t>
                  </w:r>
                </w:p>
                <w:p w14:paraId="2C2B89FA" w14:textId="77777777" w:rsidR="00A11D86" w:rsidRPr="00191B91" w:rsidRDefault="00A11D86" w:rsidP="00A11D86">
                  <w:pPr>
                    <w:rPr>
                      <w:b/>
                      <w:bCs/>
                      <w:lang w:val="sq-AL"/>
                    </w:rPr>
                  </w:pPr>
                  <w:r w:rsidRPr="00191B91">
                    <w:rPr>
                      <w:b/>
                      <w:bCs/>
                    </w:rPr>
                    <w:t>Patterson, Philip &amp; Wilkins, Lee (2009): Etika n</w:t>
                  </w:r>
                  <w:r w:rsidRPr="00191B91">
                    <w:rPr>
                      <w:b/>
                      <w:bCs/>
                      <w:lang w:val="sq-AL"/>
                    </w:rPr>
                    <w:t xml:space="preserve">ë Media. Çështje dhe raste. Botimi i gjashtë. Shtëpia botuese UFO. Tiranë </w:t>
                  </w:r>
                </w:p>
                <w:p w14:paraId="1D5901E1" w14:textId="77777777" w:rsidR="00A11D86" w:rsidRPr="00DD0966" w:rsidRDefault="00A11D86" w:rsidP="00A11D86">
                  <w:pPr>
                    <w:rPr>
                      <w:lang w:val="sq-AL"/>
                    </w:rPr>
                  </w:pPr>
                  <w:r w:rsidRPr="00DD0966">
                    <w:rPr>
                      <w:lang w:val="sq-AL"/>
                    </w:rPr>
                    <w:t>Save the Chidren Kosovo, Thornfinn, Helena: Fëmijët etika media</w:t>
                  </w:r>
                </w:p>
                <w:p w14:paraId="433C4EC6" w14:textId="7AA9E835" w:rsidR="00E569A5" w:rsidRPr="00E569A5" w:rsidRDefault="00A11D86" w:rsidP="00A11D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DD0966">
                    <w:rPr>
                      <w:lang w:val="sq-AL"/>
                    </w:rPr>
                    <w:t>Save the Children Kosovo (2015): Raportimi p</w:t>
                  </w:r>
                  <w:proofErr w:type="spellStart"/>
                  <w:r w:rsidRPr="00DD0966">
                    <w:rPr>
                      <w:lang w:val="it-IT"/>
                    </w:rPr>
                    <w:t>ër</w:t>
                  </w:r>
                  <w:proofErr w:type="spellEnd"/>
                  <w:r w:rsidRPr="00DD0966">
                    <w:rPr>
                      <w:lang w:val="it-IT"/>
                    </w:rPr>
                    <w:t xml:space="preserve"> </w:t>
                  </w:r>
                  <w:proofErr w:type="spellStart"/>
                  <w:r w:rsidRPr="00DD0966">
                    <w:rPr>
                      <w:lang w:val="it-IT"/>
                    </w:rPr>
                    <w:t>fëmijët</w:t>
                  </w:r>
                  <w:proofErr w:type="spellEnd"/>
                  <w:r w:rsidRPr="00DD0966">
                    <w:rPr>
                      <w:lang w:val="it-IT"/>
                    </w:rPr>
                    <w:t xml:space="preserve"> </w:t>
                  </w:r>
                  <w:proofErr w:type="spellStart"/>
                  <w:r w:rsidRPr="00DD0966">
                    <w:rPr>
                      <w:lang w:val="it-IT"/>
                    </w:rPr>
                    <w:t>në</w:t>
                  </w:r>
                  <w:proofErr w:type="spellEnd"/>
                  <w:r w:rsidRPr="00DD0966">
                    <w:rPr>
                      <w:lang w:val="it-IT"/>
                    </w:rPr>
                    <w:t xml:space="preserve"> medi</w:t>
                  </w:r>
                  <w:r>
                    <w:rPr>
                      <w:lang w:val="it-IT"/>
                    </w:rPr>
                    <w:t>a</w:t>
                  </w:r>
                </w:p>
              </w:tc>
            </w:tr>
          </w:tbl>
          <w:p w14:paraId="4D636E0E" w14:textId="77777777" w:rsidR="00EF620E" w:rsidRPr="006B1FCD" w:rsidRDefault="00EF620E" w:rsidP="002E0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1B91" w:rsidRPr="006B1FCD" w14:paraId="3FE9A5B1" w14:textId="77777777" w:rsidTr="00B157E6">
        <w:trPr>
          <w:gridAfter w:val="1"/>
          <w:wAfter w:w="2374" w:type="dxa"/>
          <w:trHeight w:val="2060"/>
        </w:trPr>
        <w:tc>
          <w:tcPr>
            <w:tcW w:w="3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BA4298" w14:textId="77777777" w:rsidR="00191B91" w:rsidRDefault="00191B91" w:rsidP="00191B9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B1FCD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6B1FCD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  <w:p w14:paraId="51DC59CD" w14:textId="77777777" w:rsidR="00191B91" w:rsidRPr="00AC6E5C" w:rsidRDefault="00191B91" w:rsidP="00191B91">
            <w:pPr>
              <w:rPr>
                <w:rFonts w:ascii="Times New Roman" w:hAnsi="Times New Roman" w:cs="Times New Roman"/>
                <w:szCs w:val="24"/>
              </w:rPr>
            </w:pPr>
          </w:p>
          <w:p w14:paraId="4BBA4075" w14:textId="77777777" w:rsidR="00191B91" w:rsidRDefault="00191B91" w:rsidP="00191B91">
            <w:pPr>
              <w:rPr>
                <w:rFonts w:ascii="Times New Roman" w:hAnsi="Times New Roman" w:cs="Times New Roman"/>
                <w:szCs w:val="24"/>
              </w:rPr>
            </w:pPr>
          </w:p>
          <w:p w14:paraId="6441E43C" w14:textId="0D6DE36B" w:rsidR="00191B91" w:rsidRPr="00AC6E5C" w:rsidRDefault="00191B91" w:rsidP="00191B9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5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94D6E3" w14:textId="77777777" w:rsidR="00191B91" w:rsidRPr="00DD0966" w:rsidRDefault="00191B91" w:rsidP="00191B91">
            <w:proofErr w:type="spellStart"/>
            <w:r w:rsidRPr="00DD0966">
              <w:t>Arant</w:t>
            </w:r>
            <w:proofErr w:type="spellEnd"/>
            <w:r w:rsidRPr="00DD0966">
              <w:t xml:space="preserve">, David (ed.) (1999): </w:t>
            </w:r>
            <w:r w:rsidRPr="00DD0966">
              <w:rPr>
                <w:bCs/>
                <w:i/>
              </w:rPr>
              <w:t>Ethics, Issues and Controversies in Mass Media.</w:t>
            </w:r>
            <w:r w:rsidRPr="00DD0966">
              <w:t xml:space="preserve"> </w:t>
            </w:r>
            <w:proofErr w:type="spellStart"/>
            <w:r w:rsidRPr="00DD0966">
              <w:t>Coulder</w:t>
            </w:r>
            <w:proofErr w:type="spellEnd"/>
            <w:r w:rsidRPr="00DD0966">
              <w:t xml:space="preserve">, CO.: </w:t>
            </w:r>
            <w:proofErr w:type="spellStart"/>
            <w:r w:rsidRPr="00DD0966">
              <w:t>Coursewise</w:t>
            </w:r>
            <w:proofErr w:type="spellEnd"/>
            <w:r w:rsidRPr="00DD0966">
              <w:t xml:space="preserve"> Publishing.</w:t>
            </w:r>
          </w:p>
          <w:p w14:paraId="65048DEA" w14:textId="77777777" w:rsidR="00191B91" w:rsidRPr="00DD0966" w:rsidRDefault="00191B91" w:rsidP="00191B91">
            <w:r w:rsidRPr="00DD0966">
              <w:t xml:space="preserve">Bernays, Edwards (2005): Propaganda. Die Kunst der Public Relations. Orange Press. </w:t>
            </w:r>
          </w:p>
          <w:p w14:paraId="7AC546D6" w14:textId="77777777" w:rsidR="00191B91" w:rsidRPr="00DD0966" w:rsidRDefault="00191B91" w:rsidP="00191B91">
            <w:r w:rsidRPr="00DD0966">
              <w:t>Black, Jay, B. Steele and R. Barney (1999):</w:t>
            </w:r>
            <w:r w:rsidRPr="00DD0966">
              <w:rPr>
                <w:bCs/>
                <w:i/>
              </w:rPr>
              <w:t>Doing Ethics in Journalism. A Handbook with Case Studies</w:t>
            </w:r>
            <w:r w:rsidRPr="00DD0966">
              <w:rPr>
                <w:b/>
                <w:bCs/>
              </w:rPr>
              <w:t>.</w:t>
            </w:r>
            <w:r w:rsidRPr="00DD0966">
              <w:t xml:space="preserve"> (3</w:t>
            </w:r>
            <w:r w:rsidRPr="00DD0966">
              <w:rPr>
                <w:vertAlign w:val="superscript"/>
              </w:rPr>
              <w:t>rd</w:t>
            </w:r>
            <w:r w:rsidRPr="00DD0966">
              <w:t xml:space="preserve"> edition) Boston. Allyn &amp; Bacon.</w:t>
            </w:r>
          </w:p>
          <w:p w14:paraId="7D3B711B" w14:textId="77777777" w:rsidR="00191B91" w:rsidRPr="00DD0966" w:rsidRDefault="00191B91" w:rsidP="00191B91">
            <w:r w:rsidRPr="00DD0966">
              <w:t>Chadwick, Ruth (ed.) (2001):</w:t>
            </w:r>
            <w:r w:rsidRPr="00DD0966">
              <w:rPr>
                <w:i/>
              </w:rPr>
              <w:t xml:space="preserve">The concise encyclopedia </w:t>
            </w:r>
            <w:r>
              <w:rPr>
                <w:i/>
              </w:rPr>
              <w:t xml:space="preserve">of </w:t>
            </w:r>
            <w:r w:rsidRPr="00DD0966">
              <w:rPr>
                <w:i/>
              </w:rPr>
              <w:t>Ethics in Politics and the Media.</w:t>
            </w:r>
            <w:r w:rsidRPr="00DD0966">
              <w:t xml:space="preserve"> Academic Press.</w:t>
            </w:r>
          </w:p>
          <w:p w14:paraId="6C6F1244" w14:textId="77777777" w:rsidR="00191B91" w:rsidRPr="00DD0966" w:rsidRDefault="00191B91" w:rsidP="00191B91">
            <w:pPr>
              <w:autoSpaceDE w:val="0"/>
              <w:autoSpaceDN w:val="0"/>
              <w:adjustRightInd w:val="0"/>
            </w:pPr>
            <w:r w:rsidRPr="00DD0966">
              <w:t xml:space="preserve">Christians, Clifford G., Mark Fackler, Kim B. </w:t>
            </w:r>
            <w:proofErr w:type="spellStart"/>
            <w:r w:rsidRPr="00DD0966">
              <w:t>Rotzoll</w:t>
            </w:r>
            <w:proofErr w:type="spellEnd"/>
            <w:r w:rsidRPr="00DD0966">
              <w:t xml:space="preserve"> and Kathy </w:t>
            </w:r>
            <w:proofErr w:type="spellStart"/>
            <w:r w:rsidRPr="00DD0966">
              <w:t>Brittain</w:t>
            </w:r>
            <w:proofErr w:type="spellEnd"/>
            <w:r w:rsidRPr="00DD0966">
              <w:t xml:space="preserve"> McKee. (2001): </w:t>
            </w:r>
            <w:r w:rsidRPr="00DD0966">
              <w:rPr>
                <w:i/>
                <w:iCs/>
              </w:rPr>
              <w:t xml:space="preserve">Media Ethics. Cases &amp; Moral Reasoning </w:t>
            </w:r>
            <w:r w:rsidRPr="00DD0966">
              <w:t xml:space="preserve">(6th edition). New York. Longman. </w:t>
            </w:r>
          </w:p>
          <w:p w14:paraId="7C1CA579" w14:textId="77777777" w:rsidR="00191B91" w:rsidRPr="00DD0966" w:rsidRDefault="00191B91" w:rsidP="00191B91">
            <w:pPr>
              <w:autoSpaceDE w:val="0"/>
              <w:autoSpaceDN w:val="0"/>
              <w:adjustRightInd w:val="0"/>
            </w:pPr>
            <w:r w:rsidRPr="00DD0966">
              <w:t xml:space="preserve">Chomsky, </w:t>
            </w:r>
            <w:proofErr w:type="spellStart"/>
            <w:r w:rsidRPr="00DD0966">
              <w:t>Naom</w:t>
            </w:r>
            <w:proofErr w:type="spellEnd"/>
            <w:r w:rsidRPr="00DD0966">
              <w:t xml:space="preserve"> (2002): Media Control. The spectacular Achievements of Propaganda. 2</w:t>
            </w:r>
            <w:r w:rsidRPr="00DD0966">
              <w:rPr>
                <w:vertAlign w:val="superscript"/>
              </w:rPr>
              <w:t>nd</w:t>
            </w:r>
            <w:r w:rsidRPr="00DD0966">
              <w:t xml:space="preserve"> Edition. An </w:t>
            </w:r>
            <w:proofErr w:type="spellStart"/>
            <w:r w:rsidRPr="00DD0966">
              <w:t>OpenMedia</w:t>
            </w:r>
            <w:proofErr w:type="spellEnd"/>
            <w:r w:rsidRPr="00DD0966">
              <w:t xml:space="preserve"> Book. Seven stories Press. USA</w:t>
            </w:r>
          </w:p>
          <w:p w14:paraId="72050D03" w14:textId="77777777" w:rsidR="00191B91" w:rsidRPr="00DD0966" w:rsidRDefault="00191B91" w:rsidP="00191B91">
            <w:pPr>
              <w:autoSpaceDE w:val="0"/>
              <w:autoSpaceDN w:val="0"/>
              <w:adjustRightInd w:val="0"/>
            </w:pPr>
            <w:proofErr w:type="spellStart"/>
            <w:r w:rsidRPr="00DD0966">
              <w:t>Forst</w:t>
            </w:r>
            <w:proofErr w:type="spellEnd"/>
            <w:r w:rsidRPr="00DD0966">
              <w:t xml:space="preserve">, Chris (2000): </w:t>
            </w:r>
            <w:r w:rsidRPr="00DD0966">
              <w:rPr>
                <w:i/>
              </w:rPr>
              <w:t>Media ethics and self – regulation.</w:t>
            </w:r>
            <w:r w:rsidRPr="00DD0966">
              <w:t xml:space="preserve"> Pearson Education Ltd. England.</w:t>
            </w:r>
          </w:p>
          <w:p w14:paraId="46D1283F" w14:textId="77777777" w:rsidR="00191B91" w:rsidRPr="00DD0966" w:rsidRDefault="00191B91" w:rsidP="00191B91">
            <w:pPr>
              <w:rPr>
                <w:i/>
              </w:rPr>
            </w:pPr>
            <w:r w:rsidRPr="00DD0966">
              <w:t xml:space="preserve">Hammond, Philip &amp; Herman, S. Edward (2001): </w:t>
            </w:r>
            <w:r w:rsidRPr="00DD0966">
              <w:rPr>
                <w:i/>
              </w:rPr>
              <w:t>Degraded Capability the Media and the Kosovo Crisis</w:t>
            </w:r>
            <w:r w:rsidRPr="00DD0966">
              <w:t xml:space="preserve">. </w:t>
            </w:r>
          </w:p>
          <w:p w14:paraId="6101D1FA" w14:textId="77777777" w:rsidR="00191B91" w:rsidRPr="00DD0966" w:rsidRDefault="00191B91" w:rsidP="00191B91">
            <w:proofErr w:type="spellStart"/>
            <w:r w:rsidRPr="00DD0966">
              <w:t>Hargeraves</w:t>
            </w:r>
            <w:proofErr w:type="spellEnd"/>
            <w:r w:rsidRPr="00DD0966">
              <w:t xml:space="preserve">, Ian (2003): </w:t>
            </w:r>
            <w:r w:rsidRPr="00DD0966">
              <w:rPr>
                <w:i/>
              </w:rPr>
              <w:t>Journalism Truth or dare</w:t>
            </w:r>
            <w:r w:rsidRPr="00DD0966">
              <w:t>. Oxford University Press.</w:t>
            </w:r>
          </w:p>
          <w:p w14:paraId="1DE13C8A" w14:textId="77777777" w:rsidR="00191B91" w:rsidRPr="00DD0966" w:rsidRDefault="00191B91" w:rsidP="00191B91">
            <w:proofErr w:type="spellStart"/>
            <w:r w:rsidRPr="00DD0966">
              <w:rPr>
                <w:lang w:val="it-IT"/>
              </w:rPr>
              <w:t>Kieran</w:t>
            </w:r>
            <w:proofErr w:type="spellEnd"/>
            <w:r w:rsidRPr="00DD0966">
              <w:rPr>
                <w:lang w:val="it-IT"/>
              </w:rPr>
              <w:t xml:space="preserve">, Matthew (Ed. 2003): </w:t>
            </w:r>
            <w:r w:rsidRPr="00DD0966">
              <w:rPr>
                <w:i/>
                <w:lang w:val="it-IT"/>
              </w:rPr>
              <w:t>Media ethics.</w:t>
            </w:r>
            <w:r w:rsidRPr="00DD0966">
              <w:t>Routledge London and New York.</w:t>
            </w:r>
          </w:p>
          <w:p w14:paraId="6E2A8734" w14:textId="77777777" w:rsidR="00191B91" w:rsidRPr="00DD0966" w:rsidRDefault="00191B91" w:rsidP="00191B91">
            <w:r w:rsidRPr="00DD0966">
              <w:t xml:space="preserve">Limburg, Val E. (1994): </w:t>
            </w:r>
            <w:r w:rsidRPr="00DD0966">
              <w:rPr>
                <w:bCs/>
                <w:i/>
              </w:rPr>
              <w:t>Electronic Media Ethics</w:t>
            </w:r>
            <w:r w:rsidRPr="00DD0966">
              <w:rPr>
                <w:b/>
                <w:bCs/>
              </w:rPr>
              <w:t>.</w:t>
            </w:r>
            <w:r w:rsidRPr="00DD0966">
              <w:t xml:space="preserve"> Boston: Focal </w:t>
            </w:r>
            <w:proofErr w:type="spellStart"/>
            <w:r w:rsidRPr="00DD0966">
              <w:t>Presstimi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IItë</w:t>
            </w:r>
            <w:proofErr w:type="spellEnd"/>
            <w:r w:rsidRPr="00DD0966">
              <w:t xml:space="preserve">. </w:t>
            </w:r>
            <w:proofErr w:type="spellStart"/>
            <w:r w:rsidRPr="00DD0966">
              <w:t>Shtëpia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botuese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Dituria</w:t>
            </w:r>
            <w:proofErr w:type="spellEnd"/>
            <w:r w:rsidRPr="00DD0966">
              <w:t xml:space="preserve">. </w:t>
            </w:r>
            <w:proofErr w:type="spellStart"/>
            <w:r w:rsidRPr="00DD0966">
              <w:t>Tiranë</w:t>
            </w:r>
            <w:proofErr w:type="spellEnd"/>
            <w:r w:rsidRPr="00DD0966">
              <w:t xml:space="preserve">. </w:t>
            </w:r>
          </w:p>
          <w:p w14:paraId="7091C4DB" w14:textId="77777777" w:rsidR="00191B91" w:rsidRPr="00DD0966" w:rsidRDefault="00191B91" w:rsidP="00191B91">
            <w:r w:rsidRPr="00DD0966">
              <w:t>Lynch, Dianne (ed.) (1999</w:t>
            </w:r>
            <w:r w:rsidRPr="00DD0966">
              <w:rPr>
                <w:i/>
              </w:rPr>
              <w:t>)</w:t>
            </w:r>
            <w:r w:rsidRPr="00DD0966">
              <w:rPr>
                <w:bCs/>
                <w:i/>
              </w:rPr>
              <w:t xml:space="preserve"> Stand! Virtual Ethics: Debating Media Values in a Digital Age</w:t>
            </w:r>
            <w:r w:rsidRPr="00DD0966">
              <w:rPr>
                <w:b/>
                <w:bCs/>
              </w:rPr>
              <w:t>.</w:t>
            </w:r>
            <w:r w:rsidRPr="00DD0966">
              <w:t xml:space="preserve"> Boulder, CO.: </w:t>
            </w:r>
            <w:proofErr w:type="spellStart"/>
            <w:r w:rsidRPr="00DD0966">
              <w:t>Coursewise</w:t>
            </w:r>
            <w:proofErr w:type="spellEnd"/>
            <w:r w:rsidRPr="00DD0966">
              <w:t xml:space="preserve"> Publishing.</w:t>
            </w:r>
          </w:p>
          <w:p w14:paraId="04D6CFAC" w14:textId="233A0636" w:rsidR="00191B91" w:rsidRPr="006B1FCD" w:rsidRDefault="00191B91" w:rsidP="00191B91">
            <w:pPr>
              <w:pStyle w:val="NoSpacing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DD0966">
              <w:rPr>
                <w:lang w:val="sq-AL"/>
              </w:rPr>
              <w:t xml:space="preserve">Stapf, Ingried (2006): </w:t>
            </w:r>
            <w:proofErr w:type="spellStart"/>
            <w:r w:rsidRPr="00DD0966">
              <w:rPr>
                <w:i/>
              </w:rPr>
              <w:t>Medien-Selbstkontrolle</w:t>
            </w:r>
            <w:proofErr w:type="spellEnd"/>
            <w:r w:rsidRPr="00DD0966">
              <w:rPr>
                <w:i/>
              </w:rPr>
              <w:t xml:space="preserve">. </w:t>
            </w:r>
            <w:proofErr w:type="spellStart"/>
            <w:r w:rsidRPr="00DD0966">
              <w:rPr>
                <w:i/>
              </w:rPr>
              <w:t>Ethik</w:t>
            </w:r>
            <w:proofErr w:type="spellEnd"/>
            <w:r w:rsidRPr="00DD0966">
              <w:rPr>
                <w:i/>
              </w:rPr>
              <w:t xml:space="preserve"> und </w:t>
            </w:r>
            <w:proofErr w:type="spellStart"/>
            <w:r w:rsidRPr="00DD0966">
              <w:rPr>
                <w:i/>
              </w:rPr>
              <w:t>Institutionalisierung</w:t>
            </w:r>
            <w:proofErr w:type="spellEnd"/>
            <w:r w:rsidRPr="00DD0966">
              <w:t>. UVK Konstanz.</w:t>
            </w:r>
          </w:p>
        </w:tc>
      </w:tr>
    </w:tbl>
    <w:p w14:paraId="01865796" w14:textId="77777777" w:rsidR="0062712C" w:rsidRPr="006B1FCD" w:rsidRDefault="0062712C" w:rsidP="0062712C">
      <w:pPr>
        <w:pStyle w:val="NoSpacing"/>
        <w:rPr>
          <w:rFonts w:ascii="Times New Roman" w:hAnsi="Times New Roman" w:cs="Times New Roman"/>
          <w:szCs w:val="24"/>
          <w:lang w:val="sq-AL"/>
        </w:rPr>
      </w:pPr>
      <w:r w:rsidRPr="006B1FCD">
        <w:rPr>
          <w:rFonts w:ascii="Times New Roman" w:hAnsi="Times New Roman" w:cs="Times New Roman"/>
          <w:szCs w:val="24"/>
          <w:lang w:val="sq-AL"/>
        </w:rPr>
        <w:t xml:space="preserve"> </w:t>
      </w: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092"/>
        <w:gridCol w:w="7438"/>
      </w:tblGrid>
      <w:tr w:rsidR="0062712C" w:rsidRPr="006B1FCD" w14:paraId="797FEE3D" w14:textId="77777777" w:rsidTr="004708DA">
        <w:trPr>
          <w:trHeight w:val="340"/>
        </w:trPr>
        <w:tc>
          <w:tcPr>
            <w:tcW w:w="309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CC5D702" w14:textId="77777777" w:rsidR="004708DA" w:rsidRPr="00D453EA" w:rsidRDefault="004708DA" w:rsidP="004708DA">
            <w:pPr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 xml:space="preserve">Plani i dizejnuar i mësimit:  </w:t>
            </w:r>
          </w:p>
          <w:p w14:paraId="19DAD8A1" w14:textId="06C9F4ED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BB568BC" w14:textId="77777777" w:rsidR="0062712C" w:rsidRPr="006B1FCD" w:rsidRDefault="0062712C" w:rsidP="004E64D4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712C" w:rsidRPr="006B1FCD" w14:paraId="15F2EDFD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E39F02" w14:textId="77777777" w:rsidR="0062712C" w:rsidRPr="006B1FCD" w:rsidRDefault="0062712C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657EB84" w14:textId="7435E260" w:rsidR="0062712C" w:rsidRPr="006B1FCD" w:rsidRDefault="004708DA" w:rsidP="004E64D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D453EA">
              <w:rPr>
                <w:b/>
                <w:lang w:val="sq-AL"/>
              </w:rPr>
              <w:t>Ligjërata që do të zhvillohet</w:t>
            </w:r>
          </w:p>
        </w:tc>
      </w:tr>
      <w:tr w:rsidR="004708DA" w:rsidRPr="00B157E6" w14:paraId="3C9F2B6C" w14:textId="77777777" w:rsidTr="004708DA">
        <w:trPr>
          <w:trHeight w:val="503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A0BDE1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3677CF" w14:textId="2685541B" w:rsidR="004708DA" w:rsidRPr="006B1FCD" w:rsidRDefault="004708DA" w:rsidP="004708DA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>
              <w:t>Prezantimi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</w:p>
        </w:tc>
      </w:tr>
      <w:tr w:rsidR="004708DA" w:rsidRPr="00E569A5" w14:paraId="3D073CD6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151A54D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lastRenderedPageBreak/>
              <w:t>Java 2: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3F575B" w14:textId="18F8E9D1" w:rsidR="004708DA" w:rsidRPr="00E569A5" w:rsidRDefault="004708DA" w:rsidP="004708DA">
            <w:pPr>
              <w:rPr>
                <w:rFonts w:ascii="Times New Roman" w:hAnsi="Times New Roman" w:cs="Times New Roman"/>
                <w:szCs w:val="24"/>
                <w:lang w:val="es-VE"/>
              </w:rPr>
            </w:pPr>
            <w:proofErr w:type="spellStart"/>
            <w:r w:rsidRPr="00276BD4">
              <w:t>Hyrje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në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etikën</w:t>
            </w:r>
            <w:proofErr w:type="spellEnd"/>
            <w:r w:rsidRPr="00276BD4">
              <w:t xml:space="preserve"> e medias</w:t>
            </w:r>
          </w:p>
        </w:tc>
      </w:tr>
      <w:tr w:rsidR="004708DA" w:rsidRPr="00B157E6" w14:paraId="6684D70E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B5C478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3F0A8F" w14:textId="3D25F6BB" w:rsidR="004708DA" w:rsidRPr="00E569A5" w:rsidRDefault="004708DA" w:rsidP="004708DA">
            <w:pPr>
              <w:rPr>
                <w:rFonts w:ascii="Times New Roman" w:hAnsi="Times New Roman" w:cs="Times New Roman"/>
                <w:szCs w:val="24"/>
                <w:lang w:val="es-VE"/>
              </w:rPr>
            </w:pPr>
            <w:r w:rsidRPr="00276BD4">
              <w:t xml:space="preserve">Etika </w:t>
            </w:r>
            <w:proofErr w:type="spellStart"/>
            <w:r w:rsidRPr="00276BD4">
              <w:t>dhe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të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drejtat</w:t>
            </w:r>
            <w:proofErr w:type="spellEnd"/>
            <w:r w:rsidRPr="00276BD4">
              <w:t xml:space="preserve"> e </w:t>
            </w:r>
            <w:proofErr w:type="spellStart"/>
            <w:r w:rsidRPr="00276BD4">
              <w:t>njeriut</w:t>
            </w:r>
            <w:proofErr w:type="spellEnd"/>
            <w:r w:rsidRPr="00276BD4">
              <w:t xml:space="preserve"> </w:t>
            </w:r>
          </w:p>
        </w:tc>
      </w:tr>
      <w:tr w:rsidR="004708DA" w:rsidRPr="00B157E6" w14:paraId="1E6349DB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13B1C64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BCD5D0" w14:textId="1E5B7D2A" w:rsidR="004708DA" w:rsidRPr="00B157E6" w:rsidRDefault="004708DA" w:rsidP="004708DA">
            <w:pPr>
              <w:rPr>
                <w:rFonts w:ascii="Times New Roman" w:hAnsi="Times New Roman" w:cs="Times New Roman"/>
                <w:szCs w:val="24"/>
                <w:lang w:val="es-VE"/>
              </w:rPr>
            </w:pPr>
            <w:proofErr w:type="spellStart"/>
            <w:r w:rsidRPr="00276BD4">
              <w:t>Legjilacioni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i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mediave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në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Kosovë</w:t>
            </w:r>
            <w:proofErr w:type="spellEnd"/>
          </w:p>
        </w:tc>
      </w:tr>
      <w:tr w:rsidR="004708DA" w:rsidRPr="00E569A5" w14:paraId="6870565B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15205C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F876667" w14:textId="67BBDF23" w:rsidR="004708DA" w:rsidRPr="00E569A5" w:rsidRDefault="004708DA" w:rsidP="004708D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76BD4">
              <w:t>Trajtimi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i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grupeve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të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margjinalizuara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në</w:t>
            </w:r>
            <w:proofErr w:type="spellEnd"/>
            <w:r w:rsidRPr="00276BD4">
              <w:t xml:space="preserve"> media</w:t>
            </w:r>
          </w:p>
        </w:tc>
      </w:tr>
      <w:tr w:rsidR="004708DA" w:rsidRPr="006B1FCD" w14:paraId="005CBD76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8ADD233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F65D301" w14:textId="2C26F1AF" w:rsidR="004708DA" w:rsidRPr="006B1FCD" w:rsidRDefault="004708DA" w:rsidP="004708D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76BD4">
              <w:t>Hulumtimi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dhe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rëndësia</w:t>
            </w:r>
            <w:proofErr w:type="spellEnd"/>
            <w:r w:rsidRPr="00276BD4">
              <w:t xml:space="preserve"> e </w:t>
            </w:r>
            <w:proofErr w:type="spellStart"/>
            <w:r w:rsidRPr="00276BD4">
              <w:t>etikës</w:t>
            </w:r>
            <w:proofErr w:type="spellEnd"/>
          </w:p>
        </w:tc>
      </w:tr>
      <w:tr w:rsidR="004708DA" w:rsidRPr="00E569A5" w14:paraId="4E023A36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DD0128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982123B" w14:textId="7CA6EAF0" w:rsidR="004708DA" w:rsidRPr="00E569A5" w:rsidRDefault="004708DA" w:rsidP="004708DA">
            <w:pPr>
              <w:rPr>
                <w:rFonts w:ascii="Times New Roman" w:hAnsi="Times New Roman" w:cs="Times New Roman"/>
                <w:szCs w:val="24"/>
              </w:rPr>
            </w:pPr>
            <w:r w:rsidRPr="00276BD4">
              <w:t xml:space="preserve">Etika, </w:t>
            </w:r>
            <w:proofErr w:type="spellStart"/>
            <w:r w:rsidRPr="00276BD4">
              <w:t>lajmi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dhe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raportimit</w:t>
            </w:r>
            <w:proofErr w:type="spellEnd"/>
            <w:r w:rsidRPr="00276BD4">
              <w:t xml:space="preserve"> live</w:t>
            </w:r>
          </w:p>
        </w:tc>
      </w:tr>
      <w:tr w:rsidR="004708DA" w:rsidRPr="006B1FCD" w14:paraId="6EC279B0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80016F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7C3D4AB" w14:textId="6FC9C9CC" w:rsidR="004708DA" w:rsidRPr="006B1FCD" w:rsidRDefault="004708DA" w:rsidP="004708DA">
            <w:pPr>
              <w:rPr>
                <w:rFonts w:ascii="Times New Roman" w:hAnsi="Times New Roman" w:cs="Times New Roman"/>
                <w:szCs w:val="24"/>
              </w:rPr>
            </w:pPr>
            <w:r w:rsidRPr="00276BD4">
              <w:t xml:space="preserve">Etika e </w:t>
            </w:r>
            <w:r>
              <w:t>PR-it</w:t>
            </w:r>
            <w:r w:rsidRPr="00276BD4">
              <w:t xml:space="preserve"> </w:t>
            </w:r>
            <w:proofErr w:type="spellStart"/>
            <w:r w:rsidRPr="00276BD4">
              <w:t>në</w:t>
            </w:r>
            <w:proofErr w:type="spellEnd"/>
            <w:r w:rsidRPr="00276BD4">
              <w:t xml:space="preserve"> media </w:t>
            </w:r>
          </w:p>
        </w:tc>
      </w:tr>
      <w:tr w:rsidR="004708DA" w:rsidRPr="00E569A5" w14:paraId="33A6A449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C33F69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019465" w14:textId="2B4F8DF2" w:rsidR="004708DA" w:rsidRPr="00E569A5" w:rsidRDefault="004708DA" w:rsidP="004708D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76BD4">
              <w:t>Mbulimi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i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konflikteve</w:t>
            </w:r>
            <w:proofErr w:type="spellEnd"/>
            <w:r w:rsidRPr="00276BD4">
              <w:t xml:space="preserve">, propaganda </w:t>
            </w:r>
            <w:proofErr w:type="spellStart"/>
            <w:r w:rsidRPr="00276BD4">
              <w:t>dhe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cenzura</w:t>
            </w:r>
            <w:proofErr w:type="spellEnd"/>
            <w:r w:rsidRPr="00276BD4">
              <w:t xml:space="preserve"> </w:t>
            </w:r>
          </w:p>
        </w:tc>
      </w:tr>
      <w:tr w:rsidR="004708DA" w:rsidRPr="006B1FCD" w14:paraId="0DF2488E" w14:textId="77777777" w:rsidTr="004708DA">
        <w:trPr>
          <w:trHeight w:val="395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F943D6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es-VE"/>
              </w:rPr>
            </w:pPr>
            <w:r w:rsidRPr="006B1FCD">
              <w:rPr>
                <w:rFonts w:ascii="Times New Roman" w:hAnsi="Times New Roman" w:cs="Times New Roman"/>
                <w:szCs w:val="24"/>
                <w:lang w:val="es-VE"/>
              </w:rPr>
              <w:t>Java 10: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8A35B4C" w14:textId="26055A0D" w:rsidR="004708DA" w:rsidRPr="006B1FCD" w:rsidRDefault="004708DA" w:rsidP="004708DA">
            <w:pPr>
              <w:rPr>
                <w:rFonts w:ascii="Times New Roman" w:hAnsi="Times New Roman" w:cs="Times New Roman"/>
                <w:szCs w:val="24"/>
                <w:lang w:val="es-VE"/>
              </w:rPr>
            </w:pPr>
            <w:r w:rsidRPr="00276BD4">
              <w:t xml:space="preserve">Etika e </w:t>
            </w:r>
            <w:proofErr w:type="spellStart"/>
            <w:r w:rsidRPr="00276BD4">
              <w:t>përdorimit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të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gjuhës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në</w:t>
            </w:r>
            <w:proofErr w:type="spellEnd"/>
            <w:r w:rsidRPr="00276BD4">
              <w:t xml:space="preserve"> media </w:t>
            </w:r>
          </w:p>
        </w:tc>
      </w:tr>
      <w:tr w:rsidR="004708DA" w:rsidRPr="00B157E6" w14:paraId="22EB474E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D6302D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es-VE"/>
              </w:rPr>
            </w:pPr>
            <w:r w:rsidRPr="006B1FCD">
              <w:rPr>
                <w:rFonts w:ascii="Times New Roman" w:hAnsi="Times New Roman" w:cs="Times New Roman"/>
                <w:szCs w:val="24"/>
                <w:lang w:val="es-VE"/>
              </w:rPr>
              <w:t>Java 11: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E02F7DB" w14:textId="142B5A9A" w:rsidR="004708DA" w:rsidRPr="00E569A5" w:rsidRDefault="004708DA" w:rsidP="004708DA">
            <w:pPr>
              <w:rPr>
                <w:rFonts w:ascii="Times New Roman" w:hAnsi="Times New Roman" w:cs="Times New Roman"/>
                <w:szCs w:val="24"/>
                <w:lang w:val="es-VE"/>
              </w:rPr>
            </w:pPr>
            <w:proofErr w:type="spellStart"/>
            <w:r w:rsidRPr="00276BD4">
              <w:t>Zgjedhjet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dhe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etika</w:t>
            </w:r>
            <w:proofErr w:type="spellEnd"/>
            <w:r w:rsidRPr="00276BD4">
              <w:t xml:space="preserve"> e </w:t>
            </w:r>
            <w:proofErr w:type="spellStart"/>
            <w:r w:rsidRPr="00276BD4">
              <w:t>raportimit</w:t>
            </w:r>
            <w:proofErr w:type="spellEnd"/>
            <w:r w:rsidRPr="00276BD4">
              <w:t xml:space="preserve"> të </w:t>
            </w:r>
            <w:proofErr w:type="spellStart"/>
            <w:r w:rsidRPr="00276BD4">
              <w:t>mediave</w:t>
            </w:r>
            <w:proofErr w:type="spellEnd"/>
          </w:p>
        </w:tc>
      </w:tr>
      <w:tr w:rsidR="004708DA" w:rsidRPr="00E569A5" w14:paraId="366FBAB0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71B3E66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es-VE"/>
              </w:rPr>
            </w:pPr>
            <w:r w:rsidRPr="006B1FCD">
              <w:rPr>
                <w:rFonts w:ascii="Times New Roman" w:hAnsi="Times New Roman" w:cs="Times New Roman"/>
                <w:szCs w:val="24"/>
                <w:lang w:val="es-VE"/>
              </w:rPr>
              <w:t xml:space="preserve">Java 12:  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5D681B" w14:textId="44DCCD80" w:rsidR="004708DA" w:rsidRPr="00B157E6" w:rsidRDefault="004708DA" w:rsidP="004708DA">
            <w:pPr>
              <w:rPr>
                <w:rFonts w:ascii="Times New Roman" w:hAnsi="Times New Roman" w:cs="Times New Roman"/>
                <w:szCs w:val="24"/>
              </w:rPr>
            </w:pPr>
            <w:r w:rsidRPr="00276BD4">
              <w:t xml:space="preserve">Etika e </w:t>
            </w:r>
            <w:proofErr w:type="spellStart"/>
            <w:r w:rsidRPr="00276BD4">
              <w:t>të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folurit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në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publik</w:t>
            </w:r>
            <w:proofErr w:type="spellEnd"/>
          </w:p>
        </w:tc>
      </w:tr>
      <w:tr w:rsidR="004708DA" w:rsidRPr="00E569A5" w14:paraId="19741F4D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59B479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es-VE"/>
              </w:rPr>
            </w:pPr>
            <w:r w:rsidRPr="006B1FCD">
              <w:rPr>
                <w:rFonts w:ascii="Times New Roman" w:hAnsi="Times New Roman" w:cs="Times New Roman"/>
                <w:szCs w:val="24"/>
                <w:lang w:val="es-VE"/>
              </w:rPr>
              <w:t xml:space="preserve">Java 13:    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B5D333" w14:textId="65C48190" w:rsidR="004708DA" w:rsidRPr="006B1FCD" w:rsidRDefault="004708DA" w:rsidP="004708DA">
            <w:pPr>
              <w:rPr>
                <w:rFonts w:ascii="Times New Roman" w:hAnsi="Times New Roman" w:cs="Times New Roman"/>
                <w:szCs w:val="24"/>
              </w:rPr>
            </w:pPr>
            <w:r>
              <w:t xml:space="preserve">Etika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kohën</w:t>
            </w:r>
            <w:proofErr w:type="spellEnd"/>
            <w:r>
              <w:t xml:space="preserve"> e </w:t>
            </w:r>
            <w:proofErr w:type="spellStart"/>
            <w:r>
              <w:t>çrregullimit</w:t>
            </w:r>
            <w:proofErr w:type="spellEnd"/>
            <w:r>
              <w:t xml:space="preserve"> </w:t>
            </w:r>
            <w:proofErr w:type="spellStart"/>
            <w:r>
              <w:t>informativ</w:t>
            </w:r>
            <w:proofErr w:type="spellEnd"/>
          </w:p>
        </w:tc>
      </w:tr>
      <w:tr w:rsidR="004708DA" w:rsidRPr="00B157E6" w14:paraId="19E6DEEC" w14:textId="77777777" w:rsidTr="004708DA">
        <w:trPr>
          <w:trHeight w:val="340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6E1834C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es-VE"/>
              </w:rPr>
            </w:pPr>
            <w:r w:rsidRPr="006B1FCD">
              <w:rPr>
                <w:rFonts w:ascii="Times New Roman" w:hAnsi="Times New Roman" w:cs="Times New Roman"/>
                <w:szCs w:val="24"/>
                <w:lang w:val="es-VE"/>
              </w:rPr>
              <w:t xml:space="preserve">Java 14:  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5098958" w14:textId="4E5792DB" w:rsidR="004708DA" w:rsidRPr="006B1FCD" w:rsidRDefault="004708DA" w:rsidP="004708DA">
            <w:pPr>
              <w:rPr>
                <w:rFonts w:ascii="Times New Roman" w:hAnsi="Times New Roman" w:cs="Times New Roman"/>
                <w:szCs w:val="24"/>
                <w:lang w:val="es-VE"/>
              </w:rPr>
            </w:pPr>
            <w:r w:rsidRPr="00276BD4">
              <w:t xml:space="preserve">Etika </w:t>
            </w:r>
            <w:proofErr w:type="spellStart"/>
            <w:r w:rsidRPr="00276BD4">
              <w:t>dhe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drejtësia</w:t>
            </w:r>
            <w:proofErr w:type="spellEnd"/>
            <w:r w:rsidRPr="00276BD4">
              <w:t xml:space="preserve"> </w:t>
            </w:r>
            <w:proofErr w:type="spellStart"/>
            <w:r w:rsidRPr="00276BD4">
              <w:t>tranzicionale</w:t>
            </w:r>
            <w:proofErr w:type="spellEnd"/>
          </w:p>
        </w:tc>
      </w:tr>
      <w:tr w:rsidR="004708DA" w:rsidRPr="00E569A5" w14:paraId="457D9F87" w14:textId="77777777" w:rsidTr="004708DA">
        <w:trPr>
          <w:trHeight w:val="395"/>
        </w:trPr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02B111" w14:textId="77777777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B1FCD">
              <w:rPr>
                <w:rFonts w:ascii="Times New Roman" w:hAnsi="Times New Roman" w:cs="Times New Roman"/>
                <w:szCs w:val="24"/>
                <w:lang w:val="es-VE"/>
              </w:rPr>
              <w:t>Java 1</w:t>
            </w:r>
            <w:r w:rsidRPr="006B1FCD">
              <w:rPr>
                <w:rFonts w:ascii="Times New Roman" w:hAnsi="Times New Roman" w:cs="Times New Roman"/>
                <w:szCs w:val="24"/>
              </w:rPr>
              <w:t xml:space="preserve">5:   </w:t>
            </w:r>
          </w:p>
        </w:tc>
        <w:tc>
          <w:tcPr>
            <w:tcW w:w="7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6D4F07" w14:textId="10A9AAE9" w:rsidR="004708DA" w:rsidRPr="006B1FCD" w:rsidRDefault="004708DA" w:rsidP="004708D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>
              <w:t>Përmbledhje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</w:p>
        </w:tc>
      </w:tr>
      <w:tr w:rsidR="004708DA" w:rsidRPr="006B1FCD" w14:paraId="4C5B3FDA" w14:textId="77777777" w:rsidTr="004E64D4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5DCBAA" w14:textId="19AEA779" w:rsidR="004708DA" w:rsidRPr="006B1FCD" w:rsidRDefault="004708DA" w:rsidP="004708DA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D453EA">
              <w:rPr>
                <w:b/>
                <w:lang w:val="sq-AL"/>
              </w:rPr>
              <w:t>Politikat akademike dhe rregullat e mirësjelljes:</w:t>
            </w:r>
          </w:p>
        </w:tc>
      </w:tr>
      <w:tr w:rsidR="004708DA" w:rsidRPr="006B1FCD" w14:paraId="115CD1D6" w14:textId="77777777" w:rsidTr="00EF620E">
        <w:trPr>
          <w:trHeight w:val="467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2DB8FF" w14:textId="5E0267F1" w:rsidR="004708DA" w:rsidRDefault="004708DA" w:rsidP="004708D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rPr>
                <w:b/>
                <w:bCs/>
                <w:lang w:val="de-DE" w:eastAsia="de-DE"/>
              </w:rPr>
              <w:t>Kopjimi</w:t>
            </w:r>
            <w:proofErr w:type="spellEnd"/>
            <w:r>
              <w:rPr>
                <w:b/>
                <w:bCs/>
                <w:lang w:val="de-DE" w:eastAsia="de-DE"/>
              </w:rPr>
              <w:t xml:space="preserve"> </w:t>
            </w:r>
            <w:proofErr w:type="spellStart"/>
            <w:r>
              <w:rPr>
                <w:b/>
                <w:bCs/>
                <w:lang w:val="de-DE" w:eastAsia="de-DE"/>
              </w:rPr>
              <w:t>dhe</w:t>
            </w:r>
            <w:proofErr w:type="spellEnd"/>
            <w:r>
              <w:rPr>
                <w:b/>
                <w:bCs/>
                <w:lang w:val="de-DE" w:eastAsia="de-DE"/>
              </w:rPr>
              <w:t xml:space="preserve"> </w:t>
            </w:r>
            <w:proofErr w:type="spellStart"/>
            <w:r>
              <w:rPr>
                <w:b/>
                <w:bCs/>
                <w:lang w:val="de-DE" w:eastAsia="de-DE"/>
              </w:rPr>
              <w:t>plagjiatura</w:t>
            </w:r>
            <w:proofErr w:type="spellEnd"/>
            <w:r w:rsidRPr="00702446">
              <w:rPr>
                <w:b/>
                <w:bCs/>
                <w:lang w:val="de-DE" w:eastAsia="de-DE"/>
              </w:rPr>
              <w:t xml:space="preserve">: </w:t>
            </w:r>
            <w:proofErr w:type="spellStart"/>
            <w:r w:rsidRPr="00702446">
              <w:rPr>
                <w:lang w:val="de-DE" w:eastAsia="de-DE"/>
              </w:rPr>
              <w:t>Në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r>
              <w:rPr>
                <w:lang w:val="de-DE" w:eastAsia="de-DE"/>
              </w:rPr>
              <w:t>k</w:t>
            </w:r>
            <w:proofErr w:type="spellStart"/>
            <w:r w:rsidRPr="008E02E0">
              <w:t>ë</w:t>
            </w:r>
            <w:r>
              <w:t>t</w:t>
            </w:r>
            <w:r w:rsidRPr="008E02E0">
              <w:t>ë</w:t>
            </w:r>
            <w:proofErr w:type="spellEnd"/>
            <w:r>
              <w:t xml:space="preserve"> </w:t>
            </w:r>
            <w:proofErr w:type="spellStart"/>
            <w:r w:rsidRPr="00702446">
              <w:rPr>
                <w:lang w:val="de-DE" w:eastAsia="de-DE"/>
              </w:rPr>
              <w:t>lë</w:t>
            </w:r>
            <w:r>
              <w:rPr>
                <w:lang w:val="de-DE" w:eastAsia="de-DE"/>
              </w:rPr>
              <w:t>ndë</w:t>
            </w:r>
            <w:proofErr w:type="spellEnd"/>
            <w:r>
              <w:rPr>
                <w:lang w:val="de-DE" w:eastAsia="de-DE"/>
              </w:rPr>
              <w:t xml:space="preserve"> </w:t>
            </w:r>
            <w:proofErr w:type="spellStart"/>
            <w:r>
              <w:rPr>
                <w:lang w:val="de-DE" w:eastAsia="de-DE"/>
              </w:rPr>
              <w:t>nuk</w:t>
            </w:r>
            <w:proofErr w:type="spellEnd"/>
            <w:r>
              <w:rPr>
                <w:lang w:val="de-DE" w:eastAsia="de-DE"/>
              </w:rPr>
              <w:t xml:space="preserve"> </w:t>
            </w:r>
            <w:proofErr w:type="spellStart"/>
            <w:r>
              <w:rPr>
                <w:lang w:val="de-DE" w:eastAsia="de-DE"/>
              </w:rPr>
              <w:t>ka</w:t>
            </w:r>
            <w:proofErr w:type="spellEnd"/>
            <w:r>
              <w:rPr>
                <w:lang w:val="de-DE" w:eastAsia="de-DE"/>
              </w:rPr>
              <w:t xml:space="preserve"> </w:t>
            </w:r>
            <w:proofErr w:type="spellStart"/>
            <w:r>
              <w:rPr>
                <w:lang w:val="de-DE" w:eastAsia="de-DE"/>
              </w:rPr>
              <w:t>kopjim</w:t>
            </w:r>
            <w:proofErr w:type="spellEnd"/>
            <w:r>
              <w:rPr>
                <w:lang w:val="de-DE" w:eastAsia="de-DE"/>
              </w:rPr>
              <w:t>/</w:t>
            </w:r>
            <w:proofErr w:type="spellStart"/>
            <w:r w:rsidRPr="00702446">
              <w:rPr>
                <w:lang w:val="de-DE" w:eastAsia="de-DE"/>
              </w:rPr>
              <w:t>plagjiaturë</w:t>
            </w:r>
            <w:proofErr w:type="spellEnd"/>
            <w:r>
              <w:rPr>
                <w:lang w:val="de-DE" w:eastAsia="de-DE"/>
              </w:rPr>
              <w:t>!</w:t>
            </w:r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Atë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të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cilët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tentojnë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këtë</w:t>
            </w:r>
            <w:proofErr w:type="spellEnd"/>
            <w:r w:rsidRPr="00702446">
              <w:rPr>
                <w:lang w:val="de-DE" w:eastAsia="de-DE"/>
              </w:rPr>
              <w:t xml:space="preserve"> do </w:t>
            </w:r>
            <w:proofErr w:type="spellStart"/>
            <w:r w:rsidRPr="00702446">
              <w:rPr>
                <w:lang w:val="de-DE" w:eastAsia="de-DE"/>
              </w:rPr>
              <w:t>të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raportohen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në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organet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udhëheqëse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 w:rsidRPr="00702446">
              <w:rPr>
                <w:lang w:val="de-DE" w:eastAsia="de-DE"/>
              </w:rPr>
              <w:t>të</w:t>
            </w:r>
            <w:proofErr w:type="spellEnd"/>
            <w:r w:rsidRPr="00702446">
              <w:rPr>
                <w:lang w:val="de-DE" w:eastAsia="de-DE"/>
              </w:rPr>
              <w:t xml:space="preserve"> </w:t>
            </w:r>
            <w:proofErr w:type="spellStart"/>
            <w:r>
              <w:rPr>
                <w:lang w:val="de-DE" w:eastAsia="de-DE"/>
              </w:rPr>
              <w:t>U</w:t>
            </w:r>
            <w:r w:rsidRPr="00702446">
              <w:rPr>
                <w:lang w:val="de-DE" w:eastAsia="de-DE"/>
              </w:rPr>
              <w:t>niversitetit</w:t>
            </w:r>
            <w:proofErr w:type="spellEnd"/>
            <w:r>
              <w:rPr>
                <w:lang w:val="de-DE" w:eastAsia="de-DE"/>
              </w:rPr>
              <w:t xml:space="preserve"> të </w:t>
            </w:r>
            <w:proofErr w:type="spellStart"/>
            <w:r>
              <w:rPr>
                <w:lang w:val="de-DE" w:eastAsia="de-DE"/>
              </w:rPr>
              <w:t>Prishtinës</w:t>
            </w:r>
            <w:proofErr w:type="spellEnd"/>
            <w:r w:rsidRPr="00702446">
              <w:rPr>
                <w:lang w:val="de-DE" w:eastAsia="de-DE"/>
              </w:rPr>
              <w:t xml:space="preserve">. </w:t>
            </w:r>
            <w:r w:rsidRPr="00D453EA">
              <w:rPr>
                <w:lang w:val="sq-AL"/>
              </w:rPr>
              <w:t>Studentët duhet të vijnë me kohë në ligjërata, sepse vonesa e secilit shkakton ndërprerjen e ligjëratës, fut çrregullim dhe dekoncentrim, i cili është në dëm të studentëve.</w:t>
            </w:r>
            <w:r>
              <w:rPr>
                <w:lang w:val="sq-AL"/>
              </w:rPr>
              <w:t xml:space="preserve"> </w:t>
            </w:r>
            <w:r w:rsidRPr="00D453EA">
              <w:rPr>
                <w:lang w:val="sq-AL"/>
              </w:rPr>
              <w:t xml:space="preserve">Studentët duhet </w:t>
            </w:r>
            <w:r w:rsidRPr="00DD0966">
              <w:t xml:space="preserve">ta </w:t>
            </w:r>
            <w:proofErr w:type="spellStart"/>
            <w:r w:rsidRPr="00DD0966">
              <w:t>vijojnë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rregullisht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modulin</w:t>
            </w:r>
            <w:proofErr w:type="spellEnd"/>
            <w:r>
              <w:t xml:space="preserve"> </w:t>
            </w:r>
            <w:proofErr w:type="spellStart"/>
            <w:r>
              <w:t>përfshirë</w:t>
            </w:r>
            <w:proofErr w:type="spellEnd"/>
            <w:r>
              <w:t xml:space="preserve"> </w:t>
            </w:r>
            <w:proofErr w:type="spellStart"/>
            <w:r>
              <w:t>pjesën</w:t>
            </w:r>
            <w:proofErr w:type="spellEnd"/>
            <w:r>
              <w:t xml:space="preserve"> e </w:t>
            </w:r>
            <w:proofErr w:type="spellStart"/>
            <w:r>
              <w:t>ushtrimeve</w:t>
            </w:r>
            <w:proofErr w:type="spellEnd"/>
            <w:r w:rsidRPr="00D453EA">
              <w:rPr>
                <w:lang w:val="sq-AL"/>
              </w:rPr>
              <w:t xml:space="preserve"> sepse praktikohet </w:t>
            </w:r>
            <w:r>
              <w:rPr>
                <w:lang w:val="sq-AL"/>
              </w:rPr>
              <w:t>gjithëmonë</w:t>
            </w:r>
            <w:r w:rsidRPr="00D453EA">
              <w:rPr>
                <w:lang w:val="sq-AL"/>
              </w:rPr>
              <w:t xml:space="preserve"> diskutim. </w:t>
            </w:r>
            <w:proofErr w:type="spellStart"/>
            <w:r w:rsidRPr="00DD0966">
              <w:t>Studentët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duhet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jenë</w:t>
            </w:r>
            <w:proofErr w:type="spellEnd"/>
            <w:r w:rsidRPr="00DD0966">
              <w:t xml:space="preserve"> social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sfidojnë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kolegët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dhe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anasjelltas</w:t>
            </w:r>
            <w:proofErr w:type="spellEnd"/>
            <w:r w:rsidRPr="00DD0966">
              <w:t xml:space="preserve">, </w:t>
            </w:r>
            <w:proofErr w:type="spellStart"/>
            <w:r w:rsidRPr="00DD0966">
              <w:t>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suaza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sjelljeve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demokratike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një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debati</w:t>
            </w:r>
            <w:proofErr w:type="spellEnd"/>
            <w:r w:rsidRPr="00DD0966">
              <w:t xml:space="preserve">. </w:t>
            </w:r>
            <w:proofErr w:type="spellStart"/>
            <w:r w:rsidRPr="00DD0966">
              <w:t>Studentët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duhet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ti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dorëzojnë</w:t>
            </w:r>
            <w:proofErr w:type="spellEnd"/>
            <w:r w:rsidRPr="00DD0966">
              <w:t xml:space="preserve"> </w:t>
            </w:r>
            <w:proofErr w:type="spellStart"/>
            <w:r w:rsidRPr="00DD0966">
              <w:t>detyrat</w:t>
            </w:r>
            <w:proofErr w:type="spellEnd"/>
            <w:r w:rsidRPr="00DD0966">
              <w:t xml:space="preserve"> me </w:t>
            </w:r>
            <w:proofErr w:type="spellStart"/>
            <w:r w:rsidRPr="00DD0966">
              <w:t>kohë</w:t>
            </w:r>
            <w:proofErr w:type="spellEnd"/>
            <w:r>
              <w:t xml:space="preserve">. </w:t>
            </w:r>
            <w:proofErr w:type="spellStart"/>
            <w:r w:rsidRPr="004D5F9E">
              <w:rPr>
                <w:bCs/>
              </w:rPr>
              <w:t>Punimet</w:t>
            </w:r>
            <w:proofErr w:type="spellEnd"/>
            <w:r w:rsidRPr="004D5F9E">
              <w:rPr>
                <w:bCs/>
              </w:rPr>
              <w:t xml:space="preserve"> e </w:t>
            </w:r>
            <w:proofErr w:type="spellStart"/>
            <w:r w:rsidRPr="004D5F9E">
              <w:rPr>
                <w:bCs/>
              </w:rPr>
              <w:t>vonuara</w:t>
            </w:r>
            <w:proofErr w:type="spellEnd"/>
            <w:r w:rsidRPr="004D5F9E">
              <w:rPr>
                <w:bCs/>
              </w:rPr>
              <w:t xml:space="preserve"> </w:t>
            </w:r>
            <w:proofErr w:type="spellStart"/>
            <w:r w:rsidRPr="004D5F9E">
              <w:rPr>
                <w:bCs/>
              </w:rPr>
              <w:t>nuk</w:t>
            </w:r>
            <w:proofErr w:type="spellEnd"/>
            <w:r w:rsidRPr="004D5F9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pranohen</w:t>
            </w:r>
            <w:proofErr w:type="spellEnd"/>
            <w:r w:rsidRPr="004D5F9E">
              <w:rPr>
                <w:bCs/>
              </w:rPr>
              <w:t>!</w:t>
            </w:r>
          </w:p>
          <w:p w14:paraId="1BE433ED" w14:textId="77777777" w:rsidR="004708DA" w:rsidRPr="00702446" w:rsidRDefault="004708DA" w:rsidP="004708D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de-DE" w:eastAsia="de-DE"/>
              </w:rPr>
            </w:pPr>
          </w:p>
          <w:p w14:paraId="63AD7B37" w14:textId="719249FF" w:rsidR="004708DA" w:rsidRPr="006B1FCD" w:rsidRDefault="004708DA" w:rsidP="004708D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0EAC4F4" w14:textId="77777777" w:rsidR="00C44182" w:rsidRPr="006B1FCD" w:rsidRDefault="00C44182">
      <w:pPr>
        <w:rPr>
          <w:rFonts w:ascii="Times New Roman" w:hAnsi="Times New Roman" w:cs="Times New Roman"/>
          <w:szCs w:val="24"/>
          <w:lang w:val="sq-AL"/>
        </w:rPr>
      </w:pPr>
    </w:p>
    <w:sectPr w:rsidR="00C44182" w:rsidRPr="006B1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AABD" w14:textId="77777777" w:rsidR="007804CE" w:rsidRDefault="007804CE" w:rsidP="00A37BE8">
      <w:pPr>
        <w:spacing w:after="0" w:line="240" w:lineRule="auto"/>
      </w:pPr>
      <w:r>
        <w:separator/>
      </w:r>
    </w:p>
  </w:endnote>
  <w:endnote w:type="continuationSeparator" w:id="0">
    <w:p w14:paraId="1A9F7939" w14:textId="77777777" w:rsidR="007804CE" w:rsidRDefault="007804CE" w:rsidP="00A3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4857" w14:textId="77777777" w:rsidR="007804CE" w:rsidRDefault="007804CE" w:rsidP="00A37BE8">
      <w:pPr>
        <w:spacing w:after="0" w:line="240" w:lineRule="auto"/>
      </w:pPr>
      <w:r>
        <w:separator/>
      </w:r>
    </w:p>
  </w:footnote>
  <w:footnote w:type="continuationSeparator" w:id="0">
    <w:p w14:paraId="3BDDBFE2" w14:textId="77777777" w:rsidR="007804CE" w:rsidRDefault="007804CE" w:rsidP="00A37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17A"/>
    <w:multiLevelType w:val="hybridMultilevel"/>
    <w:tmpl w:val="353251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1239C"/>
    <w:multiLevelType w:val="hybridMultilevel"/>
    <w:tmpl w:val="DD405930"/>
    <w:lvl w:ilvl="0" w:tplc="6C16230C">
      <w:start w:val="1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E6BEB"/>
    <w:multiLevelType w:val="hybridMultilevel"/>
    <w:tmpl w:val="3DDCA780"/>
    <w:lvl w:ilvl="0" w:tplc="941EE00E">
      <w:start w:val="1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55EF"/>
    <w:multiLevelType w:val="hybridMultilevel"/>
    <w:tmpl w:val="C0480696"/>
    <w:lvl w:ilvl="0" w:tplc="40D0D85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2" w:hanging="360"/>
      </w:pPr>
    </w:lvl>
    <w:lvl w:ilvl="2" w:tplc="040C001B" w:tentative="1">
      <w:start w:val="1"/>
      <w:numFmt w:val="lowerRoman"/>
      <w:lvlText w:val="%3."/>
      <w:lvlJc w:val="right"/>
      <w:pPr>
        <w:ind w:left="1802" w:hanging="180"/>
      </w:pPr>
    </w:lvl>
    <w:lvl w:ilvl="3" w:tplc="040C000F" w:tentative="1">
      <w:start w:val="1"/>
      <w:numFmt w:val="decimal"/>
      <w:lvlText w:val="%4."/>
      <w:lvlJc w:val="left"/>
      <w:pPr>
        <w:ind w:left="2522" w:hanging="360"/>
      </w:pPr>
    </w:lvl>
    <w:lvl w:ilvl="4" w:tplc="040C0019" w:tentative="1">
      <w:start w:val="1"/>
      <w:numFmt w:val="lowerLetter"/>
      <w:lvlText w:val="%5."/>
      <w:lvlJc w:val="left"/>
      <w:pPr>
        <w:ind w:left="3242" w:hanging="360"/>
      </w:pPr>
    </w:lvl>
    <w:lvl w:ilvl="5" w:tplc="040C001B" w:tentative="1">
      <w:start w:val="1"/>
      <w:numFmt w:val="lowerRoman"/>
      <w:lvlText w:val="%6."/>
      <w:lvlJc w:val="right"/>
      <w:pPr>
        <w:ind w:left="3962" w:hanging="180"/>
      </w:pPr>
    </w:lvl>
    <w:lvl w:ilvl="6" w:tplc="040C000F" w:tentative="1">
      <w:start w:val="1"/>
      <w:numFmt w:val="decimal"/>
      <w:lvlText w:val="%7."/>
      <w:lvlJc w:val="left"/>
      <w:pPr>
        <w:ind w:left="4682" w:hanging="360"/>
      </w:pPr>
    </w:lvl>
    <w:lvl w:ilvl="7" w:tplc="040C0019" w:tentative="1">
      <w:start w:val="1"/>
      <w:numFmt w:val="lowerLetter"/>
      <w:lvlText w:val="%8."/>
      <w:lvlJc w:val="left"/>
      <w:pPr>
        <w:ind w:left="5402" w:hanging="360"/>
      </w:pPr>
    </w:lvl>
    <w:lvl w:ilvl="8" w:tplc="040C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64391CD2"/>
    <w:multiLevelType w:val="hybridMultilevel"/>
    <w:tmpl w:val="BA40A19E"/>
    <w:lvl w:ilvl="0" w:tplc="92F68D80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</w:rPr>
    </w:lvl>
    <w:lvl w:ilvl="1" w:tplc="E1CA7FE8">
      <w:start w:val="1"/>
      <w:numFmt w:val="bullet"/>
      <w:lvlText w:val="•"/>
      <w:lvlJc w:val="left"/>
      <w:pPr>
        <w:ind w:left="1392" w:hanging="361"/>
      </w:pPr>
      <w:rPr>
        <w:rFonts w:hint="default"/>
      </w:rPr>
    </w:lvl>
    <w:lvl w:ilvl="2" w:tplc="7EBC61D4">
      <w:start w:val="1"/>
      <w:numFmt w:val="bullet"/>
      <w:lvlText w:val="•"/>
      <w:lvlJc w:val="left"/>
      <w:pPr>
        <w:ind w:left="1965" w:hanging="361"/>
      </w:pPr>
      <w:rPr>
        <w:rFonts w:hint="default"/>
      </w:rPr>
    </w:lvl>
    <w:lvl w:ilvl="3" w:tplc="93A80E2E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4" w:tplc="71A2B8C8">
      <w:start w:val="1"/>
      <w:numFmt w:val="bullet"/>
      <w:lvlText w:val="•"/>
      <w:lvlJc w:val="left"/>
      <w:pPr>
        <w:ind w:left="3111" w:hanging="361"/>
      </w:pPr>
      <w:rPr>
        <w:rFonts w:hint="default"/>
      </w:rPr>
    </w:lvl>
    <w:lvl w:ilvl="5" w:tplc="51A6CB4C">
      <w:start w:val="1"/>
      <w:numFmt w:val="bullet"/>
      <w:lvlText w:val="•"/>
      <w:lvlJc w:val="left"/>
      <w:pPr>
        <w:ind w:left="3684" w:hanging="361"/>
      </w:pPr>
      <w:rPr>
        <w:rFonts w:hint="default"/>
      </w:rPr>
    </w:lvl>
    <w:lvl w:ilvl="6" w:tplc="C09EF364">
      <w:start w:val="1"/>
      <w:numFmt w:val="bullet"/>
      <w:lvlText w:val="•"/>
      <w:lvlJc w:val="left"/>
      <w:pPr>
        <w:ind w:left="4257" w:hanging="361"/>
      </w:pPr>
      <w:rPr>
        <w:rFonts w:hint="default"/>
      </w:rPr>
    </w:lvl>
    <w:lvl w:ilvl="7" w:tplc="F27AB41C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8" w:tplc="462C967A">
      <w:start w:val="1"/>
      <w:numFmt w:val="bullet"/>
      <w:lvlText w:val="•"/>
      <w:lvlJc w:val="left"/>
      <w:pPr>
        <w:ind w:left="5402" w:hanging="361"/>
      </w:pPr>
      <w:rPr>
        <w:rFonts w:hint="default"/>
      </w:rPr>
    </w:lvl>
  </w:abstractNum>
  <w:num w:numId="1" w16cid:durableId="576133904">
    <w:abstractNumId w:val="1"/>
  </w:num>
  <w:num w:numId="2" w16cid:durableId="2143957851">
    <w:abstractNumId w:val="2"/>
  </w:num>
  <w:num w:numId="3" w16cid:durableId="1955288858">
    <w:abstractNumId w:val="3"/>
  </w:num>
  <w:num w:numId="4" w16cid:durableId="233704807">
    <w:abstractNumId w:val="4"/>
  </w:num>
  <w:num w:numId="5" w16cid:durableId="48837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2C"/>
    <w:rsid w:val="0001623A"/>
    <w:rsid w:val="000545E4"/>
    <w:rsid w:val="00060801"/>
    <w:rsid w:val="000E3049"/>
    <w:rsid w:val="00174C2D"/>
    <w:rsid w:val="00191B91"/>
    <w:rsid w:val="001C238F"/>
    <w:rsid w:val="001F640D"/>
    <w:rsid w:val="00206849"/>
    <w:rsid w:val="002B23A9"/>
    <w:rsid w:val="002E0D48"/>
    <w:rsid w:val="003002A5"/>
    <w:rsid w:val="00301375"/>
    <w:rsid w:val="00351092"/>
    <w:rsid w:val="003C3880"/>
    <w:rsid w:val="00415CBE"/>
    <w:rsid w:val="004708DA"/>
    <w:rsid w:val="004A14B0"/>
    <w:rsid w:val="00532D60"/>
    <w:rsid w:val="00533947"/>
    <w:rsid w:val="0062712C"/>
    <w:rsid w:val="00655234"/>
    <w:rsid w:val="006B1FCD"/>
    <w:rsid w:val="00754AF2"/>
    <w:rsid w:val="007804CE"/>
    <w:rsid w:val="00836C75"/>
    <w:rsid w:val="009C074A"/>
    <w:rsid w:val="009F7560"/>
    <w:rsid w:val="00A10F91"/>
    <w:rsid w:val="00A11D86"/>
    <w:rsid w:val="00A25BB5"/>
    <w:rsid w:val="00A37BE8"/>
    <w:rsid w:val="00A62978"/>
    <w:rsid w:val="00AC6E5C"/>
    <w:rsid w:val="00B157E6"/>
    <w:rsid w:val="00B476CA"/>
    <w:rsid w:val="00B61868"/>
    <w:rsid w:val="00B84A76"/>
    <w:rsid w:val="00C44182"/>
    <w:rsid w:val="00D061C0"/>
    <w:rsid w:val="00D361DE"/>
    <w:rsid w:val="00D74826"/>
    <w:rsid w:val="00E079CC"/>
    <w:rsid w:val="00E26478"/>
    <w:rsid w:val="00E502FD"/>
    <w:rsid w:val="00E569A5"/>
    <w:rsid w:val="00EF620E"/>
    <w:rsid w:val="00F05A10"/>
    <w:rsid w:val="00F7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CD26C3"/>
  <w15:chartTrackingRefBased/>
  <w15:docId w15:val="{C4BB1469-BD17-40C5-916F-FF1FEFA6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2C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  <w:lang w:val="en-US"/>
    </w:rPr>
  </w:style>
  <w:style w:type="paragraph" w:styleId="Heading3">
    <w:name w:val="heading 3"/>
    <w:next w:val="Normal"/>
    <w:link w:val="Heading3Char"/>
    <w:uiPriority w:val="9"/>
    <w:unhideWhenUsed/>
    <w:qFormat/>
    <w:rsid w:val="0062712C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712C"/>
    <w:rPr>
      <w:rFonts w:ascii="Calibri" w:eastAsia="Calibri" w:hAnsi="Calibri" w:cs="Calibri"/>
      <w:b/>
      <w:color w:val="58715C"/>
      <w:sz w:val="28"/>
      <w:lang w:val="en-US"/>
    </w:rPr>
  </w:style>
  <w:style w:type="paragraph" w:styleId="NoSpacing">
    <w:name w:val="No Spacing"/>
    <w:link w:val="NoSpacingChar"/>
    <w:uiPriority w:val="1"/>
    <w:qFormat/>
    <w:rsid w:val="0062712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712C"/>
    <w:rPr>
      <w:rFonts w:ascii="Calibri" w:eastAsia="Calibri" w:hAnsi="Calibri" w:cs="Calibri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62712C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62712C"/>
    <w:rPr>
      <w:b/>
      <w:bCs/>
      <w:smallCaps/>
      <w:spacing w:val="5"/>
    </w:rPr>
  </w:style>
  <w:style w:type="paragraph" w:customStyle="1" w:styleId="TableParagraph">
    <w:name w:val="Table Paragraph"/>
    <w:basedOn w:val="Normal"/>
    <w:uiPriority w:val="1"/>
    <w:qFormat/>
    <w:rsid w:val="00206849"/>
    <w:pPr>
      <w:widowControl w:val="0"/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paragraph" w:customStyle="1" w:styleId="Default">
    <w:name w:val="Default"/>
    <w:rsid w:val="00EF6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BE8"/>
    <w:rPr>
      <w:rFonts w:ascii="Calibri" w:eastAsia="Calibri" w:hAnsi="Calibri" w:cs="Calibri"/>
      <w:color w:val="000000"/>
      <w:sz w:val="24"/>
      <w:lang w:val="en-US"/>
    </w:rPr>
  </w:style>
  <w:style w:type="paragraph" w:styleId="Footer">
    <w:name w:val="footer"/>
    <w:basedOn w:val="Normal"/>
    <w:link w:val="FooterChar"/>
    <w:unhideWhenUsed/>
    <w:rsid w:val="00A3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BE8"/>
    <w:rPr>
      <w:rFonts w:ascii="Calibri" w:eastAsia="Calibri" w:hAnsi="Calibri" w:cs="Calibri"/>
      <w:color w:val="000000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2E0D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E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n.gerguri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mzie.shahinihoxh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FILOLOGJIA</dc:creator>
  <cp:keywords/>
  <dc:description/>
  <cp:lastModifiedBy>Microsoft Office User</cp:lastModifiedBy>
  <cp:revision>2</cp:revision>
  <dcterms:created xsi:type="dcterms:W3CDTF">2025-02-20T15:01:00Z</dcterms:created>
  <dcterms:modified xsi:type="dcterms:W3CDTF">2025-02-20T15:01:00Z</dcterms:modified>
</cp:coreProperties>
</file>