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2"/>
        <w:gridCol w:w="1399"/>
        <w:gridCol w:w="1715"/>
        <w:gridCol w:w="1964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Fakulteti</w:t>
            </w:r>
            <w:proofErr w:type="spellEnd"/>
            <w:r w:rsidRPr="00663907">
              <w:rPr>
                <w:b/>
              </w:rPr>
              <w:t xml:space="preserve"> I </w:t>
            </w:r>
            <w:proofErr w:type="spellStart"/>
            <w:r w:rsidRPr="00663907">
              <w:rPr>
                <w:b/>
              </w:rPr>
              <w:t>Mjekesise-Katedra</w:t>
            </w:r>
            <w:proofErr w:type="spellEnd"/>
            <w:r w:rsidRPr="00663907">
              <w:rPr>
                <w:b/>
              </w:rPr>
              <w:t xml:space="preserve"> e </w:t>
            </w:r>
            <w:proofErr w:type="spellStart"/>
            <w:r w:rsidRPr="00663907">
              <w:rPr>
                <w:b/>
              </w:rPr>
              <w:t>Anatomise</w:t>
            </w:r>
            <w:proofErr w:type="spellEnd"/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Anatomia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Klinike</w:t>
            </w:r>
            <w:proofErr w:type="spellEnd"/>
            <w:r w:rsidRPr="00663907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3A3223">
              <w:rPr>
                <w:b/>
              </w:rPr>
              <w:t>I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663907" w:rsidRDefault="003A3223" w:rsidP="008353F6">
            <w:pPr>
              <w:rPr>
                <w:b/>
              </w:rPr>
            </w:pPr>
            <w:r>
              <w:rPr>
                <w:b/>
              </w:rPr>
              <w:t>BA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 w:rsidRPr="00663907">
              <w:rPr>
                <w:b/>
              </w:rPr>
              <w:t>Lende</w:t>
            </w:r>
            <w:proofErr w:type="spellEnd"/>
            <w:r w:rsidRPr="00663907">
              <w:rPr>
                <w:b/>
              </w:rPr>
              <w:t xml:space="preserve"> </w:t>
            </w:r>
            <w:proofErr w:type="spellStart"/>
            <w:r w:rsidRPr="00663907">
              <w:rPr>
                <w:b/>
              </w:rPr>
              <w:t>zgjedhore</w:t>
            </w:r>
            <w:proofErr w:type="spellEnd"/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663907" w:rsidRDefault="00EB493F" w:rsidP="00EC67EB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Viti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II-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 / </w:t>
            </w: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IV-</w:t>
            </w:r>
            <w:proofErr w:type="spellStart"/>
            <w:r>
              <w:rPr>
                <w:b/>
              </w:rPr>
              <w:t>te</w:t>
            </w:r>
            <w:proofErr w:type="spellEnd"/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663907" w:rsidRDefault="00EC67EB" w:rsidP="008353F6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- 1+1</w:t>
            </w:r>
            <w:r w:rsidR="00E63B5A">
              <w:rPr>
                <w:b/>
              </w:rPr>
              <w:t xml:space="preserve"> </w:t>
            </w:r>
          </w:p>
          <w:p w:rsidR="00EC67EB" w:rsidRPr="00663907" w:rsidRDefault="00EC67EB" w:rsidP="008353F6">
            <w:pPr>
              <w:rPr>
                <w:b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kredi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Afrim Shabani</w:t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Asoc.dr. Premtim Rashiti</w:t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Jeton Shatri</w:t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Prof. Ass.Dr. Atifete Ramosaj Morina</w:t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Alije Keka Sylaj</w:t>
            </w:r>
          </w:p>
          <w:p w:rsidR="00EB493F" w:rsidRPr="001E1E03" w:rsidRDefault="00EB493F" w:rsidP="00EB493F">
            <w:pPr>
              <w:pStyle w:val="NoSpacing"/>
              <w:tabs>
                <w:tab w:val="right" w:pos="4854"/>
              </w:tabs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Dijon Musliu</w:t>
            </w:r>
            <w:r>
              <w:rPr>
                <w:rFonts w:eastAsiaTheme="minorHAnsi"/>
                <w:b/>
                <w:sz w:val="22"/>
                <w:szCs w:val="22"/>
                <w:lang w:val="sq-AL"/>
              </w:rPr>
              <w:tab/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Rilind Sylaj</w:t>
            </w:r>
          </w:p>
          <w:p w:rsidR="00EB493F" w:rsidRPr="001E1E03" w:rsidRDefault="00EB493F" w:rsidP="00EB493F">
            <w:pPr>
              <w:pStyle w:val="NoSpacing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Ass.dr.Jeta Bunjaku</w:t>
            </w:r>
          </w:p>
          <w:p w:rsidR="00EC67EB" w:rsidRPr="00E27B89" w:rsidRDefault="00EB493F" w:rsidP="00EB493F">
            <w:pPr>
              <w:rPr>
                <w:b/>
              </w:rPr>
            </w:pPr>
            <w:r w:rsidRPr="001E1E03">
              <w:rPr>
                <w:rFonts w:eastAsiaTheme="minorHAnsi"/>
                <w:b/>
                <w:sz w:val="22"/>
                <w:szCs w:val="22"/>
                <w:lang w:val="sq-AL"/>
              </w:rPr>
              <w:t>Ass.dr. Ardita Kafexholli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EB493F" w:rsidRPr="005B1EA7" w:rsidRDefault="006A16B5" w:rsidP="00EB493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</w:t>
            </w:r>
            <w:bookmarkStart w:id="0" w:name="_GoBack"/>
            <w:bookmarkEnd w:id="0"/>
            <w:r w:rsidR="00EB493F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</w:t>
            </w:r>
            <w:r w:rsidR="00EB493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EB493F"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EB49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="00EB493F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 w:rsidR="00EB493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="00EB493F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EB493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:rsidR="00EB493F" w:rsidRPr="00305C6B" w:rsidRDefault="003C480D" w:rsidP="00EB493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7" w:history="1">
              <w:r w:rsidR="00EB493F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EB493F" w:rsidRPr="00274258">
                <w:rPr>
                  <w:rStyle w:val="Hyperlink"/>
                  <w:rFonts w:cstheme="minorHAnsi"/>
                </w:rPr>
                <w:t>remtim.rashiti</w:t>
              </w:r>
              <w:r w:rsidR="00EB493F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:rsidR="00EB493F" w:rsidRDefault="00EB493F" w:rsidP="00EB493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:rsidR="00EB493F" w:rsidRPr="005B1EA7" w:rsidRDefault="00EB493F" w:rsidP="00EB493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:rsidR="00EB493F" w:rsidRPr="00F55144" w:rsidRDefault="003C480D" w:rsidP="00EB493F">
            <w:pPr>
              <w:pStyle w:val="NoSpacing"/>
              <w:rPr>
                <w:rFonts w:cstheme="minorHAnsi"/>
                <w:color w:val="0563C1" w:themeColor="hyperlink"/>
                <w:u w:val="single"/>
                <w:lang w:val="sq-AL"/>
              </w:rPr>
            </w:pPr>
            <w:hyperlink r:id="rId8" w:history="1">
              <w:r w:rsidR="00EB493F" w:rsidRPr="00305C6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jeton.shatri@uni-pr.edu</w:t>
              </w:r>
            </w:hyperlink>
            <w:r w:rsidR="00EB493F">
              <w:rPr>
                <w:rStyle w:val="Hyperlink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:rsidR="00EB493F" w:rsidRDefault="00EB493F" w:rsidP="00EB493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:rsidR="00EB493F" w:rsidRDefault="00EB493F" w:rsidP="00EB493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:rsidR="0025172B" w:rsidRDefault="0025172B" w:rsidP="0025172B">
            <w:pPr>
              <w:rPr>
                <w:b/>
              </w:rPr>
            </w:pPr>
          </w:p>
          <w:p w:rsidR="00EC67EB" w:rsidRPr="00E27B89" w:rsidRDefault="00EC67EB" w:rsidP="008353F6">
            <w:pPr>
              <w:rPr>
                <w:b/>
              </w:rPr>
            </w:pPr>
          </w:p>
        </w:tc>
      </w:tr>
      <w:tr w:rsidR="00EC67EB" w:rsidRPr="00777D28" w:rsidTr="00EF57F9">
        <w:tc>
          <w:tcPr>
            <w:tcW w:w="8856" w:type="dxa"/>
            <w:gridSpan w:val="4"/>
            <w:shd w:val="clear" w:color="auto" w:fill="B8CCE4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EC67EB" w:rsidRDefault="00EC67EB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D67209" w:rsidRDefault="00EB493F" w:rsidP="00DF58B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Anatomi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klinike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I  do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ju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ofroje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studenteve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ndertimi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anatomi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njeriut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bej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nderlidhjen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mosfunksionim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mundshem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pjese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qe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qoj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semundje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Rendesia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anatomise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trupit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njohur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nje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patologji</w:t>
            </w:r>
            <w:proofErr w:type="spellEnd"/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Pr="00806793" w:rsidRDefault="00EC67EB" w:rsidP="00EC67EB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topografike e trupit të njeriut; ndarja e tij në zona (regjione), raportet topografike të tija me organet dhe elementet vaskulare e nervore, projektimin </w:t>
            </w:r>
            <w:r w:rsidRPr="00806793">
              <w:rPr>
                <w:b/>
                <w:bCs/>
                <w:i/>
                <w:lang w:val="it-IT"/>
              </w:rPr>
              <w:lastRenderedPageBreak/>
              <w:t>e tyre në sipërfaqen e trupit duke u bazuar në pikat dhe vijat orientuese të prekshme dhe ato konvencionale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:rsidR="00EC67EB" w:rsidRPr="00806793" w:rsidRDefault="00EC67EB" w:rsidP="00EC67EB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klinike; problemet më të shpeshta klinike me të cilat atakohet organi dhe organizmi në terësi si dhe </w:t>
            </w:r>
            <w:r>
              <w:rPr>
                <w:b/>
                <w:bCs/>
                <w:i/>
                <w:lang w:val="it-IT"/>
              </w:rPr>
              <w:t>r</w:t>
            </w:r>
            <w:r w:rsidRPr="00806793">
              <w:rPr>
                <w:b/>
                <w:bCs/>
                <w:i/>
                <w:lang w:val="it-IT"/>
              </w:rPr>
              <w:t>rugët më të sigurta të ndërhyrjes për eliminimin e tyre</w:t>
            </w:r>
          </w:p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CE6934">
              <w:rPr>
                <w:b/>
                <w:bCs/>
                <w:i/>
                <w:lang w:val="it-IT"/>
              </w:rPr>
              <w:t xml:space="preserve">Të përvetësojë emërtimet latine sipas terminologjisë anatomike që do tju mundësojë komunikimin </w:t>
            </w:r>
            <w:r w:rsidRPr="00CE6934">
              <w:rPr>
                <w:b/>
                <w:bCs/>
                <w:i/>
                <w:lang w:val="sq-AL"/>
              </w:rPr>
              <w:t>në mënyrë efektive/adekuate me kolegët e tyre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C67EB" w:rsidRPr="00B05390" w:rsidRDefault="00EC67EB" w:rsidP="00EC67EB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</w:t>
            </w:r>
            <w:r>
              <w:rPr>
                <w:i/>
                <w:lang w:val="it-IT"/>
              </w:rPr>
              <w:t xml:space="preserve"> klinike te sistemit lokomotor, sistemit respirator, kardiovaskular dhe urogjenital</w:t>
            </w:r>
            <w:r w:rsidRPr="00B05390">
              <w:rPr>
                <w:i/>
                <w:lang w:val="it-IT"/>
              </w:rPr>
              <w:t>.</w:t>
            </w:r>
          </w:p>
          <w:p w:rsidR="00EC67EB" w:rsidRPr="00B05390" w:rsidRDefault="00EC67EB" w:rsidP="00EC67EB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  <w:r>
              <w:rPr>
                <w:i/>
                <w:lang w:val="sq-AL"/>
              </w:rPr>
              <w:t xml:space="preserve"> dhe rendesine e anatomise klinike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  <w:r>
              <w:rPr>
                <w:i/>
                <w:lang w:val="sq-AL"/>
              </w:rPr>
              <w:t xml:space="preserve"> </w:t>
            </w:r>
          </w:p>
          <w:p w:rsidR="00EC67EB" w:rsidRPr="00B05390" w:rsidRDefault="00EC67EB" w:rsidP="00EC67EB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:rsidR="00EC67EB" w:rsidRDefault="00EC67EB" w:rsidP="00EC67EB">
            <w:pPr>
              <w:rPr>
                <w:i/>
              </w:rPr>
            </w:pPr>
          </w:p>
          <w:p w:rsidR="00EC67EB" w:rsidRPr="00D67209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004B39">
        <w:tc>
          <w:tcPr>
            <w:tcW w:w="8856" w:type="dxa"/>
            <w:gridSpan w:val="4"/>
            <w:shd w:val="clear" w:color="auto" w:fill="B8CCE4"/>
          </w:tcPr>
          <w:p w:rsidR="00EC67EB" w:rsidRDefault="00EC67E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EF57F9">
        <w:tc>
          <w:tcPr>
            <w:tcW w:w="8856" w:type="dxa"/>
            <w:gridSpan w:val="4"/>
            <w:shd w:val="clear" w:color="auto" w:fill="B8CCE4"/>
          </w:tcPr>
          <w:p w:rsidR="00EC67EB" w:rsidRPr="00183923" w:rsidRDefault="00EC67EB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0A2CBF">
              <w:rPr>
                <w:rFonts w:ascii="Calibri" w:hAnsi="Calibri" w:cs="Arial"/>
                <w:sz w:val="22"/>
                <w:szCs w:val="22"/>
              </w:rPr>
              <w:t>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A2CBF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CBF" w:rsidRPr="000A2CBF" w:rsidRDefault="000A2CBF" w:rsidP="000A2CBF">
            <w:pPr>
              <w:rPr>
                <w:rFonts w:ascii="Calibri" w:hAnsi="Calibri" w:cs="Arial"/>
                <w:sz w:val="22"/>
                <w:szCs w:val="22"/>
              </w:rPr>
            </w:pPr>
            <w:r w:rsidRPr="000A2CBF">
              <w:rPr>
                <w:rFonts w:ascii="Calibri" w:hAnsi="Calibri" w:cs="Arial"/>
                <w:sz w:val="22"/>
                <w:szCs w:val="22"/>
              </w:rPr>
              <w:t>2 teste formative</w:t>
            </w:r>
          </w:p>
          <w:p w:rsidR="00EC67EB" w:rsidRPr="007C3132" w:rsidRDefault="000A2CBF" w:rsidP="000A2CBF">
            <w:pPr>
              <w:rPr>
                <w:rFonts w:ascii="Calibri" w:hAnsi="Calibri" w:cs="Arial"/>
                <w:sz w:val="22"/>
                <w:szCs w:val="22"/>
              </w:rPr>
            </w:pPr>
            <w:r w:rsidRPr="000A2CBF">
              <w:rPr>
                <w:rFonts w:ascii="Calibri" w:hAnsi="Calibri" w:cs="Arial"/>
                <w:sz w:val="22"/>
                <w:szCs w:val="22"/>
              </w:rPr>
              <w:t xml:space="preserve">1 </w:t>
            </w:r>
            <w:proofErr w:type="spellStart"/>
            <w:r w:rsidRPr="000A2CBF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 w:rsidRPr="000A2CBF">
              <w:rPr>
                <w:rFonts w:ascii="Calibri" w:hAnsi="Calibri" w:cs="Arial"/>
                <w:sz w:val="22"/>
                <w:szCs w:val="22"/>
              </w:rPr>
              <w:t xml:space="preserve"> final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0A2CB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C67EB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C67EB" w:rsidRPr="007C3132" w:rsidRDefault="00EC67EB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C67EB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C67EB" w:rsidRPr="007C3132" w:rsidRDefault="00F9041C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75</w:t>
            </w:r>
          </w:p>
        </w:tc>
      </w:tr>
      <w:tr w:rsidR="00EC67EB" w:rsidRPr="00777D28" w:rsidTr="00004B39">
        <w:tc>
          <w:tcPr>
            <w:tcW w:w="8856" w:type="dxa"/>
            <w:gridSpan w:val="4"/>
            <w:shd w:val="clear" w:color="auto" w:fill="B8CCE4"/>
          </w:tcPr>
          <w:p w:rsidR="00EC67EB" w:rsidRPr="007C3132" w:rsidRDefault="00EC67E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EC67EB" w:rsidRPr="00D67209" w:rsidRDefault="00EC67EB" w:rsidP="00EC67E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</w:t>
            </w:r>
            <w:r>
              <w:rPr>
                <w:b/>
                <w:bCs/>
                <w:i/>
                <w:lang w:val="sq-AL"/>
              </w:rPr>
              <w:t>izohet në formë të: ligjëratave</w:t>
            </w:r>
            <w:r w:rsidR="00FE647F">
              <w:rPr>
                <w:b/>
                <w:bCs/>
                <w:i/>
                <w:lang w:val="sq-AL"/>
              </w:rPr>
              <w:t xml:space="preserve"> dhe </w:t>
            </w:r>
            <w:r>
              <w:rPr>
                <w:b/>
                <w:bCs/>
                <w:i/>
                <w:lang w:val="sq-AL"/>
              </w:rPr>
              <w:t xml:space="preserve"> seminareve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EC67EB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E57ED7" w:rsidRDefault="00E57ED7" w:rsidP="00E57ED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Me teste </w:t>
            </w:r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formative ,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</w:t>
            </w:r>
          </w:p>
          <w:p w:rsidR="00E57ED7" w:rsidRPr="00AF77F4" w:rsidRDefault="00E57ED7" w:rsidP="00E57ED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shtepie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angazhime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10</w:t>
            </w:r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% </w:t>
            </w:r>
          </w:p>
          <w:p w:rsidR="00E57ED7" w:rsidRPr="00AF77F4" w:rsidRDefault="00E57ED7" w:rsidP="00E57ED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10%</w:t>
            </w:r>
          </w:p>
          <w:p w:rsidR="00E57ED7" w:rsidRPr="00AF77F4" w:rsidRDefault="00E57ED7" w:rsidP="00E57ED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Seminari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20%</w:t>
            </w:r>
          </w:p>
          <w:p w:rsidR="00E57ED7" w:rsidRPr="00AF77F4" w:rsidRDefault="00E57ED7" w:rsidP="00E57ED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                             </w:t>
            </w:r>
            <w:r w:rsidRPr="00AF77F4">
              <w:rPr>
                <w:rFonts w:ascii="Calibri" w:hAnsi="Calibri"/>
                <w:i/>
                <w:sz w:val="22"/>
                <w:szCs w:val="22"/>
                <w:u w:val="single"/>
              </w:rPr>
              <w:t>60%</w:t>
            </w:r>
          </w:p>
          <w:p w:rsidR="00E57ED7" w:rsidRDefault="00E57ED7" w:rsidP="00E57ED7">
            <w:pPr>
              <w:pStyle w:val="NoSpacing"/>
              <w:ind w:left="720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Totali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                                        100%</w:t>
            </w:r>
          </w:p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EC67EB" w:rsidRPr="00777D28" w:rsidTr="00EF57F9">
        <w:tc>
          <w:tcPr>
            <w:tcW w:w="8856" w:type="dxa"/>
            <w:gridSpan w:val="4"/>
            <w:shd w:val="clear" w:color="auto" w:fill="B8CCE4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>Literatura baze:</w:t>
            </w:r>
          </w:p>
          <w:p w:rsidR="007F57EE" w:rsidRDefault="007F57EE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>Netter’s Clinical Anatomy, John T. Hansen, 4th edition</w:t>
            </w:r>
          </w:p>
          <w:p w:rsidR="00EC67EB" w:rsidRDefault="00EC67EB" w:rsidP="00EC67EB">
            <w:pPr>
              <w:rPr>
                <w:b/>
                <w:i/>
                <w:lang w:val="sq-AL"/>
              </w:rPr>
            </w:pPr>
            <w:r>
              <w:rPr>
                <w:b/>
                <w:i/>
                <w:lang w:val="sq-AL"/>
              </w:rPr>
              <w:t xml:space="preserve">Keith Moore, </w:t>
            </w:r>
            <w:r w:rsidR="00EB493F">
              <w:rPr>
                <w:b/>
                <w:i/>
                <w:lang w:val="sq-AL"/>
              </w:rPr>
              <w:t xml:space="preserve">Arthur Dalley, </w:t>
            </w:r>
            <w:r>
              <w:rPr>
                <w:b/>
                <w:i/>
                <w:lang w:val="sq-AL"/>
              </w:rPr>
              <w:t>Ann</w:t>
            </w:r>
            <w:r w:rsidR="00EB493F">
              <w:rPr>
                <w:b/>
                <w:i/>
                <w:lang w:val="sq-AL"/>
              </w:rPr>
              <w:t>e Agur En : “Anatomia me Orientim Klinik</w:t>
            </w:r>
            <w:r>
              <w:rPr>
                <w:b/>
                <w:i/>
                <w:lang w:val="sq-AL"/>
              </w:rPr>
              <w:t>”</w:t>
            </w:r>
          </w:p>
          <w:p w:rsidR="007F57EE" w:rsidRDefault="007F57EE" w:rsidP="00EC67EB">
            <w:pPr>
              <w:rPr>
                <w:b/>
                <w:i/>
                <w:lang w:val="sq-AL"/>
              </w:rPr>
            </w:pPr>
          </w:p>
          <w:p w:rsidR="00EC67EB" w:rsidRPr="00AE0CD8" w:rsidRDefault="00EC67EB" w:rsidP="00EC67EB">
            <w:pPr>
              <w:rPr>
                <w:i/>
              </w:rPr>
            </w:pPr>
            <w:r>
              <w:rPr>
                <w:b/>
                <w:i/>
                <w:lang w:val="sq-AL"/>
              </w:rPr>
              <w:t>Literatura   plotesuese: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:rsidR="00EC67EB" w:rsidRPr="00AE0CD8" w:rsidRDefault="00EC67EB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:rsidR="00EC67EB" w:rsidRPr="00AE0CD8" w:rsidRDefault="007F57EE" w:rsidP="00EC67EB">
            <w:pPr>
              <w:numPr>
                <w:ilvl w:val="0"/>
                <w:numId w:val="2"/>
              </w:numPr>
              <w:spacing w:after="200"/>
              <w:rPr>
                <w:b/>
                <w:bCs/>
                <w:i/>
              </w:rPr>
            </w:pPr>
            <w:r>
              <w:rPr>
                <w:b/>
                <w:bCs/>
                <w:i/>
                <w:lang w:val="sq-AL"/>
              </w:rPr>
              <w:t xml:space="preserve">Sadi Bexheti, </w:t>
            </w:r>
            <w:r w:rsidR="00EC67EB" w:rsidRPr="00AE0CD8">
              <w:rPr>
                <w:b/>
                <w:bCs/>
                <w:i/>
                <w:lang w:val="sq-AL"/>
              </w:rPr>
              <w:t xml:space="preserve">Agim Vela: </w:t>
            </w:r>
            <w:r w:rsidR="00EC67EB">
              <w:rPr>
                <w:b/>
                <w:bCs/>
                <w:i/>
                <w:lang w:val="sq-AL"/>
              </w:rPr>
              <w:t xml:space="preserve">Anatomia e </w:t>
            </w:r>
            <w:r w:rsidR="00EC67EB" w:rsidRPr="00AE0CD8">
              <w:rPr>
                <w:b/>
                <w:bCs/>
                <w:i/>
                <w:lang w:val="sq-AL"/>
              </w:rPr>
              <w:t>Abdomeni</w:t>
            </w:r>
            <w:r w:rsidR="00EC67EB">
              <w:rPr>
                <w:b/>
                <w:bCs/>
                <w:i/>
                <w:lang w:val="sq-AL"/>
              </w:rPr>
              <w:t>t</w:t>
            </w:r>
            <w:r w:rsidR="00EC67EB" w:rsidRPr="00AE0CD8">
              <w:rPr>
                <w:b/>
                <w:bCs/>
                <w:i/>
                <w:lang w:val="sq-AL"/>
              </w:rPr>
              <w:t>, 2001</w:t>
            </w:r>
          </w:p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C67EB" w:rsidRPr="00777D28" w:rsidTr="00183923">
        <w:tc>
          <w:tcPr>
            <w:tcW w:w="3617" w:type="dxa"/>
          </w:tcPr>
          <w:p w:rsidR="00EC67EB" w:rsidRPr="00777D28" w:rsidRDefault="00EC67EB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EC67EB" w:rsidRPr="00D67209" w:rsidRDefault="00EC67E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Listoni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literaturën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rekomanduar</w:t>
            </w:r>
            <w:proofErr w:type="spellEnd"/>
            <w:r w:rsidRPr="00D67209">
              <w:rPr>
                <w:rFonts w:ascii="Calibri" w:hAnsi="Calibri"/>
                <w:i/>
                <w:sz w:val="22"/>
                <w:szCs w:val="22"/>
              </w:rPr>
              <w:t>/</w:t>
            </w:r>
            <w:proofErr w:type="spellStart"/>
            <w:r w:rsidRPr="00D67209">
              <w:rPr>
                <w:rFonts w:ascii="Calibri" w:hAnsi="Calibri"/>
                <w:i/>
                <w:sz w:val="22"/>
                <w:szCs w:val="22"/>
              </w:rPr>
              <w:t>shtesë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5953"/>
      </w:tblGrid>
      <w:tr w:rsidR="00D67209" w:rsidRPr="00777D28" w:rsidTr="00B42345">
        <w:tc>
          <w:tcPr>
            <w:tcW w:w="8630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B42345">
        <w:tc>
          <w:tcPr>
            <w:tcW w:w="2677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5953" w:type="dxa"/>
            <w:shd w:val="clear" w:color="auto" w:fill="B8CCE4"/>
          </w:tcPr>
          <w:p w:rsidR="00D67209" w:rsidRPr="00777D28" w:rsidRDefault="00D67209" w:rsidP="00DF58B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C67EB" w:rsidRPr="00777D28" w:rsidTr="00B42345">
        <w:tc>
          <w:tcPr>
            <w:tcW w:w="2677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53" w:type="dxa"/>
          </w:tcPr>
          <w:p w:rsidR="00EC67EB" w:rsidRPr="0036218F" w:rsidRDefault="003579D7" w:rsidP="0036218F">
            <w:pPr>
              <w:jc w:val="both"/>
            </w:pPr>
            <w:proofErr w:type="spellStart"/>
            <w:r w:rsidRPr="0036218F">
              <w:t>Hyrje</w:t>
            </w:r>
            <w:proofErr w:type="spellEnd"/>
            <w:r w:rsidRPr="0036218F">
              <w:t xml:space="preserve"> ne </w:t>
            </w:r>
            <w:proofErr w:type="spellStart"/>
            <w:r w:rsidRPr="0036218F">
              <w:t>anatomine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Klinike</w:t>
            </w:r>
            <w:proofErr w:type="spellEnd"/>
            <w:r w:rsidRPr="0036218F">
              <w:t xml:space="preserve"> 2, </w:t>
            </w:r>
            <w:proofErr w:type="spellStart"/>
            <w:r w:rsidRPr="0036218F">
              <w:t>Veshtrim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mbi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anatomine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Koka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qafa</w:t>
            </w:r>
            <w:proofErr w:type="spellEnd"/>
            <w:r w:rsidRPr="0036218F">
              <w:t>.</w:t>
            </w:r>
          </w:p>
          <w:p w:rsidR="003579D7" w:rsidRPr="0036218F" w:rsidRDefault="003579D7" w:rsidP="0036218F">
            <w:pPr>
              <w:jc w:val="both"/>
            </w:pPr>
            <w:proofErr w:type="spellStart"/>
            <w:r w:rsidRPr="0036218F">
              <w:t>Eshtrat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kokes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anatomia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klinike</w:t>
            </w:r>
            <w:proofErr w:type="spellEnd"/>
            <w:r w:rsidRPr="0036218F">
              <w:t>-</w:t>
            </w:r>
          </w:p>
        </w:tc>
      </w:tr>
      <w:tr w:rsidR="00EC67EB" w:rsidRPr="00777D28" w:rsidTr="00B42345">
        <w:tc>
          <w:tcPr>
            <w:tcW w:w="2677" w:type="dxa"/>
          </w:tcPr>
          <w:p w:rsidR="00EC67EB" w:rsidRPr="00777D28" w:rsidRDefault="00EC67EB" w:rsidP="00EC67EB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53" w:type="dxa"/>
          </w:tcPr>
          <w:p w:rsidR="00EC67EB" w:rsidRPr="0036218F" w:rsidRDefault="00B42345" w:rsidP="0036218F">
            <w:pPr>
              <w:jc w:val="both"/>
            </w:pPr>
            <w:proofErr w:type="spellStart"/>
            <w:r w:rsidRPr="0036218F">
              <w:t>Truri</w:t>
            </w:r>
            <w:proofErr w:type="spellEnd"/>
            <w:r w:rsidRPr="0036218F">
              <w:t xml:space="preserve">: </w:t>
            </w:r>
            <w:proofErr w:type="spellStart"/>
            <w:r w:rsidRPr="0036218F">
              <w:t>zhvillimi</w:t>
            </w:r>
            <w:proofErr w:type="spellEnd"/>
            <w:r w:rsidRPr="0036218F">
              <w:t xml:space="preserve"> embryonal, </w:t>
            </w:r>
            <w:proofErr w:type="spellStart"/>
            <w:r w:rsidRPr="0036218F">
              <w:t>anatomia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ndarja</w:t>
            </w:r>
            <w:proofErr w:type="spellEnd"/>
            <w:r w:rsidRPr="0036218F">
              <w:t xml:space="preserve"> e SN.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Ataku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iskemik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tranzitor</w:t>
            </w:r>
            <w:proofErr w:type="spellEnd"/>
            <w:r w:rsidRPr="0036218F">
              <w:t xml:space="preserve">. </w:t>
            </w:r>
            <w:proofErr w:type="spellStart"/>
            <w:r w:rsidRPr="0036218F">
              <w:t>Demenca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vaskulare</w:t>
            </w:r>
            <w:proofErr w:type="spellEnd"/>
            <w:r w:rsidRPr="0036218F">
              <w:t xml:space="preserve">. </w:t>
            </w:r>
            <w:proofErr w:type="spellStart"/>
            <w:r w:rsidRPr="0036218F">
              <w:t>Tumoret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trurit</w:t>
            </w:r>
            <w:proofErr w:type="spellEnd"/>
            <w:r w:rsidRPr="0036218F">
              <w:t xml:space="preserve">. </w:t>
            </w:r>
            <w:proofErr w:type="spellStart"/>
            <w:r w:rsidRPr="0036218F">
              <w:t>Metastazat</w:t>
            </w:r>
            <w:proofErr w:type="spellEnd"/>
            <w:r w:rsidRPr="0036218F">
              <w:t xml:space="preserve">. 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Meningjet,sinuset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dural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hapesira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subarachnodale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hidrocephalusi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meningjitet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hemoragjite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intracerbrale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subarachnoidale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epidurale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subdurale</w:t>
            </w:r>
            <w:proofErr w:type="spellEnd"/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Muskujt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kokes</w:t>
            </w:r>
            <w:proofErr w:type="spellEnd"/>
            <w:r w:rsidRPr="0036218F">
              <w:t xml:space="preserve">; </w:t>
            </w:r>
            <w:proofErr w:type="spellStart"/>
            <w:r w:rsidRPr="0036218F">
              <w:t>muskujt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mimikes</w:t>
            </w:r>
            <w:proofErr w:type="spellEnd"/>
            <w:r w:rsidRPr="0036218F">
              <w:t xml:space="preserve">. </w:t>
            </w:r>
            <w:proofErr w:type="spellStart"/>
            <w:r w:rsidRPr="0036218F">
              <w:t>Neuralgjia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trigeminale</w:t>
            </w:r>
            <w:proofErr w:type="spellEnd"/>
            <w:r w:rsidRPr="0036218F">
              <w:t>. Nervi Facial-</w:t>
            </w:r>
            <w:proofErr w:type="spellStart"/>
            <w:r w:rsidRPr="0036218F">
              <w:t>paraliza</w:t>
            </w:r>
            <w:proofErr w:type="spellEnd"/>
            <w:r w:rsidRPr="0036218F">
              <w:t xml:space="preserve"> Bell’s. </w:t>
            </w:r>
            <w:proofErr w:type="spellStart"/>
            <w:r w:rsidRPr="0036218F">
              <w:t>Semundjet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inflamatore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53" w:type="dxa"/>
          </w:tcPr>
          <w:p w:rsidR="00B42345" w:rsidRPr="0036218F" w:rsidRDefault="00B42345" w:rsidP="003A61F8">
            <w:pPr>
              <w:jc w:val="both"/>
            </w:pPr>
            <w:proofErr w:type="spellStart"/>
            <w:r w:rsidRPr="0036218F">
              <w:t>Orbita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organi</w:t>
            </w:r>
            <w:proofErr w:type="spellEnd"/>
            <w:r w:rsidRPr="0036218F">
              <w:t xml:space="preserve"> </w:t>
            </w:r>
            <w:proofErr w:type="spellStart"/>
            <w:r w:rsidR="0036218F">
              <w:t>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te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parit</w:t>
            </w:r>
            <w:proofErr w:type="spellEnd"/>
            <w:r w:rsidRPr="0036218F">
              <w:t xml:space="preserve">. </w:t>
            </w:r>
            <w:proofErr w:type="spellStart"/>
            <w:r w:rsidRPr="0036218F">
              <w:t>Testet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klinike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te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m</w:t>
            </w:r>
            <w:r w:rsidR="003A61F8">
              <w:t>uskujve</w:t>
            </w:r>
            <w:proofErr w:type="spellEnd"/>
            <w:r w:rsidR="003A61F8">
              <w:t xml:space="preserve"> </w:t>
            </w:r>
            <w:proofErr w:type="spellStart"/>
            <w:r w:rsidRPr="0036218F">
              <w:t>ekstraokular</w:t>
            </w:r>
            <w:proofErr w:type="spellEnd"/>
            <w:r w:rsidRPr="0036218F">
              <w:t>.</w:t>
            </w:r>
            <w:r w:rsidR="0036218F">
              <w:t xml:space="preserve"> </w:t>
            </w:r>
            <w:r w:rsidRPr="0036218F">
              <w:t xml:space="preserve">Horner </w:t>
            </w:r>
            <w:proofErr w:type="spellStart"/>
            <w:r w:rsidRPr="0036218F">
              <w:t>Syndroma</w:t>
            </w:r>
            <w:proofErr w:type="spellEnd"/>
            <w:r w:rsidRPr="0036218F">
              <w:t xml:space="preserve">, Retina. </w:t>
            </w:r>
            <w:proofErr w:type="spellStart"/>
            <w:r w:rsidRPr="0036218F">
              <w:t>Akomodimi</w:t>
            </w:r>
            <w:proofErr w:type="spellEnd"/>
            <w:r w:rsidRPr="0036218F">
              <w:t xml:space="preserve"> </w:t>
            </w:r>
            <w:proofErr w:type="spellStart"/>
            <w:r w:rsidR="0036218F">
              <w:t>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syrit</w:t>
            </w:r>
            <w:proofErr w:type="spellEnd"/>
            <w:r w:rsidRPr="0036218F">
              <w:t xml:space="preserve">. </w:t>
            </w:r>
            <w:proofErr w:type="spellStart"/>
            <w:r w:rsidR="0036218F">
              <w:t>Organet</w:t>
            </w:r>
            <w:proofErr w:type="spellEnd"/>
            <w:r w:rsidR="0036218F">
              <w:t xml:space="preserve"> </w:t>
            </w:r>
            <w:proofErr w:type="spellStart"/>
            <w:r w:rsidR="0036218F">
              <w:t>ndihmese</w:t>
            </w:r>
            <w:proofErr w:type="spellEnd"/>
            <w:r w:rsidR="0036218F">
              <w:t xml:space="preserve"> </w:t>
            </w:r>
            <w:proofErr w:type="spellStart"/>
            <w:r w:rsidR="0036218F">
              <w:t>te</w:t>
            </w:r>
            <w:proofErr w:type="spellEnd"/>
            <w:r w:rsidR="0036218F">
              <w:t xml:space="preserve"> </w:t>
            </w:r>
            <w:proofErr w:type="spellStart"/>
            <w:r w:rsidR="0036218F">
              <w:t>parit</w:t>
            </w:r>
            <w:proofErr w:type="spellEnd"/>
            <w:r w:rsid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Veshi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organi</w:t>
            </w:r>
            <w:proofErr w:type="spellEnd"/>
            <w:r w:rsidRPr="0036218F">
              <w:t xml:space="preserve"> I </w:t>
            </w:r>
            <w:proofErr w:type="spellStart"/>
            <w:r w:rsidRPr="0036218F">
              <w:t>drejtpeshimit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anatomia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klinike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tije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Regjioni</w:t>
            </w:r>
            <w:proofErr w:type="spellEnd"/>
            <w:r w:rsidRPr="0036218F">
              <w:t xml:space="preserve"> </w:t>
            </w:r>
            <w:proofErr w:type="spellStart"/>
            <w:proofErr w:type="gramStart"/>
            <w:r w:rsidRPr="0036218F">
              <w:t>temporal.Vertigo</w:t>
            </w:r>
            <w:proofErr w:type="spellEnd"/>
            <w:proofErr w:type="gramEnd"/>
            <w:r w:rsidRPr="0036218F">
              <w:t xml:space="preserve">, cochlear implant, neuroma </w:t>
            </w:r>
            <w:proofErr w:type="spellStart"/>
            <w:r w:rsidRPr="0036218F">
              <w:t>akustike</w:t>
            </w:r>
            <w:proofErr w:type="spellEnd"/>
            <w:r w:rsidRPr="0036218F">
              <w:t xml:space="preserve">. </w:t>
            </w:r>
            <w:proofErr w:type="spellStart"/>
            <w:proofErr w:type="gramStart"/>
            <w:r w:rsidRPr="0036218F">
              <w:t>Gl.parotide</w:t>
            </w:r>
            <w:proofErr w:type="spellEnd"/>
            <w:proofErr w:type="gramEnd"/>
            <w:r w:rsidRPr="0036218F">
              <w:t xml:space="preserve">. </w:t>
            </w:r>
            <w:proofErr w:type="spellStart"/>
            <w:r w:rsidRPr="0036218F">
              <w:t>Dislokimi</w:t>
            </w:r>
            <w:proofErr w:type="spellEnd"/>
            <w:r w:rsidRPr="0036218F">
              <w:t xml:space="preserve"> mandibular. </w:t>
            </w:r>
            <w:proofErr w:type="spellStart"/>
            <w:r w:rsidRPr="0036218F">
              <w:t>Frakturat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mandibulles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Sinuset</w:t>
            </w:r>
            <w:proofErr w:type="spellEnd"/>
            <w:r w:rsidRPr="0036218F">
              <w:t xml:space="preserve"> paranasal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kaviteti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nazal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patologjite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percjellese</w:t>
            </w:r>
            <w:proofErr w:type="spellEnd"/>
            <w:r w:rsidRPr="0036218F">
              <w:t>.</w:t>
            </w:r>
            <w:r w:rsidR="0036218F">
              <w:t xml:space="preserve"> </w:t>
            </w:r>
            <w:proofErr w:type="spellStart"/>
            <w:r w:rsidR="0036218F">
              <w:t>Organi</w:t>
            </w:r>
            <w:proofErr w:type="spellEnd"/>
            <w:r w:rsidR="0036218F">
              <w:t xml:space="preserve"> </w:t>
            </w:r>
            <w:proofErr w:type="spellStart"/>
            <w:r w:rsidR="0036218F">
              <w:t>i</w:t>
            </w:r>
            <w:proofErr w:type="spellEnd"/>
            <w:r w:rsidR="0036218F">
              <w:t xml:space="preserve"> </w:t>
            </w:r>
            <w:proofErr w:type="spellStart"/>
            <w:r w:rsidR="0036218F">
              <w:t>nuhatjes</w:t>
            </w:r>
            <w:proofErr w:type="spellEnd"/>
            <w:r w:rsid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Kaviteti</w:t>
            </w:r>
            <w:proofErr w:type="spellEnd"/>
            <w:r w:rsidRPr="0036218F">
              <w:t xml:space="preserve"> oral: </w:t>
            </w:r>
            <w:proofErr w:type="spellStart"/>
            <w:r w:rsidRPr="0036218F">
              <w:t>muskujt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gjendrrat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sali</w:t>
            </w:r>
            <w:r w:rsidR="0036218F">
              <w:t>vare</w:t>
            </w:r>
            <w:proofErr w:type="spellEnd"/>
            <w:r w:rsidR="0036218F">
              <w:t xml:space="preserve">, </w:t>
            </w:r>
            <w:proofErr w:type="spellStart"/>
            <w:r w:rsidR="0036218F">
              <w:t>palatum</w:t>
            </w:r>
            <w:proofErr w:type="spellEnd"/>
            <w:r w:rsidR="0036218F">
              <w:t xml:space="preserve">, </w:t>
            </w:r>
            <w:proofErr w:type="spellStart"/>
            <w:r w:rsidR="0036218F">
              <w:t>dhembet</w:t>
            </w:r>
            <w:proofErr w:type="spellEnd"/>
            <w:r w:rsidR="0036218F">
              <w:t xml:space="preserve">, gingiva. </w:t>
            </w:r>
            <w:proofErr w:type="spellStart"/>
            <w:r w:rsidR="0036218F">
              <w:t>Organi</w:t>
            </w:r>
            <w:proofErr w:type="spellEnd"/>
            <w:r w:rsidR="0036218F">
              <w:t xml:space="preserve"> </w:t>
            </w:r>
            <w:proofErr w:type="spellStart"/>
            <w:r w:rsidR="0036218F">
              <w:t>i</w:t>
            </w:r>
            <w:proofErr w:type="spellEnd"/>
            <w:r w:rsidR="0036218F">
              <w:t xml:space="preserve"> </w:t>
            </w:r>
            <w:proofErr w:type="spellStart"/>
            <w:r w:rsidR="0036218F">
              <w:t>shijes</w:t>
            </w:r>
            <w:proofErr w:type="spellEnd"/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Qafa</w:t>
            </w:r>
            <w:proofErr w:type="spellEnd"/>
            <w:r w:rsidRPr="0036218F">
              <w:t xml:space="preserve">: </w:t>
            </w:r>
            <w:proofErr w:type="spellStart"/>
            <w:r w:rsidRPr="0036218F">
              <w:t>muskujt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plexusi</w:t>
            </w:r>
            <w:proofErr w:type="spellEnd"/>
            <w:r w:rsidRPr="0036218F">
              <w:t xml:space="preserve"> cervical, </w:t>
            </w:r>
            <w:proofErr w:type="spellStart"/>
            <w:r w:rsidRPr="0036218F">
              <w:t>qarkullimi</w:t>
            </w:r>
            <w:proofErr w:type="spellEnd"/>
            <w:r w:rsidRPr="0036218F">
              <w:t xml:space="preserve"> </w:t>
            </w:r>
            <w:proofErr w:type="spellStart"/>
            <w:r w:rsidR="0036218F">
              <w:t>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gjaku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nujet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limfatike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gjendrra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parotide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gjendrra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tiroide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Faringu</w:t>
            </w:r>
            <w:proofErr w:type="spellEnd"/>
            <w:r w:rsidRPr="0036218F">
              <w:t>:</w:t>
            </w:r>
            <w:r w:rsidR="0036218F" w:rsidRPr="0036218F">
              <w:t xml:space="preserve"> </w:t>
            </w:r>
            <w:proofErr w:type="spellStart"/>
            <w:r w:rsidR="0036218F" w:rsidRPr="0036218F">
              <w:t>muskujt</w:t>
            </w:r>
            <w:proofErr w:type="spellEnd"/>
            <w:r w:rsidR="0036218F" w:rsidRPr="0036218F">
              <w:t xml:space="preserve">, </w:t>
            </w:r>
            <w:proofErr w:type="spellStart"/>
            <w:r w:rsidR="0036218F" w:rsidRPr="0036218F">
              <w:t>inervimi</w:t>
            </w:r>
            <w:proofErr w:type="spellEnd"/>
            <w:r w:rsidR="0036218F" w:rsidRPr="0036218F">
              <w:t xml:space="preserve">, </w:t>
            </w:r>
            <w:proofErr w:type="spellStart"/>
            <w:r w:rsidR="0036218F" w:rsidRPr="0036218F">
              <w:t>vasku</w:t>
            </w:r>
            <w:r w:rsidRPr="0036218F">
              <w:t>l</w:t>
            </w:r>
            <w:r w:rsidR="0036218F" w:rsidRPr="0036218F">
              <w:t>a</w:t>
            </w:r>
            <w:r w:rsidRPr="0036218F">
              <w:t>rizimi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patologjite</w:t>
            </w:r>
            <w:proofErr w:type="spellEnd"/>
            <w:r w:rsidRPr="0036218F">
              <w:t xml:space="preserve"> e </w:t>
            </w:r>
            <w:proofErr w:type="spellStart"/>
            <w:r w:rsidRPr="0036218F">
              <w:t>mundshme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  <w:proofErr w:type="spellStart"/>
            <w:r w:rsidRPr="0036218F">
              <w:t>Laringu</w:t>
            </w:r>
            <w:proofErr w:type="spellEnd"/>
            <w:r w:rsidRPr="0036218F">
              <w:t xml:space="preserve">: </w:t>
            </w:r>
            <w:proofErr w:type="spellStart"/>
            <w:r w:rsidRPr="0036218F">
              <w:t>muskujt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kartilagot</w:t>
            </w:r>
            <w:proofErr w:type="spellEnd"/>
            <w:r w:rsidRPr="0036218F">
              <w:t xml:space="preserve">, </w:t>
            </w:r>
            <w:proofErr w:type="spellStart"/>
            <w:r w:rsidRPr="0036218F">
              <w:t>vaskularizimi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inervimi</w:t>
            </w:r>
            <w:proofErr w:type="spellEnd"/>
            <w:r w:rsidRPr="0036218F">
              <w:t>.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53" w:type="dxa"/>
          </w:tcPr>
          <w:p w:rsidR="00B42345" w:rsidRPr="0036218F" w:rsidRDefault="0036218F" w:rsidP="0036218F">
            <w:pPr>
              <w:jc w:val="both"/>
            </w:pPr>
            <w:proofErr w:type="spellStart"/>
            <w:r w:rsidRPr="0036218F">
              <w:t>Vaskularizimi</w:t>
            </w:r>
            <w:proofErr w:type="spellEnd"/>
            <w:r w:rsidRPr="0036218F">
              <w:t xml:space="preserve"> </w:t>
            </w:r>
            <w:proofErr w:type="spellStart"/>
            <w:r>
              <w:t>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kokes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dhe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qafes</w:t>
            </w:r>
            <w:proofErr w:type="spellEnd"/>
            <w:r w:rsidRPr="0036218F">
              <w:t xml:space="preserve"> ne </w:t>
            </w:r>
            <w:proofErr w:type="spellStart"/>
            <w:r w:rsidRPr="0036218F">
              <w:t>pergjithesi</w:t>
            </w:r>
            <w:proofErr w:type="spellEnd"/>
            <w:r w:rsidRPr="0036218F">
              <w:t xml:space="preserve"> </w:t>
            </w: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953" w:type="dxa"/>
          </w:tcPr>
          <w:p w:rsidR="00B42345" w:rsidRPr="0036218F" w:rsidRDefault="0036218F" w:rsidP="0036218F">
            <w:pPr>
              <w:jc w:val="both"/>
            </w:pPr>
            <w:proofErr w:type="spellStart"/>
            <w:r w:rsidRPr="0036218F">
              <w:t>Nervat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kranial</w:t>
            </w:r>
            <w:proofErr w:type="spellEnd"/>
            <w:r w:rsidRPr="0036218F">
              <w:t xml:space="preserve">- </w:t>
            </w:r>
            <w:proofErr w:type="spellStart"/>
            <w:r w:rsidRPr="0036218F">
              <w:t>inervimi</w:t>
            </w:r>
            <w:proofErr w:type="spellEnd"/>
            <w:r w:rsidRPr="0036218F">
              <w:t xml:space="preserve"> </w:t>
            </w:r>
            <w:proofErr w:type="spellStart"/>
            <w:r w:rsidRPr="0036218F">
              <w:t>autonom</w:t>
            </w:r>
            <w:proofErr w:type="spellEnd"/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953" w:type="dxa"/>
          </w:tcPr>
          <w:p w:rsidR="00B42345" w:rsidRPr="0036218F" w:rsidRDefault="00B42345" w:rsidP="0036218F">
            <w:pPr>
              <w:jc w:val="both"/>
            </w:pPr>
          </w:p>
        </w:tc>
      </w:tr>
      <w:tr w:rsidR="00B42345" w:rsidRPr="00777D28" w:rsidTr="00B42345">
        <w:tc>
          <w:tcPr>
            <w:tcW w:w="2677" w:type="dxa"/>
          </w:tcPr>
          <w:p w:rsidR="00B42345" w:rsidRPr="00777D28" w:rsidRDefault="00B42345" w:rsidP="00B42345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953" w:type="dxa"/>
          </w:tcPr>
          <w:p w:rsidR="00B42345" w:rsidRPr="00E27B89" w:rsidRDefault="00B42345" w:rsidP="00B42345"/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D67209" w:rsidRDefault="00EC67EB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31757">
              <w:rPr>
                <w:rFonts w:ascii="Arial" w:hAnsi="Arial" w:cs="Arial"/>
                <w:sz w:val="21"/>
                <w:szCs w:val="21"/>
                <w:lang w:val="sq-AL"/>
              </w:rPr>
              <w:t>Studenti gjat semestrit duhet të jetë i rregullt në ligjërata dhe ushtrime, duhet ti përmbahet orarit të fillimit mësimit, të ketë njohuri paraprake mbi ligjëratën/ushtrimin, të jetë i sjellshëm dhe të mos pengojë mbajtjen e mësimit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0D" w:rsidRDefault="003C480D">
      <w:r>
        <w:separator/>
      </w:r>
    </w:p>
  </w:endnote>
  <w:endnote w:type="continuationSeparator" w:id="0">
    <w:p w:rsidR="003C480D" w:rsidRDefault="003C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6B5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0D" w:rsidRDefault="003C480D">
      <w:r>
        <w:separator/>
      </w:r>
    </w:p>
  </w:footnote>
  <w:footnote w:type="continuationSeparator" w:id="0">
    <w:p w:rsidR="003C480D" w:rsidRDefault="003C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46916B82"/>
    <w:multiLevelType w:val="hybridMultilevel"/>
    <w:tmpl w:val="2B5A6FC6"/>
    <w:lvl w:ilvl="0" w:tplc="F61C48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0A2CBF"/>
    <w:rsid w:val="000F4741"/>
    <w:rsid w:val="00102557"/>
    <w:rsid w:val="00105C2D"/>
    <w:rsid w:val="00125214"/>
    <w:rsid w:val="00132604"/>
    <w:rsid w:val="00183923"/>
    <w:rsid w:val="001D2BD6"/>
    <w:rsid w:val="0021580C"/>
    <w:rsid w:val="002177ED"/>
    <w:rsid w:val="002466FE"/>
    <w:rsid w:val="0025172B"/>
    <w:rsid w:val="002610A3"/>
    <w:rsid w:val="002A0122"/>
    <w:rsid w:val="002C00FA"/>
    <w:rsid w:val="002D3069"/>
    <w:rsid w:val="002E306F"/>
    <w:rsid w:val="0030354C"/>
    <w:rsid w:val="00313D9D"/>
    <w:rsid w:val="00342041"/>
    <w:rsid w:val="003579D7"/>
    <w:rsid w:val="0036218F"/>
    <w:rsid w:val="00381B41"/>
    <w:rsid w:val="003A3223"/>
    <w:rsid w:val="003A61F8"/>
    <w:rsid w:val="003B625C"/>
    <w:rsid w:val="003C480D"/>
    <w:rsid w:val="003E3193"/>
    <w:rsid w:val="003F45EB"/>
    <w:rsid w:val="004B698F"/>
    <w:rsid w:val="004C0CCA"/>
    <w:rsid w:val="00526E92"/>
    <w:rsid w:val="00603DD2"/>
    <w:rsid w:val="006A16B5"/>
    <w:rsid w:val="006D7FB4"/>
    <w:rsid w:val="006F116D"/>
    <w:rsid w:val="007038CC"/>
    <w:rsid w:val="0072234B"/>
    <w:rsid w:val="00746D8D"/>
    <w:rsid w:val="00777D28"/>
    <w:rsid w:val="00781805"/>
    <w:rsid w:val="007A333B"/>
    <w:rsid w:val="007B1510"/>
    <w:rsid w:val="007B68A2"/>
    <w:rsid w:val="007C3132"/>
    <w:rsid w:val="007E6202"/>
    <w:rsid w:val="007F46C5"/>
    <w:rsid w:val="007F57EE"/>
    <w:rsid w:val="008A439B"/>
    <w:rsid w:val="008A716D"/>
    <w:rsid w:val="008D0608"/>
    <w:rsid w:val="00903474"/>
    <w:rsid w:val="009B3F0A"/>
    <w:rsid w:val="009E2AF8"/>
    <w:rsid w:val="009F429C"/>
    <w:rsid w:val="00A01C05"/>
    <w:rsid w:val="00A21B81"/>
    <w:rsid w:val="00A3793A"/>
    <w:rsid w:val="00A545BA"/>
    <w:rsid w:val="00A662A0"/>
    <w:rsid w:val="00AA2C57"/>
    <w:rsid w:val="00AA3C2B"/>
    <w:rsid w:val="00AC08ED"/>
    <w:rsid w:val="00B35215"/>
    <w:rsid w:val="00B42345"/>
    <w:rsid w:val="00B653C9"/>
    <w:rsid w:val="00B815D1"/>
    <w:rsid w:val="00BA6E9C"/>
    <w:rsid w:val="00BB1A1A"/>
    <w:rsid w:val="00C6155B"/>
    <w:rsid w:val="00CF116F"/>
    <w:rsid w:val="00D10BC6"/>
    <w:rsid w:val="00D64BD4"/>
    <w:rsid w:val="00D67209"/>
    <w:rsid w:val="00DB2823"/>
    <w:rsid w:val="00DB2A9D"/>
    <w:rsid w:val="00DB74AB"/>
    <w:rsid w:val="00DF58B6"/>
    <w:rsid w:val="00DF6543"/>
    <w:rsid w:val="00E57ED7"/>
    <w:rsid w:val="00E63B5A"/>
    <w:rsid w:val="00E64FDE"/>
    <w:rsid w:val="00EB493F"/>
    <w:rsid w:val="00EC67EB"/>
    <w:rsid w:val="00EF57F9"/>
    <w:rsid w:val="00F04222"/>
    <w:rsid w:val="00F34158"/>
    <w:rsid w:val="00F47480"/>
    <w:rsid w:val="00F5660C"/>
    <w:rsid w:val="00F9041C"/>
    <w:rsid w:val="00FB050B"/>
    <w:rsid w:val="00FE647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95B39"/>
  <w15:docId w15:val="{B3F3B8C7-99CC-452E-996D-28354B23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251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on.shatr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tim.rashit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18</cp:lastModifiedBy>
  <cp:revision>3</cp:revision>
  <cp:lastPrinted>2011-03-07T10:39:00Z</cp:lastPrinted>
  <dcterms:created xsi:type="dcterms:W3CDTF">2024-11-27T19:20:00Z</dcterms:created>
  <dcterms:modified xsi:type="dcterms:W3CDTF">2024-11-30T07:42:00Z</dcterms:modified>
</cp:coreProperties>
</file>