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D0" w:rsidRPr="002C3AC8" w:rsidRDefault="00DD4CD0" w:rsidP="00DD4CD0">
      <w:pPr>
        <w:rPr>
          <w:rFonts w:ascii="Times New Roman" w:hAnsi="Times New Roman"/>
        </w:rPr>
      </w:pPr>
    </w:p>
    <w:p w:rsidR="00DD4CD0" w:rsidRPr="002C3AC8" w:rsidRDefault="00DD4CD0" w:rsidP="00DD4CD0">
      <w:pPr>
        <w:rPr>
          <w:rFonts w:ascii="Times New Roman" w:hAnsi="Times New Roman"/>
        </w:rPr>
      </w:pPr>
      <w:r w:rsidRPr="002C3AC8">
        <w:rPr>
          <w:rFonts w:ascii="Times New Roman" w:hAnsi="Times New Roman"/>
        </w:rPr>
        <w:t xml:space="preserve">Titulli i lëndës: </w:t>
      </w:r>
      <w:r w:rsidRPr="005F3025">
        <w:rPr>
          <w:rFonts w:ascii="Times New Roman" w:hAnsi="Times New Roman"/>
          <w:b/>
        </w:rPr>
        <w:t>HYRJE NË KIMI FARMACEUTIKE</w:t>
      </w:r>
      <w:r>
        <w:rPr>
          <w:rFonts w:ascii="Times New Roman" w:hAnsi="Times New Roman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DD4CD0" w:rsidRPr="00F1659A" w:rsidTr="00DA534F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Informatat themelore për lëndën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rFonts w:eastAsia="Calibri"/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Fakulteti i Mjekësisë/Departamenti i Farmacisë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5F3025" w:rsidRDefault="00DD4CD0" w:rsidP="00F1659A">
            <w:pPr>
              <w:contextualSpacing/>
              <w:rPr>
                <w:rFonts w:ascii="Times New Roman" w:hAnsi="Times New Roman"/>
                <w:b/>
              </w:rPr>
            </w:pPr>
            <w:r w:rsidRPr="005F3025">
              <w:rPr>
                <w:rFonts w:ascii="Times New Roman" w:hAnsi="Times New Roman"/>
                <w:b/>
              </w:rPr>
              <w:t xml:space="preserve">HYRJE NË KIMI FARMACEUTIKE 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rFonts w:eastAsia="Calibri"/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 xml:space="preserve">Studimet themelore 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rFonts w:eastAsia="Calibri"/>
                <w:sz w:val="22"/>
                <w:szCs w:val="22"/>
                <w:lang w:val="sq-AL"/>
              </w:rPr>
            </w:pPr>
            <w:r w:rsidRPr="00F1659A">
              <w:rPr>
                <w:rFonts w:eastAsia="Calibri"/>
                <w:sz w:val="22"/>
                <w:szCs w:val="22"/>
                <w:lang w:val="sq-AL"/>
              </w:rPr>
              <w:t>I obligueshëm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rFonts w:eastAsia="Calibri"/>
                <w:sz w:val="22"/>
                <w:szCs w:val="22"/>
                <w:lang w:val="sq-AL"/>
              </w:rPr>
            </w:pPr>
            <w:r w:rsidRPr="00F1659A">
              <w:rPr>
                <w:rFonts w:eastAsia="Calibri"/>
                <w:sz w:val="22"/>
                <w:szCs w:val="22"/>
                <w:lang w:val="sq-AL"/>
              </w:rPr>
              <w:t xml:space="preserve">Viti i II  | Semestri i </w:t>
            </w:r>
            <w:r w:rsidR="004F1063" w:rsidRPr="00F1659A">
              <w:rPr>
                <w:rFonts w:eastAsia="Calibri"/>
                <w:sz w:val="22"/>
                <w:szCs w:val="22"/>
                <w:lang w:val="sq-AL"/>
              </w:rPr>
              <w:t>I</w:t>
            </w:r>
            <w:r w:rsidR="002570DA">
              <w:rPr>
                <w:rFonts w:eastAsia="Calibri"/>
                <w:sz w:val="22"/>
                <w:szCs w:val="22"/>
                <w:lang w:val="sq-AL"/>
              </w:rPr>
              <w:t>V</w:t>
            </w:r>
            <w:r w:rsidRPr="00F1659A">
              <w:rPr>
                <w:rFonts w:eastAsia="Calibri"/>
                <w:sz w:val="22"/>
                <w:szCs w:val="22"/>
                <w:lang w:val="sq-AL"/>
              </w:rPr>
              <w:t xml:space="preserve">-të, 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4F1063" w:rsidP="00F1659A">
            <w:pPr>
              <w:pStyle w:val="NoSpacing"/>
              <w:contextualSpacing/>
              <w:rPr>
                <w:rFonts w:eastAsia="Calibri"/>
                <w:sz w:val="22"/>
                <w:szCs w:val="22"/>
                <w:lang w:val="sq-AL"/>
              </w:rPr>
            </w:pPr>
            <w:r w:rsidRPr="00F1659A">
              <w:rPr>
                <w:rFonts w:eastAsia="Calibri"/>
                <w:sz w:val="22"/>
                <w:szCs w:val="22"/>
                <w:lang w:val="sq-AL"/>
              </w:rPr>
              <w:t>3+</w:t>
            </w:r>
            <w:r w:rsidR="002570DA">
              <w:rPr>
                <w:rFonts w:eastAsia="Calibri"/>
                <w:sz w:val="22"/>
                <w:szCs w:val="22"/>
                <w:lang w:val="sq-AL"/>
              </w:rPr>
              <w:t>0+</w:t>
            </w:r>
            <w:r w:rsidRPr="00F1659A">
              <w:rPr>
                <w:rFonts w:eastAsia="Calibri"/>
                <w:sz w:val="22"/>
                <w:szCs w:val="22"/>
                <w:lang w:val="sq-AL"/>
              </w:rPr>
              <w:t xml:space="preserve">3; 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4F1063" w:rsidP="00F1659A">
            <w:pPr>
              <w:pStyle w:val="NoSpacing"/>
              <w:contextualSpacing/>
              <w:rPr>
                <w:rFonts w:eastAsia="Calibri"/>
                <w:sz w:val="22"/>
                <w:szCs w:val="22"/>
                <w:lang w:val="sq-AL"/>
              </w:rPr>
            </w:pPr>
            <w:r w:rsidRPr="00F1659A">
              <w:rPr>
                <w:rFonts w:eastAsia="Calibri"/>
                <w:sz w:val="22"/>
                <w:szCs w:val="22"/>
                <w:lang w:val="sq-AL"/>
              </w:rPr>
              <w:t>6</w:t>
            </w:r>
            <w:r w:rsidR="00DD4CD0" w:rsidRPr="00F1659A">
              <w:rPr>
                <w:rFonts w:eastAsia="Calibr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rFonts w:eastAsia="Calibri"/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Departamenti i Farmacisë</w:t>
            </w:r>
            <w:r w:rsidRPr="00F1659A">
              <w:rPr>
                <w:rFonts w:eastAsia="Calibri"/>
                <w:sz w:val="22"/>
                <w:szCs w:val="22"/>
                <w:lang w:val="sq-AL"/>
              </w:rPr>
              <w:t xml:space="preserve"> |Sipas orarit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E61B8" w:rsidP="00F1659A">
            <w:pPr>
              <w:pStyle w:val="NoSpacing"/>
              <w:contextualSpacing/>
              <w:rPr>
                <w:rFonts w:eastAsia="Calibri"/>
                <w:sz w:val="22"/>
                <w:szCs w:val="22"/>
                <w:lang w:val="sq-AL"/>
              </w:rPr>
            </w:pPr>
            <w:r>
              <w:rPr>
                <w:rFonts w:eastAsia="Calibri"/>
                <w:sz w:val="22"/>
                <w:szCs w:val="22"/>
                <w:lang w:val="sq-AL"/>
              </w:rPr>
              <w:t>Prof. Asoc</w:t>
            </w:r>
            <w:bookmarkStart w:id="0" w:name="_GoBack"/>
            <w:bookmarkEnd w:id="0"/>
            <w:r w:rsidR="00DD4CD0" w:rsidRPr="00F1659A">
              <w:rPr>
                <w:rFonts w:eastAsia="Calibri"/>
                <w:sz w:val="22"/>
                <w:szCs w:val="22"/>
                <w:lang w:val="sq-AL"/>
              </w:rPr>
              <w:t xml:space="preserve">. Pranvera </w:t>
            </w:r>
            <w:proofErr w:type="spellStart"/>
            <w:r w:rsidR="00DD4CD0" w:rsidRPr="00F1659A">
              <w:rPr>
                <w:rFonts w:eastAsia="Calibri"/>
                <w:sz w:val="22"/>
                <w:szCs w:val="22"/>
                <w:lang w:val="sq-AL"/>
              </w:rPr>
              <w:t>Breznica</w:t>
            </w:r>
            <w:proofErr w:type="spellEnd"/>
            <w:r w:rsidR="00DD4CD0" w:rsidRPr="00F1659A">
              <w:rPr>
                <w:rFonts w:eastAsia="Calibri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DD4CD0" w:rsidRPr="00F1659A">
              <w:rPr>
                <w:rFonts w:eastAsia="Calibri"/>
                <w:sz w:val="22"/>
                <w:szCs w:val="22"/>
                <w:lang w:val="sq-AL"/>
              </w:rPr>
              <w:t>Selmani</w:t>
            </w:r>
            <w:proofErr w:type="spellEnd"/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4F1063" w:rsidP="00F1659A">
            <w:pPr>
              <w:pStyle w:val="NoSpacing"/>
              <w:contextualSpacing/>
              <w:rPr>
                <w:rFonts w:eastAsia="Calibri"/>
                <w:sz w:val="22"/>
                <w:szCs w:val="22"/>
                <w:lang w:val="sq-AL"/>
              </w:rPr>
            </w:pPr>
            <w:r w:rsidRPr="00F1659A">
              <w:rPr>
                <w:rFonts w:eastAsia="Calibri"/>
                <w:sz w:val="22"/>
                <w:szCs w:val="22"/>
                <w:lang w:val="sq-AL"/>
              </w:rPr>
              <w:t>Pranvera.breznica@uni-pr.edu</w:t>
            </w:r>
          </w:p>
        </w:tc>
      </w:tr>
      <w:tr w:rsidR="00DD4CD0" w:rsidRPr="00F1659A" w:rsidTr="00DA534F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9A" w:rsidRPr="00F1659A" w:rsidRDefault="00F1659A" w:rsidP="00F1659A">
            <w:pPr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 xml:space="preserve">Kjo lëndë  merret me studimin bazike duke filluar nga koncepti themelor i vetive </w:t>
            </w:r>
            <w:proofErr w:type="spellStart"/>
            <w:r w:rsidRPr="00F1659A">
              <w:rPr>
                <w:rFonts w:ascii="Times New Roman" w:hAnsi="Times New Roman"/>
              </w:rPr>
              <w:t>fizikokimike</w:t>
            </w:r>
            <w:proofErr w:type="spellEnd"/>
            <w:r w:rsidRPr="00F1659A">
              <w:rPr>
                <w:rFonts w:ascii="Times New Roman" w:hAnsi="Times New Roman"/>
              </w:rPr>
              <w:t xml:space="preserve"> te grupeve </w:t>
            </w:r>
            <w:proofErr w:type="spellStart"/>
            <w:r w:rsidRPr="00F1659A">
              <w:rPr>
                <w:rFonts w:ascii="Times New Roman" w:hAnsi="Times New Roman"/>
              </w:rPr>
              <w:t>funksionle</w:t>
            </w:r>
            <w:proofErr w:type="spellEnd"/>
            <w:r w:rsidRPr="00F1659A">
              <w:rPr>
                <w:rFonts w:ascii="Times New Roman" w:hAnsi="Times New Roman"/>
              </w:rPr>
              <w:t xml:space="preserve"> të barnave pastaj rrugët e metabolizmit, mënyrat e aplikimit si dhe vlerësimin e kualitetit të tyre. Trajtohen konceptet  që të arrihet lidhja mes strukturës kimike dhe përgjigjes në nivel molekular. </w:t>
            </w:r>
          </w:p>
          <w:p w:rsidR="00DD4CD0" w:rsidRPr="00F1659A" w:rsidRDefault="00F1659A" w:rsidP="00F1659A">
            <w:pPr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>Kjo lëndë rezulton të ketë një rol esencial për tu kuptuar studimi sistematik i grupeve të ndryshme të barnave me përmbajte inorganike duke sqaruar mekanizëm të tyre të veprimit dhe përdorimit terapeutik.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DE" w:rsidRPr="00F1659A" w:rsidRDefault="001C19DE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 xml:space="preserve">Qëllimi i lëndës është të fitohen  njohuri të nevojshme  mbi barnat, duke </w:t>
            </w:r>
            <w:proofErr w:type="spellStart"/>
            <w:r w:rsidRPr="00F1659A">
              <w:rPr>
                <w:rFonts w:ascii="Times New Roman" w:hAnsi="Times New Roman"/>
              </w:rPr>
              <w:t>fillaur</w:t>
            </w:r>
            <w:proofErr w:type="spellEnd"/>
            <w:r w:rsidRPr="00F1659A">
              <w:rPr>
                <w:rFonts w:ascii="Times New Roman" w:hAnsi="Times New Roman"/>
              </w:rPr>
              <w:t xml:space="preserve"> nga vetit </w:t>
            </w:r>
            <w:proofErr w:type="spellStart"/>
            <w:r w:rsidRPr="00F1659A">
              <w:rPr>
                <w:rFonts w:ascii="Times New Roman" w:hAnsi="Times New Roman"/>
              </w:rPr>
              <w:t>fizikokimike</w:t>
            </w:r>
            <w:proofErr w:type="spellEnd"/>
            <w:r w:rsidRPr="00F1659A">
              <w:rPr>
                <w:rFonts w:ascii="Times New Roman" w:hAnsi="Times New Roman"/>
              </w:rPr>
              <w:t xml:space="preserve"> të  </w:t>
            </w:r>
            <w:proofErr w:type="spellStart"/>
            <w:r w:rsidRPr="00F1659A">
              <w:rPr>
                <w:rFonts w:ascii="Times New Roman" w:hAnsi="Times New Roman"/>
              </w:rPr>
              <w:t>të</w:t>
            </w:r>
            <w:proofErr w:type="spellEnd"/>
            <w:r w:rsidRPr="00F1659A">
              <w:rPr>
                <w:rFonts w:ascii="Times New Roman" w:hAnsi="Times New Roman"/>
              </w:rPr>
              <w:t xml:space="preserve"> barnave pastaj rrugët e metabolizmit, mënyrat e aplikimit si dhe vlerësimin e kualitetit të tyre.</w:t>
            </w:r>
          </w:p>
          <w:p w:rsidR="004F6355" w:rsidRDefault="001C19DE" w:rsidP="00F1659A">
            <w:pPr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 xml:space="preserve">Të fitohen njohuri të nevojshme që të arrihet lidhja mes të dhënave kimike dhe atyre biologjike respektivisht sqarimet mes strukturës kimike dhe përgjigjes në nivel molekular. </w:t>
            </w:r>
          </w:p>
          <w:p w:rsidR="00DD4CD0" w:rsidRPr="00F1659A" w:rsidRDefault="009D6457" w:rsidP="004F6355">
            <w:pPr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 xml:space="preserve">Të fitohen njohuri të nevojshme që të arrihet lidhja mes </w:t>
            </w:r>
            <w:proofErr w:type="spellStart"/>
            <w:r w:rsidRPr="00F1659A">
              <w:rPr>
                <w:rFonts w:ascii="Times New Roman" w:hAnsi="Times New Roman"/>
              </w:rPr>
              <w:t>komponimeve</w:t>
            </w:r>
            <w:proofErr w:type="spellEnd"/>
            <w:r w:rsidRPr="00F1659A">
              <w:rPr>
                <w:rFonts w:ascii="Times New Roman" w:hAnsi="Times New Roman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</w:rPr>
              <w:t>inogranike</w:t>
            </w:r>
            <w:proofErr w:type="spellEnd"/>
            <w:r w:rsidRPr="00F1659A">
              <w:rPr>
                <w:rFonts w:ascii="Times New Roman" w:hAnsi="Times New Roman"/>
              </w:rPr>
              <w:t xml:space="preserve"> dhe aplikimi i tyre në farmaci. Objektivë është që studentët të njohin konceptet kryesore të kimisë inorganike dhe të </w:t>
            </w:r>
            <w:proofErr w:type="spellStart"/>
            <w:r w:rsidRPr="00F1659A">
              <w:rPr>
                <w:rFonts w:ascii="Times New Roman" w:hAnsi="Times New Roman"/>
              </w:rPr>
              <w:t>ilistroj</w:t>
            </w:r>
            <w:proofErr w:type="spellEnd"/>
            <w:r w:rsidRPr="00F1659A">
              <w:rPr>
                <w:rFonts w:ascii="Times New Roman" w:hAnsi="Times New Roman"/>
              </w:rPr>
              <w:t xml:space="preserve"> ato me shembuj të rëndësishëm për farmacinë duke </w:t>
            </w:r>
            <w:proofErr w:type="spellStart"/>
            <w:r w:rsidRPr="00F1659A">
              <w:rPr>
                <w:rFonts w:ascii="Times New Roman" w:hAnsi="Times New Roman"/>
              </w:rPr>
              <w:t>filliuar</w:t>
            </w:r>
            <w:proofErr w:type="spellEnd"/>
            <w:r w:rsidRPr="00F1659A">
              <w:rPr>
                <w:rFonts w:ascii="Times New Roman" w:hAnsi="Times New Roman"/>
              </w:rPr>
              <w:t xml:space="preserve"> nga </w:t>
            </w:r>
            <w:proofErr w:type="spellStart"/>
            <w:r w:rsidRPr="00F1659A">
              <w:rPr>
                <w:rFonts w:ascii="Times New Roman" w:hAnsi="Times New Roman"/>
              </w:rPr>
              <w:t>komponimet</w:t>
            </w:r>
            <w:proofErr w:type="spellEnd"/>
            <w:r w:rsidRPr="00F1659A">
              <w:rPr>
                <w:rFonts w:ascii="Times New Roman" w:hAnsi="Times New Roman"/>
              </w:rPr>
              <w:t xml:space="preserve"> inorganike që</w:t>
            </w:r>
            <w:r w:rsidR="004F6355">
              <w:rPr>
                <w:rFonts w:ascii="Times New Roman" w:hAnsi="Times New Roman"/>
              </w:rPr>
              <w:t xml:space="preserve"> përdorën si</w:t>
            </w:r>
            <w:r w:rsidRPr="00F1659A">
              <w:rPr>
                <w:rFonts w:ascii="Times New Roman" w:hAnsi="Times New Roman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</w:rPr>
              <w:t>antacide</w:t>
            </w:r>
            <w:proofErr w:type="spellEnd"/>
            <w:r w:rsidR="004F6355">
              <w:rPr>
                <w:rFonts w:ascii="Times New Roman" w:hAnsi="Times New Roman"/>
              </w:rPr>
              <w:t xml:space="preserve">, </w:t>
            </w:r>
            <w:proofErr w:type="spellStart"/>
            <w:r w:rsidR="004F6355">
              <w:rPr>
                <w:rFonts w:ascii="Times New Roman" w:hAnsi="Times New Roman"/>
              </w:rPr>
              <w:t>animikobial</w:t>
            </w:r>
            <w:proofErr w:type="spellEnd"/>
            <w:r w:rsidR="004F6355">
              <w:rPr>
                <w:rFonts w:ascii="Times New Roman" w:hAnsi="Times New Roman"/>
              </w:rPr>
              <w:t xml:space="preserve"> për sy</w:t>
            </w:r>
            <w:r w:rsidRPr="00F1659A">
              <w:rPr>
                <w:rFonts w:ascii="Times New Roman" w:hAnsi="Times New Roman"/>
              </w:rPr>
              <w:t xml:space="preserve"> e deri te </w:t>
            </w:r>
            <w:r w:rsidR="004F6355">
              <w:rPr>
                <w:rFonts w:ascii="Times New Roman" w:hAnsi="Times New Roman"/>
              </w:rPr>
              <w:t xml:space="preserve">përdorimi i tyre si </w:t>
            </w:r>
            <w:r w:rsidRPr="00F1659A">
              <w:rPr>
                <w:rFonts w:ascii="Times New Roman" w:hAnsi="Times New Roman"/>
              </w:rPr>
              <w:t xml:space="preserve">barnat </w:t>
            </w:r>
            <w:proofErr w:type="spellStart"/>
            <w:r w:rsidRPr="00F1659A">
              <w:rPr>
                <w:rFonts w:ascii="Times New Roman" w:hAnsi="Times New Roman"/>
              </w:rPr>
              <w:t>antikanceroze</w:t>
            </w:r>
            <w:proofErr w:type="spellEnd"/>
            <w:r w:rsidRPr="00F1659A">
              <w:rPr>
                <w:rFonts w:ascii="Times New Roman" w:hAnsi="Times New Roman"/>
              </w:rPr>
              <w:t>.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Rezultatet e pritshme të nxënies: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D4CD0" w:rsidRPr="002570DA" w:rsidRDefault="00DD4CD0" w:rsidP="00F1659A">
            <w:pPr>
              <w:pStyle w:val="NoSpacing"/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  <w:lang w:val="sq-AL"/>
              </w:rPr>
            </w:pPr>
            <w:r w:rsidRPr="002570DA">
              <w:rPr>
                <w:sz w:val="22"/>
                <w:szCs w:val="22"/>
                <w:lang w:val="sq-AL"/>
              </w:rPr>
              <w:t>T</w:t>
            </w:r>
            <w:r w:rsidRPr="00F1659A">
              <w:rPr>
                <w:sz w:val="22"/>
                <w:szCs w:val="22"/>
                <w:lang w:val="sq-AL"/>
              </w:rPr>
              <w:t>ë</w:t>
            </w:r>
            <w:r w:rsidRPr="002570DA">
              <w:rPr>
                <w:sz w:val="22"/>
                <w:szCs w:val="22"/>
                <w:lang w:val="sq-AL"/>
              </w:rPr>
              <w:t xml:space="preserve"> kuptohet marrëdhënia ndërmjet strukturës kimike, vetive fiziko-kimike, veprimit farmakologjik dhe aplikimit terapeutik të barit.</w:t>
            </w:r>
          </w:p>
          <w:p w:rsidR="00DD4CD0" w:rsidRPr="002570DA" w:rsidRDefault="00DD4CD0" w:rsidP="00F1659A">
            <w:pPr>
              <w:pStyle w:val="NoSpacing"/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  <w:lang w:val="sq-AL"/>
              </w:rPr>
            </w:pPr>
            <w:r w:rsidRPr="002570DA">
              <w:rPr>
                <w:sz w:val="22"/>
                <w:szCs w:val="22"/>
                <w:lang w:val="sq-AL"/>
              </w:rPr>
              <w:t>T</w:t>
            </w:r>
            <w:r w:rsidRPr="00F1659A">
              <w:rPr>
                <w:sz w:val="22"/>
                <w:szCs w:val="22"/>
                <w:lang w:val="sq-AL"/>
              </w:rPr>
              <w:t>ë</w:t>
            </w:r>
            <w:r w:rsidRPr="002570DA">
              <w:rPr>
                <w:sz w:val="22"/>
                <w:szCs w:val="22"/>
                <w:lang w:val="sq-AL"/>
              </w:rPr>
              <w:t xml:space="preserve"> kuptohet marrëdhënia ndërmjet strukturës kimike dhe përgjigjes biologjike respektivisht 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interaksionit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 të barit me receptorin. </w:t>
            </w:r>
          </w:p>
          <w:p w:rsidR="00DD4CD0" w:rsidRPr="002570DA" w:rsidRDefault="00DD4CD0" w:rsidP="00F1659A">
            <w:pPr>
              <w:pStyle w:val="NoSpacing"/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  <w:lang w:val="sq-AL"/>
              </w:rPr>
            </w:pPr>
            <w:r w:rsidRPr="002570DA">
              <w:rPr>
                <w:sz w:val="22"/>
                <w:szCs w:val="22"/>
                <w:lang w:val="sq-AL"/>
              </w:rPr>
              <w:t>T</w:t>
            </w:r>
            <w:r w:rsidRPr="00F1659A">
              <w:rPr>
                <w:sz w:val="22"/>
                <w:szCs w:val="22"/>
                <w:lang w:val="sq-AL"/>
              </w:rPr>
              <w:t>ë</w:t>
            </w:r>
            <w:r w:rsidRPr="002570DA">
              <w:rPr>
                <w:sz w:val="22"/>
                <w:szCs w:val="22"/>
                <w:lang w:val="sq-AL"/>
              </w:rPr>
              <w:t xml:space="preserve"> kuptohet marrëdhënia ndërmjet strukturës kimike të barit dhe veprimit farmakologjik, </w:t>
            </w:r>
          </w:p>
          <w:p w:rsidR="00DD4CD0" w:rsidRPr="002570DA" w:rsidRDefault="00DD4CD0" w:rsidP="00F1659A">
            <w:pPr>
              <w:pStyle w:val="NoSpacing"/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  <w:lang w:val="sq-AL"/>
              </w:rPr>
            </w:pPr>
            <w:r w:rsidRPr="002570DA">
              <w:rPr>
                <w:sz w:val="22"/>
                <w:szCs w:val="22"/>
                <w:lang w:val="sq-AL"/>
              </w:rPr>
              <w:lastRenderedPageBreak/>
              <w:t xml:space="preserve">Të fitohen njohuri për profilin 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farmakokinetik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 dhe 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farmakodinamik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 të barit. </w:t>
            </w:r>
          </w:p>
          <w:p w:rsidR="001C19DE" w:rsidRPr="002570DA" w:rsidRDefault="001C19DE" w:rsidP="00F1659A">
            <w:pPr>
              <w:pStyle w:val="NoSpacing"/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  <w:lang w:val="sq-AL"/>
              </w:rPr>
            </w:pPr>
            <w:r w:rsidRPr="002570DA">
              <w:rPr>
                <w:sz w:val="22"/>
                <w:szCs w:val="22"/>
                <w:lang w:val="sq-AL"/>
              </w:rPr>
              <w:t>Të fitohen njohuri rreth</w:t>
            </w:r>
            <w:r w:rsidR="00DD4CD0" w:rsidRPr="002570DA">
              <w:rPr>
                <w:sz w:val="22"/>
                <w:szCs w:val="22"/>
                <w:lang w:val="sq-AL"/>
              </w:rPr>
              <w:t xml:space="preserve"> barnave </w:t>
            </w:r>
            <w:r w:rsidRPr="002570DA">
              <w:rPr>
                <w:sz w:val="22"/>
                <w:szCs w:val="22"/>
                <w:lang w:val="sq-AL"/>
              </w:rPr>
              <w:t xml:space="preserve">me 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përbmajtje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 inorganike </w:t>
            </w:r>
            <w:r w:rsidR="00DD4CD0" w:rsidRPr="002570DA">
              <w:rPr>
                <w:sz w:val="22"/>
                <w:szCs w:val="22"/>
                <w:lang w:val="sq-AL"/>
              </w:rPr>
              <w:t>dhe efektet e tyre</w:t>
            </w:r>
            <w:r w:rsidRPr="002570DA">
              <w:rPr>
                <w:sz w:val="22"/>
                <w:szCs w:val="22"/>
                <w:lang w:val="sq-AL"/>
              </w:rPr>
              <w:t xml:space="preserve"> farmaceutikë.</w:t>
            </w:r>
          </w:p>
          <w:p w:rsidR="001C19DE" w:rsidRPr="002570DA" w:rsidRDefault="001C19DE" w:rsidP="00F1659A">
            <w:pPr>
              <w:pStyle w:val="NoSpacing"/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  <w:lang w:val="de-DE"/>
              </w:rPr>
            </w:pPr>
            <w:r w:rsidRPr="002570DA">
              <w:rPr>
                <w:sz w:val="22"/>
                <w:szCs w:val="22"/>
                <w:lang w:val="de-DE"/>
              </w:rPr>
              <w:t>Të fitohen njohuri për themelore për efektet sterike, induktive, elektronike dhe implikimet e tyre në veprimin e barit.</w:t>
            </w:r>
          </w:p>
          <w:p w:rsidR="00DD4CD0" w:rsidRPr="002570DA" w:rsidRDefault="00DD4CD0" w:rsidP="00F1659A">
            <w:pPr>
              <w:pStyle w:val="NoSpacing"/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  <w:lang w:val="de-DE"/>
              </w:rPr>
            </w:pPr>
            <w:r w:rsidRPr="002570DA">
              <w:rPr>
                <w:sz w:val="22"/>
                <w:szCs w:val="22"/>
                <w:lang w:val="de-DE"/>
              </w:rPr>
              <w:t>Të fitohen njohuri të nevojshme për përdorimin e metodave analit</w:t>
            </w:r>
            <w:r w:rsidR="001C19DE" w:rsidRPr="002570DA">
              <w:rPr>
                <w:sz w:val="22"/>
                <w:szCs w:val="22"/>
                <w:lang w:val="de-DE"/>
              </w:rPr>
              <w:t>i</w:t>
            </w:r>
            <w:r w:rsidRPr="002570DA">
              <w:rPr>
                <w:sz w:val="22"/>
                <w:szCs w:val="22"/>
                <w:lang w:val="de-DE"/>
              </w:rPr>
              <w:t>ke respektivisht metodave spektrale për identifikimin e strukturës grupeve funksionale, përcaktimin kunatitativ të lendëve aktive si dhe përcaktimin e shkallës së pastërtisë.</w:t>
            </w:r>
          </w:p>
          <w:p w:rsidR="00DD4CD0" w:rsidRPr="00F1659A" w:rsidRDefault="00DD4CD0" w:rsidP="00F1659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 xml:space="preserve">Njohuri </w:t>
            </w:r>
            <w:proofErr w:type="spellStart"/>
            <w:r w:rsidRPr="00F1659A">
              <w:rPr>
                <w:rFonts w:ascii="Times New Roman" w:hAnsi="Times New Roman"/>
              </w:rPr>
              <w:t>per</w:t>
            </w:r>
            <w:proofErr w:type="spellEnd"/>
            <w:r w:rsidRPr="00F1659A">
              <w:rPr>
                <w:rFonts w:ascii="Times New Roman" w:hAnsi="Times New Roman"/>
              </w:rPr>
              <w:t xml:space="preserve"> mbledhjen dhe </w:t>
            </w:r>
            <w:proofErr w:type="spellStart"/>
            <w:r w:rsidRPr="00F1659A">
              <w:rPr>
                <w:rFonts w:ascii="Times New Roman" w:hAnsi="Times New Roman"/>
              </w:rPr>
              <w:t>shfrytezimin</w:t>
            </w:r>
            <w:proofErr w:type="spellEnd"/>
            <w:r w:rsidRPr="00F1659A">
              <w:rPr>
                <w:rFonts w:ascii="Times New Roman" w:hAnsi="Times New Roman"/>
              </w:rPr>
              <w:t xml:space="preserve"> e informacionit kimik dhe farmaceutik në lidhje me një bar të caktuar.</w:t>
            </w:r>
          </w:p>
        </w:tc>
      </w:tr>
      <w:tr w:rsidR="00DD4CD0" w:rsidRPr="00F1659A" w:rsidTr="00DA534F">
        <w:tc>
          <w:tcPr>
            <w:tcW w:w="885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DD4CD0" w:rsidRPr="00F1659A" w:rsidRDefault="00DD4CD0" w:rsidP="00F1659A">
            <w:pPr>
              <w:pStyle w:val="NoSpacing"/>
              <w:contextualSpacing/>
              <w:rPr>
                <w:i/>
                <w:sz w:val="22"/>
                <w:szCs w:val="22"/>
                <w:lang w:val="sq-AL"/>
              </w:rPr>
            </w:pPr>
          </w:p>
        </w:tc>
      </w:tr>
      <w:tr w:rsidR="00DD4CD0" w:rsidRPr="00F1659A" w:rsidTr="00DA534F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DD4CD0" w:rsidRPr="00F1659A" w:rsidRDefault="00DD4CD0" w:rsidP="00F1659A">
            <w:pPr>
              <w:pStyle w:val="NoSpacing"/>
              <w:contextualSpacing/>
              <w:jc w:val="center"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>Gjithsej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4F1063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CD0" w:rsidRPr="00F1659A" w:rsidRDefault="004F1063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>45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4F1063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4F1063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CD0" w:rsidRPr="00F1659A" w:rsidRDefault="004F1063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>4</w:t>
            </w:r>
            <w:r w:rsidR="00DD4CD0" w:rsidRPr="00F1659A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2570DA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CD0" w:rsidRPr="00F1659A" w:rsidRDefault="002570DA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  <w:shd w:val="clear" w:color="auto" w:fill="FFFFFF"/>
              </w:rPr>
              <w:t xml:space="preserve">Testi, punimi </w:t>
            </w:r>
            <w:proofErr w:type="spellStart"/>
            <w:r w:rsidRPr="00F1659A">
              <w:rPr>
                <w:rFonts w:ascii="Times New Roman" w:hAnsi="Times New Roman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004B71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004B71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CD0" w:rsidRPr="00F1659A" w:rsidRDefault="00004B71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CD0" w:rsidRPr="00F1659A" w:rsidRDefault="002570DA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4F1063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CD0" w:rsidRPr="00F1659A" w:rsidRDefault="004F1063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 xml:space="preserve">Koha e vlerësimit (testi, </w:t>
            </w:r>
            <w:proofErr w:type="spellStart"/>
            <w:r w:rsidRPr="00F1659A">
              <w:rPr>
                <w:rFonts w:ascii="Times New Roman" w:hAnsi="Times New Roman"/>
              </w:rPr>
              <w:t>kuizi</w:t>
            </w:r>
            <w:proofErr w:type="spellEnd"/>
            <w:r w:rsidRPr="00F1659A">
              <w:rPr>
                <w:rFonts w:ascii="Times New Roman" w:hAnsi="Times New Roman"/>
              </w:rPr>
              <w:t>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DD4CD0" w:rsidRPr="00F1659A" w:rsidRDefault="004F1063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FFFFFF"/>
          </w:tcPr>
          <w:p w:rsidR="00DD4CD0" w:rsidRPr="00F1659A" w:rsidRDefault="00DD4CD0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DD4CD0" w:rsidRPr="00F1659A" w:rsidTr="00DA534F">
        <w:trPr>
          <w:trHeight w:val="107"/>
        </w:trPr>
        <w:tc>
          <w:tcPr>
            <w:tcW w:w="35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DD4CD0" w:rsidRPr="00F1659A" w:rsidRDefault="00DD4CD0" w:rsidP="00F1659A">
            <w:pPr>
              <w:spacing w:after="0" w:line="240" w:lineRule="exact"/>
              <w:contextualSpacing/>
              <w:rPr>
                <w:rFonts w:ascii="Times New Roman" w:hAnsi="Times New Roman"/>
              </w:rPr>
            </w:pPr>
          </w:p>
        </w:tc>
        <w:tc>
          <w:tcPr>
            <w:tcW w:w="20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DD4CD0" w:rsidRPr="00F1659A" w:rsidRDefault="002570DA" w:rsidP="00F1659A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04B71">
              <w:rPr>
                <w:rFonts w:ascii="Times New Roman" w:hAnsi="Times New Roman"/>
              </w:rPr>
              <w:t>0</w:t>
            </w:r>
          </w:p>
        </w:tc>
      </w:tr>
      <w:tr w:rsidR="00DD4CD0" w:rsidRPr="00F1659A" w:rsidTr="00DA534F">
        <w:tc>
          <w:tcPr>
            <w:tcW w:w="885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DD4CD0" w:rsidRPr="00F1659A" w:rsidRDefault="00DD4CD0" w:rsidP="00F1659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contextualSpacing/>
              <w:jc w:val="both"/>
              <w:rPr>
                <w:i/>
                <w:sz w:val="22"/>
                <w:szCs w:val="22"/>
                <w:lang w:val="sq-AL"/>
              </w:rPr>
            </w:pPr>
            <w:r w:rsidRPr="002570DA">
              <w:rPr>
                <w:sz w:val="22"/>
                <w:szCs w:val="22"/>
                <w:lang w:val="sq-AL"/>
              </w:rPr>
              <w:t xml:space="preserve">Mësimi do të jetë i 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rrregullt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, dhe do të organizohen ligjërata grupore, punë 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seminarike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 në grupe të vogla, zbatim i metodës PBL (problem-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based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learning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), dhe në kuadër ushtrimeve do të aplikohen metoda 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analiktike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 dhe spektrale për identifikimin e strukturave kimike të barnave, grupeve funksionale, përcaktimin 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kunatitativ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 të 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lendëve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 aktive si dhe përcaktimin e shkallës së pastërtisë.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spacing w:line="240" w:lineRule="exact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contextualSpacing/>
              <w:jc w:val="both"/>
              <w:rPr>
                <w:rFonts w:ascii="Times New Roman" w:hAnsi="Times New Roman"/>
              </w:rPr>
            </w:pPr>
            <w:r w:rsidRPr="00F1659A">
              <w:rPr>
                <w:rFonts w:ascii="Times New Roman" w:hAnsi="Times New Roman"/>
              </w:rPr>
              <w:t>Vlerësimi i parë 15%; vlerësimi i dytë 15%; prezantimet 20%; vijimi i rregullt 10%; provimi final 40%.</w:t>
            </w:r>
            <w:r w:rsidRPr="00F1659A">
              <w:rPr>
                <w:rFonts w:ascii="Times New Roman" w:hAnsi="Times New Roman"/>
              </w:rPr>
              <w:tab/>
              <w:t xml:space="preserve">          </w:t>
            </w:r>
          </w:p>
        </w:tc>
      </w:tr>
      <w:tr w:rsidR="00DD4CD0" w:rsidRPr="00F1659A" w:rsidTr="00DA534F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DD4CD0" w:rsidRPr="00F1659A" w:rsidRDefault="00DD4CD0" w:rsidP="00F1659A">
            <w:pPr>
              <w:pStyle w:val="NoSpacing"/>
              <w:spacing w:line="240" w:lineRule="exact"/>
              <w:contextualSpacing/>
              <w:rPr>
                <w:sz w:val="22"/>
                <w:szCs w:val="22"/>
                <w:lang w:val="sq-AL"/>
              </w:rPr>
            </w:pPr>
          </w:p>
        </w:tc>
      </w:tr>
      <w:tr w:rsidR="00DD4CD0" w:rsidRPr="004C671F" w:rsidTr="00DA534F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spacing w:line="240" w:lineRule="exact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5F0" w:rsidRPr="002E15F0" w:rsidRDefault="002E15F0" w:rsidP="002E15F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Strohfeldt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KA. Essentials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of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inorganic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chemistry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: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For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students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of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pharmacy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pharmaceutical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sciences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and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medicinal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chemistry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John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Wiley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&amp;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Sons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; 2015 </w:t>
            </w:r>
            <w:proofErr w:type="spellStart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Feb</w:t>
            </w:r>
            <w:proofErr w:type="spellEnd"/>
            <w:r w:rsidRPr="002E15F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16.</w:t>
            </w:r>
          </w:p>
          <w:p w:rsidR="00DD4CD0" w:rsidRPr="00F1659A" w:rsidRDefault="00DD4CD0" w:rsidP="00F1659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 xml:space="preserve">J.M.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Beale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;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J.Block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Wilson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and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Gisold’s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Textbook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of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Organic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Medicinal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and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lastRenderedPageBreak/>
              <w:t>Pharmaceutical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Chemistry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;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Lippincott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Williams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&amp;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Wilkins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; 12-th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Edition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March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2, 2010)</w:t>
            </w:r>
          </w:p>
          <w:p w:rsidR="00DD4CD0" w:rsidRPr="00F1659A" w:rsidRDefault="00DD4CD0" w:rsidP="00F1659A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F1659A">
              <w:rPr>
                <w:rFonts w:ascii="Times New Roman" w:hAnsi="Times New Roman"/>
                <w:shd w:val="clear" w:color="auto" w:fill="FFFFFF"/>
              </w:rPr>
              <w:t>Lemke</w:t>
            </w:r>
            <w:proofErr w:type="spellEnd"/>
            <w:r w:rsidRPr="00F1659A">
              <w:rPr>
                <w:rFonts w:ascii="Times New Roman" w:hAnsi="Times New Roman"/>
                <w:shd w:val="clear" w:color="auto" w:fill="FFFFFF"/>
              </w:rPr>
              <w:t xml:space="preserve"> TL, </w:t>
            </w:r>
            <w:proofErr w:type="spellStart"/>
            <w:r w:rsidRPr="00F1659A">
              <w:rPr>
                <w:rFonts w:ascii="Times New Roman" w:hAnsi="Times New Roman"/>
                <w:shd w:val="clear" w:color="auto" w:fill="FFFFFF"/>
              </w:rPr>
              <w:t>Williams</w:t>
            </w:r>
            <w:proofErr w:type="spellEnd"/>
            <w:r w:rsidRPr="00F1659A">
              <w:rPr>
                <w:rFonts w:ascii="Times New Roman" w:hAnsi="Times New Roman"/>
                <w:shd w:val="clear" w:color="auto" w:fill="FFFFFF"/>
              </w:rPr>
              <w:t xml:space="preserve"> DA, </w:t>
            </w:r>
            <w:proofErr w:type="spellStart"/>
            <w:r w:rsidRPr="00F1659A">
              <w:rPr>
                <w:rFonts w:ascii="Times New Roman" w:hAnsi="Times New Roman"/>
                <w:shd w:val="clear" w:color="auto" w:fill="FFFFFF"/>
              </w:rPr>
              <w:t>editors</w:t>
            </w:r>
            <w:proofErr w:type="spellEnd"/>
            <w:r w:rsidRPr="00F1659A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r w:rsidRPr="00F1659A">
              <w:rPr>
                <w:rFonts w:ascii="Times New Roman" w:hAnsi="Times New Roman"/>
                <w:shd w:val="clear" w:color="auto" w:fill="FFFFFF"/>
              </w:rPr>
              <w:t>Foye's</w:t>
            </w:r>
            <w:proofErr w:type="spellEnd"/>
            <w:r w:rsidRPr="00F1659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shd w:val="clear" w:color="auto" w:fill="FFFFFF"/>
              </w:rPr>
              <w:t>principles</w:t>
            </w:r>
            <w:proofErr w:type="spellEnd"/>
            <w:r w:rsidRPr="00F1659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shd w:val="clear" w:color="auto" w:fill="FFFFFF"/>
              </w:rPr>
              <w:t>of</w:t>
            </w:r>
            <w:proofErr w:type="spellEnd"/>
            <w:r w:rsidRPr="00F1659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shd w:val="clear" w:color="auto" w:fill="FFFFFF"/>
              </w:rPr>
              <w:t>medicinal</w:t>
            </w:r>
            <w:proofErr w:type="spellEnd"/>
            <w:r w:rsidRPr="00F1659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shd w:val="clear" w:color="auto" w:fill="FFFFFF"/>
              </w:rPr>
              <w:t>chemistry</w:t>
            </w:r>
            <w:proofErr w:type="spellEnd"/>
            <w:r w:rsidRPr="00F1659A"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r w:rsidRPr="00F1659A">
              <w:rPr>
                <w:rFonts w:ascii="Times New Roman" w:hAnsi="Times New Roman"/>
                <w:shd w:val="clear" w:color="auto" w:fill="FFFFFF"/>
              </w:rPr>
              <w:t>Lippincott</w:t>
            </w:r>
            <w:proofErr w:type="spellEnd"/>
            <w:r w:rsidRPr="00F1659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shd w:val="clear" w:color="auto" w:fill="FFFFFF"/>
              </w:rPr>
              <w:t>Williams</w:t>
            </w:r>
            <w:proofErr w:type="spellEnd"/>
            <w:r w:rsidRPr="00F1659A">
              <w:rPr>
                <w:rFonts w:ascii="Times New Roman" w:hAnsi="Times New Roman"/>
                <w:shd w:val="clear" w:color="auto" w:fill="FFFFFF"/>
              </w:rPr>
              <w:t xml:space="preserve"> &amp; </w:t>
            </w:r>
            <w:proofErr w:type="spellStart"/>
            <w:r w:rsidRPr="00F1659A">
              <w:rPr>
                <w:rFonts w:ascii="Times New Roman" w:hAnsi="Times New Roman"/>
                <w:shd w:val="clear" w:color="auto" w:fill="FFFFFF"/>
              </w:rPr>
              <w:t>Wilkins</w:t>
            </w:r>
            <w:proofErr w:type="spellEnd"/>
            <w:r w:rsidRPr="00F1659A">
              <w:rPr>
                <w:rFonts w:ascii="Times New Roman" w:hAnsi="Times New Roman"/>
                <w:shd w:val="clear" w:color="auto" w:fill="FFFFFF"/>
              </w:rPr>
              <w:t xml:space="preserve">; 2012 </w:t>
            </w:r>
            <w:proofErr w:type="spellStart"/>
            <w:r w:rsidRPr="00F1659A">
              <w:rPr>
                <w:rFonts w:ascii="Times New Roman" w:hAnsi="Times New Roman"/>
                <w:shd w:val="clear" w:color="auto" w:fill="FFFFFF"/>
              </w:rPr>
              <w:t>Jan</w:t>
            </w:r>
            <w:proofErr w:type="spellEnd"/>
            <w:r w:rsidRPr="00F1659A">
              <w:rPr>
                <w:rFonts w:ascii="Times New Roman" w:hAnsi="Times New Roman"/>
                <w:shd w:val="clear" w:color="auto" w:fill="FFFFFF"/>
              </w:rPr>
              <w:t xml:space="preserve"> 24.</w:t>
            </w:r>
          </w:p>
        </w:tc>
      </w:tr>
      <w:tr w:rsidR="00DD4CD0" w:rsidRPr="00F1659A" w:rsidTr="00DA534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D4CD0" w:rsidRPr="00F1659A" w:rsidRDefault="00DD4CD0" w:rsidP="00F1659A">
            <w:pPr>
              <w:pStyle w:val="NoSpacing"/>
              <w:spacing w:line="240" w:lineRule="exact"/>
              <w:contextualSpacing/>
              <w:rPr>
                <w:sz w:val="22"/>
                <w:szCs w:val="22"/>
                <w:lang w:val="sq-AL"/>
              </w:rPr>
            </w:pPr>
            <w:r w:rsidRPr="00F1659A">
              <w:rPr>
                <w:sz w:val="22"/>
                <w:szCs w:val="22"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DD4CD0" w:rsidRPr="00F1659A" w:rsidRDefault="00DD4CD0" w:rsidP="00F165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>Wermuth</w:t>
            </w:r>
            <w:proofErr w:type="spellEnd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CG, </w:t>
            </w:r>
            <w:proofErr w:type="spellStart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>editor</w:t>
            </w:r>
            <w:proofErr w:type="spellEnd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. The </w:t>
            </w:r>
            <w:proofErr w:type="spellStart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>practice</w:t>
            </w:r>
            <w:proofErr w:type="spellEnd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>of</w:t>
            </w:r>
            <w:proofErr w:type="spellEnd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>medicinal</w:t>
            </w:r>
            <w:proofErr w:type="spellEnd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>chemistry</w:t>
            </w:r>
            <w:proofErr w:type="spellEnd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. </w:t>
            </w:r>
            <w:proofErr w:type="spellStart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>Academic</w:t>
            </w:r>
            <w:proofErr w:type="spellEnd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>Press</w:t>
            </w:r>
            <w:proofErr w:type="spellEnd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; 2011 </w:t>
            </w:r>
            <w:proofErr w:type="spellStart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>May</w:t>
            </w:r>
            <w:proofErr w:type="spellEnd"/>
            <w:r w:rsidRPr="00F1659A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2.</w:t>
            </w:r>
          </w:p>
          <w:p w:rsidR="00DD4CD0" w:rsidRPr="00F1659A" w:rsidRDefault="00DD4CD0" w:rsidP="00F1659A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F1659A">
              <w:rPr>
                <w:rFonts w:ascii="Times New Roman" w:hAnsi="Times New Roman"/>
                <w:color w:val="000000"/>
              </w:rPr>
              <w:t xml:space="preserve">Dashnor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Nebija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. Analiza farmaceutike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farmakopeale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. Manual laboratorik. Universiteti i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Prishtines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>. 2005.</w:t>
            </w:r>
          </w:p>
          <w:p w:rsidR="00DD4CD0" w:rsidRPr="00F1659A" w:rsidRDefault="00DD4CD0" w:rsidP="00F1659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F1659A">
              <w:rPr>
                <w:rFonts w:ascii="Times New Roman" w:hAnsi="Times New Roman"/>
                <w:color w:val="000000"/>
              </w:rPr>
              <w:t>European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Pharmacopoeia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5.0;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British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Pharmacopeia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; USP/NF;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other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national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Pharmacopoeias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and</w:t>
            </w:r>
            <w:proofErr w:type="spellEnd"/>
            <w:r w:rsidRPr="00F1659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1659A">
              <w:rPr>
                <w:rFonts w:ascii="Times New Roman" w:hAnsi="Times New Roman"/>
                <w:color w:val="000000"/>
              </w:rPr>
              <w:t>Compendiums</w:t>
            </w:r>
            <w:proofErr w:type="spellEnd"/>
          </w:p>
        </w:tc>
      </w:tr>
    </w:tbl>
    <w:p w:rsidR="00DD4CD0" w:rsidRPr="002C3AC8" w:rsidRDefault="00DD4CD0" w:rsidP="00DD4CD0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8"/>
        <w:gridCol w:w="5328"/>
      </w:tblGrid>
      <w:tr w:rsidR="00DD4CD0" w:rsidRPr="002C3AC8" w:rsidTr="00DA534F">
        <w:tc>
          <w:tcPr>
            <w:tcW w:w="885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</w:rPr>
            </w:pPr>
            <w:r w:rsidRPr="002C3AC8">
              <w:rPr>
                <w:rFonts w:ascii="Times New Roman" w:hAnsi="Times New Roman"/>
              </w:rPr>
              <w:t>Hartimi i planit mësimor</w:t>
            </w:r>
          </w:p>
        </w:tc>
      </w:tr>
      <w:tr w:rsidR="00DD4CD0" w:rsidRPr="002C3AC8" w:rsidTr="00DA534F"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</w:rPr>
            </w:pPr>
            <w:r w:rsidRPr="002C3AC8">
              <w:rPr>
                <w:rFonts w:ascii="Times New Roman" w:hAnsi="Times New Roman"/>
              </w:rPr>
              <w:t>Java</w:t>
            </w:r>
          </w:p>
        </w:tc>
        <w:tc>
          <w:tcPr>
            <w:tcW w:w="53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D0D0D"/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</w:rPr>
            </w:pPr>
            <w:r w:rsidRPr="002C3AC8">
              <w:rPr>
                <w:rFonts w:ascii="Times New Roman" w:hAnsi="Times New Roman"/>
              </w:rPr>
              <w:t xml:space="preserve">Titulli i </w:t>
            </w:r>
            <w:proofErr w:type="spellStart"/>
            <w:r w:rsidRPr="002C3AC8">
              <w:rPr>
                <w:rFonts w:ascii="Times New Roman" w:hAnsi="Times New Roman"/>
              </w:rPr>
              <w:t>ligjeratës</w:t>
            </w:r>
            <w:proofErr w:type="spellEnd"/>
            <w:r w:rsidRPr="002C3AC8">
              <w:rPr>
                <w:rFonts w:ascii="Times New Roman" w:hAnsi="Times New Roman"/>
              </w:rPr>
              <w:t xml:space="preserve"> / Semestri i parë</w:t>
            </w:r>
          </w:p>
        </w:tc>
      </w:tr>
      <w:tr w:rsidR="00DD4CD0" w:rsidRPr="002C3AC8" w:rsidTr="00DA534F">
        <w:tc>
          <w:tcPr>
            <w:tcW w:w="352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2C3AC8">
              <w:rPr>
                <w:rFonts w:ascii="Times New Roman" w:hAnsi="Times New Roman"/>
                <w:b/>
                <w:i/>
              </w:rPr>
              <w:t>Java 1:</w:t>
            </w:r>
          </w:p>
        </w:tc>
        <w:tc>
          <w:tcPr>
            <w:tcW w:w="532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4F6355">
            <w:pPr>
              <w:spacing w:after="0"/>
              <w:rPr>
                <w:rFonts w:ascii="Times New Roman" w:hAnsi="Times New Roman"/>
              </w:rPr>
            </w:pPr>
            <w:r w:rsidRPr="002C3AC8">
              <w:rPr>
                <w:rFonts w:ascii="Times New Roman" w:hAnsi="Times New Roman"/>
              </w:rPr>
              <w:t xml:space="preserve">Bazat fiziko-kimike të barnave- tretshmëria, koeficienti i </w:t>
            </w:r>
            <w:proofErr w:type="spellStart"/>
            <w:r w:rsidRPr="002C3AC8">
              <w:rPr>
                <w:rFonts w:ascii="Times New Roman" w:hAnsi="Times New Roman"/>
              </w:rPr>
              <w:t>ndarjës</w:t>
            </w:r>
            <w:proofErr w:type="spellEnd"/>
            <w:r w:rsidRPr="002C3AC8">
              <w:rPr>
                <w:rFonts w:ascii="Times New Roman" w:hAnsi="Times New Roman"/>
              </w:rPr>
              <w:t xml:space="preserve"> </w:t>
            </w:r>
            <w:proofErr w:type="spellStart"/>
            <w:r w:rsidRPr="002C3AC8">
              <w:rPr>
                <w:rFonts w:ascii="Times New Roman" w:hAnsi="Times New Roman"/>
              </w:rPr>
              <w:t>LogP</w:t>
            </w:r>
            <w:proofErr w:type="spellEnd"/>
            <w:r w:rsidRPr="002C3AC8">
              <w:rPr>
                <w:rFonts w:ascii="Times New Roman" w:hAnsi="Times New Roman"/>
              </w:rPr>
              <w:t xml:space="preserve">, koeficienti i shpërndarjes </w:t>
            </w:r>
            <w:proofErr w:type="spellStart"/>
            <w:r w:rsidRPr="002C3AC8">
              <w:rPr>
                <w:rFonts w:ascii="Times New Roman" w:hAnsi="Times New Roman"/>
              </w:rPr>
              <w:t>logD</w:t>
            </w:r>
            <w:proofErr w:type="spellEnd"/>
            <w:r w:rsidRPr="002C3AC8">
              <w:rPr>
                <w:rFonts w:ascii="Times New Roman" w:hAnsi="Times New Roman"/>
              </w:rPr>
              <w:t xml:space="preserve">, </w:t>
            </w:r>
            <w:proofErr w:type="spellStart"/>
            <w:r w:rsidRPr="002C3AC8">
              <w:rPr>
                <w:rFonts w:ascii="Times New Roman" w:hAnsi="Times New Roman"/>
              </w:rPr>
              <w:t>lipofiliteti</w:t>
            </w:r>
            <w:proofErr w:type="spellEnd"/>
            <w:r w:rsidRPr="002C3AC8">
              <w:rPr>
                <w:rFonts w:ascii="Times New Roman" w:hAnsi="Times New Roman"/>
              </w:rPr>
              <w:t xml:space="preserve"> ndikimi i vetive fiziko-kimike në veprimin e barit.</w:t>
            </w:r>
          </w:p>
        </w:tc>
      </w:tr>
      <w:tr w:rsidR="00DD4CD0" w:rsidRPr="002C3AC8" w:rsidTr="00DA534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2C3AC8">
              <w:rPr>
                <w:rFonts w:ascii="Times New Roman" w:hAnsi="Times New Roman"/>
                <w:b/>
                <w:i/>
              </w:rPr>
              <w:t>Java 2: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/>
              <w:rPr>
                <w:rFonts w:ascii="Times New Roman" w:hAnsi="Times New Roman"/>
              </w:rPr>
            </w:pPr>
            <w:r w:rsidRPr="002C3AC8">
              <w:rPr>
                <w:rFonts w:ascii="Times New Roman" w:hAnsi="Times New Roman"/>
              </w:rPr>
              <w:t xml:space="preserve">Jonizimi i barnave, aciditeti, ndërveprimi </w:t>
            </w:r>
            <w:proofErr w:type="spellStart"/>
            <w:r w:rsidRPr="002C3AC8">
              <w:rPr>
                <w:rFonts w:ascii="Times New Roman" w:hAnsi="Times New Roman"/>
              </w:rPr>
              <w:t>ndërmelokular</w:t>
            </w:r>
            <w:proofErr w:type="spellEnd"/>
            <w:r w:rsidRPr="002C3AC8">
              <w:rPr>
                <w:rFonts w:ascii="Times New Roman" w:hAnsi="Times New Roman"/>
              </w:rPr>
              <w:t xml:space="preserve"> lidhjet kimike efektet </w:t>
            </w:r>
            <w:proofErr w:type="spellStart"/>
            <w:r w:rsidRPr="002C3AC8">
              <w:rPr>
                <w:rFonts w:ascii="Times New Roman" w:hAnsi="Times New Roman"/>
              </w:rPr>
              <w:t>sterike</w:t>
            </w:r>
            <w:proofErr w:type="spellEnd"/>
            <w:r w:rsidRPr="002C3AC8">
              <w:rPr>
                <w:rFonts w:ascii="Times New Roman" w:hAnsi="Times New Roman"/>
              </w:rPr>
              <w:t>, elektronike dhe induktive  ndikimi i tyre në metabolizmin dhe veprimin e barnave.</w:t>
            </w:r>
          </w:p>
        </w:tc>
      </w:tr>
      <w:tr w:rsidR="00DD4CD0" w:rsidRPr="002C3AC8" w:rsidTr="00DA534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2C3AC8">
              <w:rPr>
                <w:rFonts w:ascii="Times New Roman" w:hAnsi="Times New Roman"/>
                <w:b/>
                <w:i/>
              </w:rPr>
              <w:t>Java 3</w:t>
            </w:r>
            <w:r w:rsidRPr="002C3AC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E15F0" w:rsidRDefault="00DD4CD0" w:rsidP="002E15F0">
            <w:p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2E15F0">
              <w:rPr>
                <w:rFonts w:ascii="Times New Roman" w:hAnsi="Times New Roman"/>
                <w:bCs/>
                <w:color w:val="000000"/>
              </w:rPr>
              <w:t>Stereokimia</w:t>
            </w:r>
            <w:proofErr w:type="spellEnd"/>
            <w:r w:rsidRPr="002E15F0">
              <w:rPr>
                <w:rFonts w:ascii="Times New Roman" w:hAnsi="Times New Roman"/>
                <w:bCs/>
                <w:color w:val="000000"/>
              </w:rPr>
              <w:t xml:space="preserve"> dhe veprimi i barit; </w:t>
            </w:r>
            <w:proofErr w:type="spellStart"/>
            <w:r w:rsidRPr="002E15F0">
              <w:rPr>
                <w:rFonts w:ascii="Times New Roman" w:hAnsi="Times New Roman"/>
                <w:bCs/>
                <w:color w:val="000000"/>
              </w:rPr>
              <w:t>Izosteria</w:t>
            </w:r>
            <w:proofErr w:type="spellEnd"/>
            <w:r w:rsidRPr="002E15F0">
              <w:rPr>
                <w:rFonts w:ascii="Times New Roman" w:hAnsi="Times New Roman"/>
                <w:bCs/>
                <w:color w:val="000000"/>
              </w:rPr>
              <w:t xml:space="preserve">; </w:t>
            </w:r>
            <w:proofErr w:type="spellStart"/>
            <w:r w:rsidRPr="002E15F0">
              <w:rPr>
                <w:rFonts w:ascii="Times New Roman" w:hAnsi="Times New Roman"/>
                <w:bCs/>
                <w:color w:val="000000"/>
              </w:rPr>
              <w:t>vinilogjia</w:t>
            </w:r>
            <w:proofErr w:type="spellEnd"/>
            <w:r w:rsidRPr="002E15F0">
              <w:rPr>
                <w:rFonts w:ascii="Times New Roman" w:hAnsi="Times New Roman"/>
                <w:bCs/>
                <w:color w:val="000000"/>
              </w:rPr>
              <w:t xml:space="preserve"> dhe veprimi biologjik; transporti i barnave përmes membranës biologjik.  Rrugët e administrimit të barnave.</w:t>
            </w:r>
          </w:p>
        </w:tc>
      </w:tr>
      <w:tr w:rsidR="00DD4CD0" w:rsidRPr="002C3AC8" w:rsidTr="00DA534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2C3AC8">
              <w:rPr>
                <w:rFonts w:ascii="Times New Roman" w:hAnsi="Times New Roman"/>
                <w:b/>
                <w:i/>
              </w:rPr>
              <w:t>Java 4: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E15F0" w:rsidRDefault="00DD4CD0" w:rsidP="002E15F0">
            <w:pPr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2E15F0">
              <w:rPr>
                <w:rFonts w:ascii="Times New Roman" w:hAnsi="Times New Roman"/>
                <w:bCs/>
                <w:color w:val="000000"/>
              </w:rPr>
              <w:t>Biotransfomimi</w:t>
            </w:r>
            <w:proofErr w:type="spellEnd"/>
            <w:r w:rsidRPr="002E15F0">
              <w:rPr>
                <w:rFonts w:ascii="Times New Roman" w:hAnsi="Times New Roman"/>
                <w:bCs/>
                <w:color w:val="000000"/>
              </w:rPr>
              <w:t xml:space="preserve"> i barnave; reaksionet e fazës së parë dhe reaksionet e fazës së dytë; roli i </w:t>
            </w:r>
            <w:proofErr w:type="spellStart"/>
            <w:r w:rsidRPr="002E15F0">
              <w:rPr>
                <w:rFonts w:ascii="Times New Roman" w:hAnsi="Times New Roman"/>
                <w:bCs/>
                <w:color w:val="000000"/>
              </w:rPr>
              <w:t>CyP</w:t>
            </w:r>
            <w:proofErr w:type="spellEnd"/>
            <w:r w:rsidRPr="002E15F0">
              <w:rPr>
                <w:rFonts w:ascii="Times New Roman" w:hAnsi="Times New Roman"/>
                <w:bCs/>
                <w:color w:val="000000"/>
              </w:rPr>
              <w:t xml:space="preserve"> 450 në metabolizmin e barnave.</w:t>
            </w:r>
          </w:p>
        </w:tc>
      </w:tr>
      <w:tr w:rsidR="00DD4CD0" w:rsidRPr="002C3AC8" w:rsidTr="00DA534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2C3AC8">
              <w:rPr>
                <w:rFonts w:ascii="Times New Roman" w:hAnsi="Times New Roman"/>
                <w:b/>
                <w:i/>
              </w:rPr>
              <w:t>Java 5: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E15F0" w:rsidRDefault="00DD4CD0" w:rsidP="002E15F0">
            <w:pPr>
              <w:contextualSpacing/>
              <w:rPr>
                <w:rFonts w:ascii="Times New Roman" w:hAnsi="Times New Roman"/>
              </w:rPr>
            </w:pPr>
            <w:r w:rsidRPr="002E15F0">
              <w:rPr>
                <w:rFonts w:ascii="Times New Roman" w:hAnsi="Times New Roman"/>
                <w:bCs/>
                <w:color w:val="000000"/>
              </w:rPr>
              <w:t xml:space="preserve">Receptorët si objektivë e barnave; Llojet e receptorëve; </w:t>
            </w:r>
            <w:proofErr w:type="spellStart"/>
            <w:r w:rsidRPr="002E15F0">
              <w:rPr>
                <w:rFonts w:ascii="Times New Roman" w:hAnsi="Times New Roman"/>
                <w:bCs/>
                <w:color w:val="000000"/>
              </w:rPr>
              <w:t>Agonistë</w:t>
            </w:r>
            <w:proofErr w:type="spellEnd"/>
            <w:r w:rsidRPr="002E15F0">
              <w:rPr>
                <w:rFonts w:ascii="Times New Roman" w:hAnsi="Times New Roman"/>
                <w:bCs/>
                <w:color w:val="000000"/>
              </w:rPr>
              <w:t xml:space="preserve">, antagonistë </w:t>
            </w:r>
            <w:r w:rsidRPr="002E15F0">
              <w:rPr>
                <w:rFonts w:ascii="Times New Roman" w:hAnsi="Times New Roman"/>
              </w:rPr>
              <w:t xml:space="preserve"> </w:t>
            </w:r>
            <w:r w:rsidRPr="002E15F0">
              <w:rPr>
                <w:rFonts w:ascii="Times New Roman" w:hAnsi="Times New Roman"/>
                <w:bCs/>
                <w:color w:val="000000"/>
              </w:rPr>
              <w:t xml:space="preserve"> afinitet,  efekti </w:t>
            </w:r>
            <w:proofErr w:type="spellStart"/>
            <w:r w:rsidRPr="002E15F0">
              <w:rPr>
                <w:rFonts w:ascii="Times New Roman" w:hAnsi="Times New Roman"/>
                <w:bCs/>
                <w:color w:val="000000"/>
              </w:rPr>
              <w:t>interstik</w:t>
            </w:r>
            <w:proofErr w:type="spellEnd"/>
            <w:r w:rsidRPr="002E15F0">
              <w:rPr>
                <w:rFonts w:ascii="Times New Roman" w:hAnsi="Times New Roman"/>
                <w:bCs/>
                <w:color w:val="000000"/>
              </w:rPr>
              <w:t>, efikasiteti;</w:t>
            </w:r>
            <w:r w:rsidRPr="002E15F0">
              <w:rPr>
                <w:rFonts w:ascii="Times New Roman" w:hAnsi="Times New Roman"/>
              </w:rPr>
              <w:t xml:space="preserve"> </w:t>
            </w:r>
            <w:r w:rsidRPr="002E15F0">
              <w:rPr>
                <w:rFonts w:ascii="Times New Roman" w:hAnsi="Times New Roman"/>
                <w:bCs/>
                <w:color w:val="000000"/>
              </w:rPr>
              <w:t xml:space="preserve"> Aspektet kimike të </w:t>
            </w:r>
            <w:proofErr w:type="spellStart"/>
            <w:r w:rsidRPr="002E15F0">
              <w:rPr>
                <w:rFonts w:ascii="Times New Roman" w:hAnsi="Times New Roman"/>
                <w:bCs/>
                <w:color w:val="000000"/>
              </w:rPr>
              <w:t>interaksionit</w:t>
            </w:r>
            <w:proofErr w:type="spellEnd"/>
            <w:r w:rsidRPr="002E15F0">
              <w:rPr>
                <w:rFonts w:ascii="Times New Roman" w:hAnsi="Times New Roman"/>
                <w:bCs/>
                <w:color w:val="000000"/>
              </w:rPr>
              <w:t xml:space="preserve"> të bar –receptorë</w:t>
            </w:r>
          </w:p>
        </w:tc>
      </w:tr>
      <w:tr w:rsidR="00DD4CD0" w:rsidRPr="002C3AC8" w:rsidTr="00DA534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2C3AC8">
              <w:rPr>
                <w:rFonts w:ascii="Times New Roman" w:hAnsi="Times New Roman"/>
                <w:b/>
                <w:i/>
              </w:rPr>
              <w:t>Java 6</w:t>
            </w:r>
            <w:r w:rsidRPr="002C3AC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E15F0" w:rsidRDefault="00DD4CD0" w:rsidP="002E15F0">
            <w:pPr>
              <w:contextualSpacing/>
              <w:rPr>
                <w:rFonts w:ascii="Times New Roman" w:hAnsi="Times New Roman"/>
              </w:rPr>
            </w:pPr>
            <w:r w:rsidRPr="002E15F0">
              <w:rPr>
                <w:rFonts w:ascii="Times New Roman" w:hAnsi="Times New Roman"/>
                <w:bCs/>
                <w:color w:val="000000"/>
              </w:rPr>
              <w:t>Barnat ose medikamente-</w:t>
            </w:r>
            <w:r w:rsidRPr="002E15F0">
              <w:rPr>
                <w:rFonts w:ascii="Times New Roman" w:hAnsi="Times New Roman"/>
              </w:rPr>
              <w:t xml:space="preserve"> roli i grupeve funksionale dhe lidhja me veprimin farmakologjikë</w:t>
            </w:r>
            <w:r w:rsidRPr="002E15F0">
              <w:rPr>
                <w:rFonts w:ascii="Times New Roman" w:hAnsi="Times New Roman"/>
                <w:bCs/>
                <w:color w:val="000000"/>
              </w:rPr>
              <w:t xml:space="preserve">; </w:t>
            </w:r>
            <w:proofErr w:type="spellStart"/>
            <w:r w:rsidRPr="002E15F0">
              <w:rPr>
                <w:rFonts w:ascii="Times New Roman" w:hAnsi="Times New Roman"/>
                <w:bCs/>
                <w:color w:val="000000"/>
              </w:rPr>
              <w:t>Promedikamentët</w:t>
            </w:r>
            <w:proofErr w:type="spellEnd"/>
            <w:r w:rsidRPr="002E15F0">
              <w:rPr>
                <w:rFonts w:ascii="Times New Roman" w:hAnsi="Times New Roman"/>
                <w:bCs/>
                <w:color w:val="000000"/>
              </w:rPr>
              <w:t>- pro-</w:t>
            </w:r>
            <w:proofErr w:type="spellStart"/>
            <w:r w:rsidRPr="002E15F0">
              <w:rPr>
                <w:rFonts w:ascii="Times New Roman" w:hAnsi="Times New Roman"/>
                <w:bCs/>
                <w:color w:val="000000"/>
              </w:rPr>
              <w:t>drugs</w:t>
            </w:r>
            <w:proofErr w:type="spellEnd"/>
            <w:r w:rsidRPr="002E15F0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DD4CD0" w:rsidRPr="002C3AC8" w:rsidTr="00DA534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2C3AC8">
              <w:rPr>
                <w:rFonts w:ascii="Times New Roman" w:hAnsi="Times New Roman"/>
                <w:b/>
                <w:i/>
              </w:rPr>
              <w:t>Java 7: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D" w:rsidRPr="002570DA" w:rsidRDefault="007C25A0" w:rsidP="002E15F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Komponimet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inorganike</w:t>
            </w:r>
            <w:r w:rsidR="00013AF1"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</w:t>
            </w:r>
            <w:r w:rsidR="008C1FAD"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me përmbajtje të </w:t>
            </w:r>
            <w:r w:rsidR="0089408B"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- </w:t>
            </w:r>
            <w:r w:rsidR="008C1FAD" w:rsidRPr="002570DA">
              <w:rPr>
                <w:sz w:val="22"/>
                <w:szCs w:val="22"/>
                <w:lang w:val="sq-AL"/>
              </w:rPr>
              <w:t xml:space="preserve">litiumit (Li), Natriumit (Na), kalium (K), </w:t>
            </w:r>
            <w:proofErr w:type="spellStart"/>
            <w:r w:rsidR="008C1FAD" w:rsidRPr="002570DA">
              <w:rPr>
                <w:sz w:val="22"/>
                <w:szCs w:val="22"/>
                <w:lang w:val="sq-AL"/>
              </w:rPr>
              <w:t>rubidium</w:t>
            </w:r>
            <w:proofErr w:type="spellEnd"/>
            <w:r w:rsidR="008C1FAD" w:rsidRPr="002570DA">
              <w:rPr>
                <w:sz w:val="22"/>
                <w:szCs w:val="22"/>
                <w:lang w:val="sq-AL"/>
              </w:rPr>
              <w:t xml:space="preserve"> (</w:t>
            </w:r>
            <w:proofErr w:type="spellStart"/>
            <w:r w:rsidR="008C1FAD" w:rsidRPr="002570DA">
              <w:rPr>
                <w:sz w:val="22"/>
                <w:szCs w:val="22"/>
                <w:lang w:val="sq-AL"/>
              </w:rPr>
              <w:t>Rb</w:t>
            </w:r>
            <w:proofErr w:type="spellEnd"/>
            <w:r w:rsidR="008C1FAD" w:rsidRPr="002570DA">
              <w:rPr>
                <w:sz w:val="22"/>
                <w:szCs w:val="22"/>
                <w:lang w:val="sq-AL"/>
              </w:rPr>
              <w:t xml:space="preserve">), </w:t>
            </w:r>
            <w:proofErr w:type="spellStart"/>
            <w:r w:rsidR="008C1FAD" w:rsidRPr="002570DA">
              <w:rPr>
                <w:sz w:val="22"/>
                <w:szCs w:val="22"/>
                <w:lang w:val="sq-AL"/>
              </w:rPr>
              <w:t>caesium</w:t>
            </w:r>
            <w:proofErr w:type="spellEnd"/>
            <w:r w:rsidR="008C1FAD" w:rsidRPr="002570DA">
              <w:rPr>
                <w:sz w:val="22"/>
                <w:szCs w:val="22"/>
                <w:lang w:val="sq-AL"/>
              </w:rPr>
              <w:t xml:space="preserve"> (</w:t>
            </w:r>
            <w:proofErr w:type="spellStart"/>
            <w:r w:rsidR="008C1FAD" w:rsidRPr="002570DA">
              <w:rPr>
                <w:sz w:val="22"/>
                <w:szCs w:val="22"/>
                <w:lang w:val="sq-AL"/>
              </w:rPr>
              <w:t>Cs</w:t>
            </w:r>
            <w:proofErr w:type="spellEnd"/>
            <w:r w:rsidR="008C1FAD" w:rsidRPr="002570DA">
              <w:rPr>
                <w:sz w:val="22"/>
                <w:szCs w:val="22"/>
                <w:lang w:val="sq-AL"/>
              </w:rPr>
              <w:t xml:space="preserve">) </w:t>
            </w:r>
            <w:proofErr w:type="spellStart"/>
            <w:r w:rsidR="008C1FAD" w:rsidRPr="002570DA">
              <w:rPr>
                <w:sz w:val="22"/>
                <w:szCs w:val="22"/>
                <w:lang w:val="sq-AL"/>
              </w:rPr>
              <w:t>and</w:t>
            </w:r>
            <w:proofErr w:type="spellEnd"/>
            <w:r w:rsidR="008C1FAD" w:rsidRPr="002570DA">
              <w:rPr>
                <w:sz w:val="22"/>
                <w:szCs w:val="22"/>
                <w:lang w:val="sq-AL"/>
              </w:rPr>
              <w:t xml:space="preserve"> francium (</w:t>
            </w:r>
            <w:proofErr w:type="spellStart"/>
            <w:r w:rsidR="008C1FAD" w:rsidRPr="002570DA">
              <w:rPr>
                <w:sz w:val="22"/>
                <w:szCs w:val="22"/>
                <w:lang w:val="sq-AL"/>
              </w:rPr>
              <w:t>Fr</w:t>
            </w:r>
            <w:proofErr w:type="spellEnd"/>
            <w:r w:rsidR="008C1FAD" w:rsidRPr="002570DA">
              <w:rPr>
                <w:sz w:val="22"/>
                <w:szCs w:val="22"/>
                <w:lang w:val="sq-AL"/>
              </w:rPr>
              <w:t>)</w:t>
            </w:r>
            <w:r w:rsidR="008C1FAD"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dhe aplikimi i tyre si barna</w:t>
            </w:r>
            <w:r w:rsidR="002E15F0" w:rsidRPr="002570DA">
              <w:rPr>
                <w:bCs/>
                <w:color w:val="000000"/>
                <w:sz w:val="22"/>
                <w:szCs w:val="22"/>
                <w:lang w:val="sq-AL"/>
              </w:rPr>
              <w:t>.</w:t>
            </w:r>
          </w:p>
        </w:tc>
      </w:tr>
      <w:tr w:rsidR="00DD4CD0" w:rsidRPr="002C3AC8" w:rsidTr="00DA534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  <w:b/>
                <w:i/>
              </w:rPr>
            </w:pPr>
            <w:r w:rsidRPr="002C3AC8">
              <w:rPr>
                <w:rFonts w:ascii="Times New Roman" w:hAnsi="Times New Roman"/>
                <w:b/>
                <w:i/>
              </w:rPr>
              <w:t>Java 8: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570DA" w:rsidRDefault="008C1FAD" w:rsidP="002E15F0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Komponimet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inorganike me përmbajtje të </w:t>
            </w:r>
            <w:r w:rsidRPr="002570DA">
              <w:rPr>
                <w:sz w:val="22"/>
                <w:szCs w:val="22"/>
                <w:lang w:val="sq-AL"/>
              </w:rPr>
              <w:t xml:space="preserve">beriliumit (Be), 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magnesit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 (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Mg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), kalciumit (Ca), 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strontiumit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 (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Sr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>), bariumit (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Ba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) </w:t>
            </w:r>
            <w:proofErr w:type="spellStart"/>
            <w:r w:rsidRPr="002570DA">
              <w:rPr>
                <w:sz w:val="22"/>
                <w:szCs w:val="22"/>
                <w:lang w:val="sq-AL"/>
              </w:rPr>
              <w:t>and</w:t>
            </w:r>
            <w:proofErr w:type="spellEnd"/>
            <w:r w:rsidRPr="002570DA">
              <w:rPr>
                <w:sz w:val="22"/>
                <w:szCs w:val="22"/>
                <w:lang w:val="sq-AL"/>
              </w:rPr>
              <w:t xml:space="preserve"> radiumit (Ra)</w:t>
            </w:r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dhe aplikimi i tyre si barna</w:t>
            </w:r>
          </w:p>
        </w:tc>
      </w:tr>
      <w:tr w:rsidR="00DD4CD0" w:rsidRPr="002C3AC8" w:rsidTr="00DA534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  <w:b/>
                <w:i/>
              </w:rPr>
            </w:pPr>
            <w:r w:rsidRPr="002C3AC8">
              <w:rPr>
                <w:rFonts w:ascii="Times New Roman" w:hAnsi="Times New Roman"/>
                <w:b/>
                <w:i/>
              </w:rPr>
              <w:t>Java 9: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E15F0" w:rsidRDefault="008C1FAD" w:rsidP="002E15F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2E15F0">
              <w:rPr>
                <w:rFonts w:ascii="Times New Roman" w:hAnsi="Times New Roman"/>
                <w:bCs/>
                <w:color w:val="000000"/>
              </w:rPr>
              <w:t>Komponimet</w:t>
            </w:r>
            <w:proofErr w:type="spellEnd"/>
            <w:r w:rsidRPr="002E15F0">
              <w:rPr>
                <w:rFonts w:ascii="Times New Roman" w:hAnsi="Times New Roman"/>
                <w:bCs/>
                <w:color w:val="000000"/>
              </w:rPr>
              <w:t xml:space="preserve"> inorganike me përmbajtje të N, </w:t>
            </w:r>
            <w:proofErr w:type="spellStart"/>
            <w:r w:rsidRPr="002E15F0">
              <w:rPr>
                <w:rFonts w:ascii="Times New Roman" w:hAnsi="Times New Roman"/>
                <w:bCs/>
                <w:color w:val="000000"/>
              </w:rPr>
              <w:t>P.As.Sb</w:t>
            </w:r>
            <w:proofErr w:type="spellEnd"/>
            <w:r w:rsidRPr="002E15F0">
              <w:rPr>
                <w:rFonts w:ascii="Times New Roman" w:hAnsi="Times New Roman"/>
                <w:bCs/>
                <w:color w:val="000000"/>
              </w:rPr>
              <w:t xml:space="preserve">, </w:t>
            </w:r>
            <w:proofErr w:type="spellStart"/>
            <w:r w:rsidRPr="002E15F0">
              <w:rPr>
                <w:rFonts w:ascii="Times New Roman" w:hAnsi="Times New Roman"/>
                <w:bCs/>
                <w:color w:val="000000"/>
              </w:rPr>
              <w:t>Bi</w:t>
            </w:r>
            <w:proofErr w:type="spellEnd"/>
            <w:r w:rsidRPr="002E15F0">
              <w:rPr>
                <w:rFonts w:ascii="Times New Roman" w:hAnsi="Times New Roman"/>
                <w:bCs/>
                <w:color w:val="000000"/>
              </w:rPr>
              <w:t xml:space="preserve">  dhe aplikimi i tyre si barna</w:t>
            </w:r>
          </w:p>
        </w:tc>
      </w:tr>
      <w:tr w:rsidR="00DD4CD0" w:rsidRPr="002C3AC8" w:rsidTr="00DA534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  <w:b/>
                <w:i/>
              </w:rPr>
            </w:pPr>
            <w:r w:rsidRPr="002C3AC8">
              <w:rPr>
                <w:rFonts w:ascii="Times New Roman" w:hAnsi="Times New Roman"/>
                <w:b/>
                <w:i/>
              </w:rPr>
              <w:t>Java 10: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DE" w:rsidRPr="002E15F0" w:rsidRDefault="008C1FAD" w:rsidP="002E15F0">
            <w:pPr>
              <w:contextualSpacing/>
              <w:rPr>
                <w:rFonts w:ascii="Times New Roman" w:hAnsi="Times New Roman"/>
              </w:rPr>
            </w:pPr>
            <w:r w:rsidRPr="002E15F0">
              <w:rPr>
                <w:rFonts w:ascii="Times New Roman" w:hAnsi="Times New Roman"/>
              </w:rPr>
              <w:t>Aplikimi farmaceutik i acidit borik; borit (B), Aluminit (</w:t>
            </w:r>
            <w:proofErr w:type="spellStart"/>
            <w:r w:rsidRPr="002E15F0">
              <w:rPr>
                <w:rFonts w:ascii="Times New Roman" w:hAnsi="Times New Roman"/>
              </w:rPr>
              <w:t>Al</w:t>
            </w:r>
            <w:proofErr w:type="spellEnd"/>
            <w:r w:rsidRPr="002E15F0">
              <w:rPr>
                <w:rFonts w:ascii="Times New Roman" w:hAnsi="Times New Roman"/>
              </w:rPr>
              <w:t xml:space="preserve">), </w:t>
            </w:r>
            <w:proofErr w:type="spellStart"/>
            <w:r w:rsidRPr="002E15F0">
              <w:rPr>
                <w:rFonts w:ascii="Times New Roman" w:hAnsi="Times New Roman"/>
              </w:rPr>
              <w:t>galliumit</w:t>
            </w:r>
            <w:proofErr w:type="spellEnd"/>
            <w:r w:rsidRPr="002E15F0">
              <w:rPr>
                <w:rFonts w:ascii="Times New Roman" w:hAnsi="Times New Roman"/>
              </w:rPr>
              <w:t xml:space="preserve"> (</w:t>
            </w:r>
            <w:proofErr w:type="spellStart"/>
            <w:r w:rsidRPr="002E15F0">
              <w:rPr>
                <w:rFonts w:ascii="Times New Roman" w:hAnsi="Times New Roman"/>
              </w:rPr>
              <w:t>Ga</w:t>
            </w:r>
            <w:proofErr w:type="spellEnd"/>
            <w:r w:rsidRPr="002E15F0">
              <w:rPr>
                <w:rFonts w:ascii="Times New Roman" w:hAnsi="Times New Roman"/>
              </w:rPr>
              <w:t xml:space="preserve">), </w:t>
            </w:r>
            <w:proofErr w:type="spellStart"/>
            <w:r w:rsidRPr="002E15F0">
              <w:rPr>
                <w:rFonts w:ascii="Times New Roman" w:hAnsi="Times New Roman"/>
              </w:rPr>
              <w:t>indiumit</w:t>
            </w:r>
            <w:proofErr w:type="spellEnd"/>
            <w:r w:rsidRPr="002E15F0">
              <w:rPr>
                <w:rFonts w:ascii="Times New Roman" w:hAnsi="Times New Roman"/>
              </w:rPr>
              <w:t xml:space="preserve"> (In) </w:t>
            </w:r>
            <w:proofErr w:type="spellStart"/>
            <w:r w:rsidRPr="002E15F0">
              <w:rPr>
                <w:rFonts w:ascii="Times New Roman" w:hAnsi="Times New Roman"/>
              </w:rPr>
              <w:t>and</w:t>
            </w:r>
            <w:proofErr w:type="spellEnd"/>
            <w:r w:rsidRPr="002E15F0">
              <w:rPr>
                <w:rFonts w:ascii="Times New Roman" w:hAnsi="Times New Roman"/>
              </w:rPr>
              <w:t xml:space="preserve"> taliumit (</w:t>
            </w:r>
            <w:proofErr w:type="spellStart"/>
            <w:r w:rsidRPr="002E15F0">
              <w:rPr>
                <w:rFonts w:ascii="Times New Roman" w:hAnsi="Times New Roman"/>
              </w:rPr>
              <w:t>Tl</w:t>
            </w:r>
            <w:proofErr w:type="spellEnd"/>
            <w:r w:rsidRPr="002E15F0">
              <w:rPr>
                <w:rFonts w:ascii="Times New Roman" w:hAnsi="Times New Roman"/>
              </w:rPr>
              <w:t>)</w:t>
            </w:r>
            <w:r w:rsidR="007C25A0" w:rsidRPr="002E15F0">
              <w:rPr>
                <w:rFonts w:ascii="Times New Roman" w:hAnsi="Times New Roman"/>
              </w:rPr>
              <w:t>,</w:t>
            </w:r>
            <w:r w:rsidRPr="002E15F0">
              <w:rPr>
                <w:rFonts w:ascii="Times New Roman" w:hAnsi="Times New Roman"/>
              </w:rPr>
              <w:t xml:space="preserve"> </w:t>
            </w:r>
            <w:proofErr w:type="spellStart"/>
            <w:r w:rsidR="007C25A0" w:rsidRPr="002E15F0">
              <w:rPr>
                <w:rFonts w:ascii="Times New Roman" w:hAnsi="Times New Roman"/>
              </w:rPr>
              <w:t>Antacidet</w:t>
            </w:r>
            <w:proofErr w:type="spellEnd"/>
            <w:r w:rsidR="007C25A0" w:rsidRPr="002E15F0">
              <w:rPr>
                <w:rFonts w:ascii="Times New Roman" w:hAnsi="Times New Roman"/>
              </w:rPr>
              <w:t xml:space="preserve"> inorganike</w:t>
            </w:r>
          </w:p>
        </w:tc>
      </w:tr>
      <w:tr w:rsidR="00DD4CD0" w:rsidRPr="002C3AC8" w:rsidTr="00DA534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  <w:b/>
                <w:i/>
              </w:rPr>
            </w:pPr>
            <w:r w:rsidRPr="002C3AC8">
              <w:rPr>
                <w:rFonts w:ascii="Times New Roman" w:hAnsi="Times New Roman"/>
                <w:b/>
                <w:i/>
              </w:rPr>
              <w:t>Java 11</w:t>
            </w:r>
            <w:r w:rsidRPr="002C3AC8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570DA" w:rsidRDefault="009E01D4" w:rsidP="009E01D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sq-AL"/>
              </w:rPr>
            </w:pP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Komponimet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inorganike me përmbajtje të hekurit Fe, </w:t>
            </w:r>
            <w:proofErr w:type="spellStart"/>
            <w:r w:rsidRPr="002570DA">
              <w:rPr>
                <w:lang w:val="sq-AL"/>
              </w:rPr>
              <w:t>ruteniumit</w:t>
            </w:r>
            <w:proofErr w:type="spellEnd"/>
            <w:r w:rsidRPr="002570DA">
              <w:rPr>
                <w:lang w:val="sq-AL"/>
              </w:rPr>
              <w:t xml:space="preserve"> (</w:t>
            </w:r>
            <w:proofErr w:type="spellStart"/>
            <w:r w:rsidRPr="002570DA">
              <w:rPr>
                <w:lang w:val="sq-AL"/>
              </w:rPr>
              <w:t>Ru</w:t>
            </w:r>
            <w:proofErr w:type="spellEnd"/>
            <w:r w:rsidRPr="002570DA">
              <w:rPr>
                <w:lang w:val="sq-AL"/>
              </w:rPr>
              <w:t>), osmium (</w:t>
            </w:r>
            <w:proofErr w:type="spellStart"/>
            <w:r w:rsidRPr="002570DA">
              <w:rPr>
                <w:lang w:val="sq-AL"/>
              </w:rPr>
              <w:t>Os</w:t>
            </w:r>
            <w:proofErr w:type="spellEnd"/>
            <w:r w:rsidRPr="002570DA">
              <w:rPr>
                <w:lang w:val="sq-AL"/>
              </w:rPr>
              <w:t xml:space="preserve">), gjithashtu edhe elementi radioaktiv </w:t>
            </w:r>
            <w:proofErr w:type="spellStart"/>
            <w:r w:rsidRPr="002570DA">
              <w:rPr>
                <w:lang w:val="sq-AL"/>
              </w:rPr>
              <w:t>hasium</w:t>
            </w:r>
            <w:proofErr w:type="spellEnd"/>
            <w:r w:rsidRPr="002570DA">
              <w:rPr>
                <w:lang w:val="sq-AL"/>
              </w:rPr>
              <w:t xml:space="preserve"> (</w:t>
            </w:r>
            <w:proofErr w:type="spellStart"/>
            <w:r w:rsidRPr="002570DA">
              <w:rPr>
                <w:lang w:val="sq-AL"/>
              </w:rPr>
              <w:t>Hs</w:t>
            </w:r>
            <w:proofErr w:type="spellEnd"/>
            <w:r w:rsidRPr="002570DA">
              <w:rPr>
                <w:lang w:val="sq-AL"/>
              </w:rPr>
              <w:t>)</w:t>
            </w:r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dhe aplikimi i tyre si </w:t>
            </w:r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lastRenderedPageBreak/>
              <w:t>barna.</w:t>
            </w:r>
          </w:p>
        </w:tc>
      </w:tr>
      <w:tr w:rsidR="00DD4CD0" w:rsidRPr="002C3AC8" w:rsidTr="00DA534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  <w:b/>
                <w:i/>
              </w:rPr>
            </w:pPr>
            <w:r w:rsidRPr="002C3AC8">
              <w:rPr>
                <w:rFonts w:ascii="Times New Roman" w:hAnsi="Times New Roman"/>
                <w:b/>
                <w:i/>
              </w:rPr>
              <w:lastRenderedPageBreak/>
              <w:t>Java 12</w:t>
            </w:r>
            <w:r w:rsidRPr="002C3AC8">
              <w:rPr>
                <w:rFonts w:ascii="Times New Roman" w:hAnsi="Times New Roman"/>
                <w:b/>
              </w:rPr>
              <w:t xml:space="preserve">: 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570DA" w:rsidRDefault="009E01D4" w:rsidP="00DA534F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2"/>
                <w:szCs w:val="22"/>
                <w:lang w:val="sq-AL"/>
              </w:rPr>
            </w:pPr>
            <w:r w:rsidRPr="002570DA">
              <w:rPr>
                <w:lang w:val="sq-AL"/>
              </w:rPr>
              <w:t xml:space="preserve">Përbërjet radioaktive dhe zbatimi i tyre klinik -Përdorimi terapeutik i </w:t>
            </w:r>
            <w:proofErr w:type="spellStart"/>
            <w:r w:rsidRPr="002570DA">
              <w:rPr>
                <w:lang w:val="sq-AL"/>
              </w:rPr>
              <w:t>radiofarmaceutikëve</w:t>
            </w:r>
            <w:proofErr w:type="spellEnd"/>
          </w:p>
        </w:tc>
      </w:tr>
      <w:tr w:rsidR="009E01D4" w:rsidRPr="002C3AC8" w:rsidTr="00DA534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D4" w:rsidRPr="002C3AC8" w:rsidRDefault="009E01D4" w:rsidP="009E01D4">
            <w:pPr>
              <w:spacing w:after="0" w:line="240" w:lineRule="exact"/>
              <w:rPr>
                <w:rFonts w:ascii="Times New Roman" w:hAnsi="Times New Roman"/>
                <w:b/>
                <w:i/>
              </w:rPr>
            </w:pPr>
            <w:r w:rsidRPr="002C3AC8">
              <w:rPr>
                <w:rFonts w:ascii="Times New Roman" w:hAnsi="Times New Roman"/>
                <w:b/>
                <w:i/>
              </w:rPr>
              <w:t>Java 13</w:t>
            </w:r>
            <w:r w:rsidRPr="002C3AC8">
              <w:rPr>
                <w:rFonts w:ascii="Times New Roman" w:hAnsi="Times New Roman"/>
                <w:b/>
              </w:rPr>
              <w:t xml:space="preserve">:   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D4" w:rsidRPr="002570DA" w:rsidRDefault="009E01D4" w:rsidP="009E01D4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bCs/>
                <w:color w:val="000000"/>
                <w:sz w:val="22"/>
                <w:szCs w:val="22"/>
                <w:lang w:val="sq-AL"/>
              </w:rPr>
            </w:pPr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Antiseptikët; </w:t>
            </w: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Dezifenktantët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; </w:t>
            </w: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Komponimet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kuaternare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të amonit; Derivatet e </w:t>
            </w: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guanidinës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; </w:t>
            </w: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Komponimet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e </w:t>
            </w: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metalëve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të rënda: derivatet e Ag dhe </w:t>
            </w: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Hg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; </w:t>
            </w:r>
          </w:p>
        </w:tc>
      </w:tr>
      <w:tr w:rsidR="009E01D4" w:rsidRPr="002C3AC8" w:rsidTr="00DA534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D4" w:rsidRPr="002C3AC8" w:rsidRDefault="009E01D4" w:rsidP="009E01D4">
            <w:pPr>
              <w:spacing w:after="0" w:line="240" w:lineRule="exact"/>
              <w:rPr>
                <w:rFonts w:ascii="Times New Roman" w:hAnsi="Times New Roman"/>
                <w:b/>
                <w:i/>
              </w:rPr>
            </w:pPr>
            <w:r w:rsidRPr="002C3AC8">
              <w:rPr>
                <w:rFonts w:ascii="Times New Roman" w:hAnsi="Times New Roman"/>
                <w:b/>
                <w:i/>
              </w:rPr>
              <w:t>Java 14</w:t>
            </w:r>
            <w:r w:rsidRPr="002C3AC8">
              <w:rPr>
                <w:rFonts w:ascii="Times New Roman" w:hAnsi="Times New Roman"/>
                <w:b/>
              </w:rPr>
              <w:t xml:space="preserve">: 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D4" w:rsidRPr="002570DA" w:rsidRDefault="009E01D4" w:rsidP="009E01D4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  <w:lang w:val="sq-AL"/>
              </w:rPr>
            </w:pP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Komponimet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me oksigjen aktiv; </w:t>
            </w: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Komponimet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me halogjen aktiv; Alkoolet, aldehidet, acidet, </w:t>
            </w: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fenolet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Desinfektuesit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 xml:space="preserve"> me veprim </w:t>
            </w:r>
            <w:proofErr w:type="spellStart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oksidativ</w:t>
            </w:r>
            <w:proofErr w:type="spellEnd"/>
            <w:r w:rsidRPr="002570DA">
              <w:rPr>
                <w:bCs/>
                <w:color w:val="000000"/>
                <w:sz w:val="22"/>
                <w:szCs w:val="22"/>
                <w:lang w:val="sq-AL"/>
              </w:rPr>
              <w:t>;</w:t>
            </w:r>
          </w:p>
        </w:tc>
      </w:tr>
      <w:tr w:rsidR="00DD4CD0" w:rsidRPr="002C3AC8" w:rsidTr="00DA534F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 w:line="240" w:lineRule="exact"/>
              <w:rPr>
                <w:rFonts w:ascii="Times New Roman" w:hAnsi="Times New Roman"/>
                <w:b/>
                <w:i/>
              </w:rPr>
            </w:pPr>
            <w:r w:rsidRPr="002C3AC8">
              <w:rPr>
                <w:rFonts w:ascii="Times New Roman" w:hAnsi="Times New Roman"/>
                <w:b/>
                <w:i/>
              </w:rPr>
              <w:t>Java 15</w:t>
            </w:r>
            <w:r w:rsidRPr="002C3AC8">
              <w:rPr>
                <w:rFonts w:ascii="Times New Roman" w:hAnsi="Times New Roman"/>
                <w:b/>
              </w:rPr>
              <w:t xml:space="preserve">:   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9E01D4" w:rsidP="00DA534F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Kollokvium</w:t>
            </w:r>
            <w:proofErr w:type="spellEnd"/>
          </w:p>
        </w:tc>
      </w:tr>
    </w:tbl>
    <w:p w:rsidR="00DD4CD0" w:rsidRDefault="00DD4CD0" w:rsidP="00DD4CD0">
      <w:pPr>
        <w:pStyle w:val="NoSpacing"/>
        <w:rPr>
          <w:sz w:val="22"/>
          <w:szCs w:val="22"/>
          <w:lang w:val="sq-AL"/>
        </w:rPr>
      </w:pPr>
    </w:p>
    <w:p w:rsidR="00A33AC4" w:rsidRDefault="00A33AC4" w:rsidP="00DD4CD0">
      <w:pPr>
        <w:pStyle w:val="NoSpacing"/>
        <w:rPr>
          <w:sz w:val="22"/>
          <w:szCs w:val="22"/>
          <w:lang w:val="sq-AL"/>
        </w:rPr>
      </w:pPr>
    </w:p>
    <w:p w:rsidR="00A33AC4" w:rsidRDefault="00A33AC4" w:rsidP="00DD4CD0">
      <w:pPr>
        <w:pStyle w:val="NoSpacing"/>
        <w:rPr>
          <w:sz w:val="22"/>
          <w:szCs w:val="22"/>
          <w:lang w:val="sq-AL"/>
        </w:rPr>
      </w:pPr>
    </w:p>
    <w:p w:rsidR="00A33AC4" w:rsidRDefault="00A33AC4" w:rsidP="00DD4CD0">
      <w:pPr>
        <w:pStyle w:val="NoSpacing"/>
        <w:rPr>
          <w:sz w:val="22"/>
          <w:szCs w:val="22"/>
          <w:lang w:val="sq-AL"/>
        </w:rPr>
      </w:pPr>
    </w:p>
    <w:p w:rsidR="00A33AC4" w:rsidRDefault="00A33AC4" w:rsidP="00DD4CD0">
      <w:pPr>
        <w:pStyle w:val="NoSpacing"/>
        <w:rPr>
          <w:sz w:val="22"/>
          <w:szCs w:val="22"/>
          <w:lang w:val="sq-AL"/>
        </w:rPr>
      </w:pPr>
    </w:p>
    <w:p w:rsidR="00A33AC4" w:rsidRDefault="00A33AC4" w:rsidP="00DD4CD0">
      <w:pPr>
        <w:pStyle w:val="NoSpacing"/>
        <w:rPr>
          <w:sz w:val="22"/>
          <w:szCs w:val="22"/>
          <w:lang w:val="sq-AL"/>
        </w:rPr>
      </w:pPr>
    </w:p>
    <w:p w:rsidR="00A33AC4" w:rsidRDefault="00A33AC4" w:rsidP="00DD4CD0">
      <w:pPr>
        <w:pStyle w:val="NoSpacing"/>
        <w:rPr>
          <w:sz w:val="22"/>
          <w:szCs w:val="22"/>
          <w:lang w:val="sq-AL"/>
        </w:rPr>
      </w:pPr>
    </w:p>
    <w:p w:rsidR="00A33AC4" w:rsidRDefault="00A33AC4" w:rsidP="00DD4CD0">
      <w:pPr>
        <w:pStyle w:val="NoSpacing"/>
        <w:rPr>
          <w:sz w:val="22"/>
          <w:szCs w:val="22"/>
          <w:lang w:val="sq-AL"/>
        </w:rPr>
      </w:pPr>
    </w:p>
    <w:p w:rsidR="00A33AC4" w:rsidRDefault="00A33AC4" w:rsidP="00DD4CD0">
      <w:pPr>
        <w:pStyle w:val="NoSpacing"/>
        <w:rPr>
          <w:sz w:val="22"/>
          <w:szCs w:val="22"/>
          <w:lang w:val="sq-AL"/>
        </w:rPr>
      </w:pPr>
    </w:p>
    <w:p w:rsidR="00A33AC4" w:rsidRDefault="00A33AC4" w:rsidP="00DD4CD0">
      <w:pPr>
        <w:pStyle w:val="NoSpacing"/>
        <w:rPr>
          <w:sz w:val="22"/>
          <w:szCs w:val="22"/>
          <w:lang w:val="sq-AL"/>
        </w:rPr>
      </w:pPr>
    </w:p>
    <w:p w:rsidR="00A33AC4" w:rsidRDefault="00A33AC4" w:rsidP="00DD4CD0">
      <w:pPr>
        <w:pStyle w:val="NoSpacing"/>
        <w:rPr>
          <w:sz w:val="22"/>
          <w:szCs w:val="22"/>
          <w:lang w:val="sq-AL"/>
        </w:rPr>
      </w:pPr>
    </w:p>
    <w:p w:rsidR="00A33AC4" w:rsidRPr="002C3AC8" w:rsidRDefault="00A33AC4" w:rsidP="00DD4CD0">
      <w:pPr>
        <w:pStyle w:val="NoSpacing"/>
        <w:rPr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DD4CD0" w:rsidRPr="002C3AC8" w:rsidTr="00DA534F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</w:tcPr>
          <w:p w:rsidR="00DD4CD0" w:rsidRPr="002C3AC8" w:rsidRDefault="00DD4CD0" w:rsidP="00DA534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bookmarkStart w:id="1" w:name="_Hlk505257718"/>
            <w:r w:rsidRPr="002C3AC8">
              <w:rPr>
                <w:rFonts w:ascii="Times New Roman" w:hAnsi="Times New Roman"/>
              </w:rPr>
              <w:t>Politikat akademike dhe Kodi i Sjelljes</w:t>
            </w:r>
            <w:bookmarkEnd w:id="1"/>
          </w:p>
        </w:tc>
      </w:tr>
      <w:tr w:rsidR="00DD4CD0" w:rsidRPr="002C3AC8" w:rsidTr="00DA534F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D0" w:rsidRPr="002C3AC8" w:rsidRDefault="00DD4CD0" w:rsidP="00DA534F">
            <w:pPr>
              <w:spacing w:after="0" w:line="240" w:lineRule="exact"/>
              <w:contextualSpacing/>
              <w:jc w:val="both"/>
              <w:rPr>
                <w:rFonts w:ascii="Times New Roman" w:hAnsi="Times New Roman"/>
                <w:i/>
              </w:rPr>
            </w:pPr>
          </w:p>
          <w:p w:rsidR="00DD4CD0" w:rsidRPr="002C3AC8" w:rsidRDefault="00DD4CD0" w:rsidP="00DD4C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AC8">
              <w:rPr>
                <w:rFonts w:ascii="Times New Roman" w:hAnsi="Times New Roman"/>
                <w:color w:val="000000"/>
              </w:rPr>
              <w:t xml:space="preserve">Këshilli i njësisë akademike i përjashton nga Universiteti përgjithmonë ose përkohësisht studentët që i shkelin rëndë rregullat. Studentët e akuzuar për shkelje kanë të drejtë të dëgjohen nga komisioni disiplinor i cili e këshillon këshillin e njësisë akademike. Studentët e përjashtuar kanë të drejtë t’i ankohen Senatit i cili mund të konfirmojë ose të refuzojë vendimin e këshillit të njësisë akademike. </w:t>
            </w:r>
          </w:p>
          <w:p w:rsidR="00DD4CD0" w:rsidRPr="002C3AC8" w:rsidRDefault="00DD4CD0" w:rsidP="00DD4C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C3AC8">
              <w:rPr>
                <w:rFonts w:ascii="Times New Roman" w:hAnsi="Times New Roman"/>
                <w:color w:val="000000"/>
              </w:rPr>
              <w:t xml:space="preserve">Rregulloret që i </w:t>
            </w:r>
            <w:proofErr w:type="spellStart"/>
            <w:r w:rsidRPr="002C3AC8">
              <w:rPr>
                <w:rFonts w:ascii="Times New Roman" w:hAnsi="Times New Roman"/>
                <w:color w:val="000000"/>
              </w:rPr>
              <w:t>elaborojnë</w:t>
            </w:r>
            <w:proofErr w:type="spellEnd"/>
            <w:r w:rsidRPr="002C3AC8">
              <w:rPr>
                <w:rFonts w:ascii="Times New Roman" w:hAnsi="Times New Roman"/>
                <w:color w:val="000000"/>
              </w:rPr>
              <w:t xml:space="preserve"> këto procedura nxirren nga Senati pasi të jenë konsultuar me parlamentin e studentëve. </w:t>
            </w:r>
          </w:p>
          <w:p w:rsidR="00DD4CD0" w:rsidRPr="002C3AC8" w:rsidRDefault="00DD4CD0" w:rsidP="00DD4C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3AC8">
              <w:rPr>
                <w:rFonts w:ascii="Times New Roman" w:hAnsi="Times New Roman"/>
              </w:rPr>
              <w:t xml:space="preserve">Studentët kanë të drejtë të ankohen kundër vendimit të marrë prej organeve të Universitetit, të njësive akademike dhe njësive organizative që kanë të bëjnë me të drejtat, obligimet dhe përgjegjësitë e tyre. </w:t>
            </w:r>
          </w:p>
          <w:p w:rsidR="00DD4CD0" w:rsidRPr="002C3AC8" w:rsidRDefault="00DD4CD0" w:rsidP="00DD4C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3AC8">
              <w:rPr>
                <w:rFonts w:ascii="Times New Roman" w:hAnsi="Times New Roman"/>
              </w:rPr>
              <w:t xml:space="preserve">Ankesat e tilla i dorëzohen komisionit të studimeve të njësisë akademike brenda 15 ditëve të punës pas shpalljes së vendimit. </w:t>
            </w:r>
          </w:p>
          <w:p w:rsidR="00DD4CD0" w:rsidRPr="002C3AC8" w:rsidRDefault="00DD4CD0" w:rsidP="00DD4CD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3AC8">
              <w:rPr>
                <w:rFonts w:ascii="Times New Roman" w:hAnsi="Times New Roman"/>
              </w:rPr>
              <w:t xml:space="preserve">Komisioni i studimeve është i obliguar t’ia dorëzojë raportin për vendimin e marrë këshillit të njësisë akademike brenda 30 ditëve të punës pas pranimit të ankesës. </w:t>
            </w:r>
          </w:p>
          <w:p w:rsidR="00DD4CD0" w:rsidRPr="002C3AC8" w:rsidRDefault="00DD4CD0" w:rsidP="00DD4CD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2C3AC8">
              <w:rPr>
                <w:rFonts w:ascii="Times New Roman" w:hAnsi="Times New Roman"/>
              </w:rPr>
              <w:t>Ankesa rreth vendimit në shkallë të parë vendoset nga Senati.</w:t>
            </w:r>
          </w:p>
        </w:tc>
      </w:tr>
    </w:tbl>
    <w:p w:rsidR="00DD4CD0" w:rsidRPr="002C3AC8" w:rsidRDefault="00DD4CD0" w:rsidP="00DD4CD0">
      <w:pPr>
        <w:jc w:val="both"/>
        <w:rPr>
          <w:rFonts w:ascii="Times New Roman" w:hAnsi="Times New Roman"/>
        </w:rPr>
      </w:pPr>
    </w:p>
    <w:p w:rsidR="00DD4CD0" w:rsidRPr="002C3AC8" w:rsidRDefault="00DD4CD0" w:rsidP="00DD4CD0">
      <w:pPr>
        <w:rPr>
          <w:rFonts w:ascii="Times New Roman" w:hAnsi="Times New Roman"/>
        </w:rPr>
      </w:pPr>
    </w:p>
    <w:p w:rsidR="00DD4CD0" w:rsidRPr="002C3AC8" w:rsidRDefault="00DD4CD0" w:rsidP="00DD4CD0">
      <w:pPr>
        <w:rPr>
          <w:rFonts w:ascii="Times New Roman" w:hAnsi="Times New Roman"/>
        </w:rPr>
      </w:pPr>
    </w:p>
    <w:p w:rsidR="000F6D38" w:rsidRDefault="000F6D38"/>
    <w:sectPr w:rsidR="000F6D38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63B76"/>
    <w:multiLevelType w:val="hybridMultilevel"/>
    <w:tmpl w:val="BB789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FA6F93"/>
    <w:multiLevelType w:val="hybridMultilevel"/>
    <w:tmpl w:val="78D8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C2025"/>
    <w:multiLevelType w:val="hybridMultilevel"/>
    <w:tmpl w:val="AF3AE3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2C1A6A"/>
    <w:multiLevelType w:val="hybridMultilevel"/>
    <w:tmpl w:val="27FE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D0"/>
    <w:rsid w:val="00004B71"/>
    <w:rsid w:val="00013AF1"/>
    <w:rsid w:val="000F6D38"/>
    <w:rsid w:val="001C19DE"/>
    <w:rsid w:val="002178DE"/>
    <w:rsid w:val="002570DA"/>
    <w:rsid w:val="002E15F0"/>
    <w:rsid w:val="004C671F"/>
    <w:rsid w:val="004F1063"/>
    <w:rsid w:val="004F6355"/>
    <w:rsid w:val="005126F2"/>
    <w:rsid w:val="005F3025"/>
    <w:rsid w:val="007C25A0"/>
    <w:rsid w:val="0089408B"/>
    <w:rsid w:val="008C1FAD"/>
    <w:rsid w:val="009D6457"/>
    <w:rsid w:val="009E01D4"/>
    <w:rsid w:val="00A33AC4"/>
    <w:rsid w:val="00DD4CD0"/>
    <w:rsid w:val="00DE61B8"/>
    <w:rsid w:val="00EA0431"/>
    <w:rsid w:val="00F1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57E7B"/>
  <w15:docId w15:val="{C4414C58-F4DC-4FBC-9D60-BCBEC20C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D0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4C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NB</cp:lastModifiedBy>
  <cp:revision>2</cp:revision>
  <dcterms:created xsi:type="dcterms:W3CDTF">2024-09-23T21:10:00Z</dcterms:created>
  <dcterms:modified xsi:type="dcterms:W3CDTF">2024-09-23T21:10:00Z</dcterms:modified>
</cp:coreProperties>
</file>