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37"/>
        <w:gridCol w:w="883"/>
        <w:gridCol w:w="1620"/>
        <w:gridCol w:w="1800"/>
        <w:gridCol w:w="1800"/>
      </w:tblGrid>
      <w:tr w:rsidR="00437739" w:rsidRPr="008A101C" w:rsidTr="004433A3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pStyle w:val="Sinespaciado"/>
              <w:jc w:val="center"/>
              <w:rPr>
                <w:rFonts w:ascii="Calibri" w:hAnsi="Calibri" w:cs="Arial"/>
                <w:b/>
                <w:lang w:val="sq-AL"/>
              </w:rPr>
            </w:pPr>
            <w:r w:rsidRPr="008A101C">
              <w:rPr>
                <w:rFonts w:ascii="Calibri" w:hAnsi="Calibri" w:cs="Arial"/>
                <w:b/>
                <w:lang w:val="sq-AL"/>
              </w:rPr>
              <w:t>Të dhëna themelore të lëndës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 xml:space="preserve">Njësia akademike: 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 xml:space="preserve">Fakulteti I Edukimit 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Titulli i lëndës: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Gjuh</w:t>
            </w:r>
            <w:r w:rsidRPr="008A101C">
              <w:rPr>
                <w:lang w:val="sq-AL"/>
              </w:rPr>
              <w:t>ë</w:t>
            </w:r>
            <w:r w:rsidRPr="008A101C">
              <w:rPr>
                <w:rFonts w:ascii="Calibri" w:hAnsi="Calibri"/>
                <w:lang w:val="sq-AL"/>
              </w:rPr>
              <w:t xml:space="preserve"> </w:t>
            </w:r>
            <w:r>
              <w:rPr>
                <w:rFonts w:ascii="Calibri" w:hAnsi="Calibri"/>
                <w:lang w:val="sq-AL"/>
              </w:rPr>
              <w:t>shqipe</w:t>
            </w:r>
            <w:r w:rsidRPr="008A101C">
              <w:rPr>
                <w:rFonts w:ascii="Calibri" w:hAnsi="Calibri"/>
                <w:lang w:val="sq-AL"/>
              </w:rPr>
              <w:t xml:space="preserve"> III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Niveli: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Bachelor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Statusi lëndës: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E detyrueshme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Viti i studimeve: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II – Programi fillor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Numri i orëve në javë: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3+</w:t>
            </w:r>
            <w:r>
              <w:rPr>
                <w:rFonts w:ascii="Calibri" w:hAnsi="Calibri"/>
                <w:lang w:val="sq-AL"/>
              </w:rPr>
              <w:t>1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Vlera në kredi – ECTS: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>
              <w:rPr>
                <w:rFonts w:ascii="Calibri" w:hAnsi="Calibri"/>
                <w:lang w:val="sq-AL"/>
              </w:rPr>
              <w:t>5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Koha / lokacioni: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lang w:val="sq-AL"/>
              </w:rPr>
              <w:t xml:space="preserve">E  marte: AM 15:30-17: 45, premte AM 15: 30-17: 45 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Mësimdhënësi i lëndës: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>Prof.dr.Naser Pajaziti</w:t>
            </w: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 xml:space="preserve">Detajet kontaktuese: 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 w:rsidRPr="008A101C">
              <w:rPr>
                <w:rFonts w:ascii="Calibri" w:hAnsi="Calibri"/>
                <w:lang w:val="sq-AL"/>
              </w:rPr>
              <w:t xml:space="preserve">Cel. 044/149265 </w:t>
            </w: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  <w:r>
              <w:rPr>
                <w:rFonts w:ascii="Calibri" w:hAnsi="Calibri"/>
                <w:lang w:val="sq-AL"/>
              </w:rPr>
              <w:t>naser.pajaziti@uni-pr.edu</w:t>
            </w:r>
          </w:p>
        </w:tc>
      </w:tr>
      <w:tr w:rsidR="00437739" w:rsidRPr="008A101C" w:rsidTr="004433A3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lang w:val="sq-AL"/>
              </w:rPr>
            </w:pP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55" w:hanging="55"/>
              <w:jc w:val="both"/>
            </w:pPr>
            <w:r w:rsidRPr="008A101C">
              <w:t xml:space="preserve">Në këtë kurs studentet do të marrin njohuri të reja, duke i zgjeruar njohuritë e tyre paraprake, përkitazi me organizimin e tekstit: objektin e studimit të sintaksës, klasifikimin e togfjalëshave, klasifikimin dhe llojet e fjalive për nga struktura e tyre, modaliteti etj., gjymtyrët kryesore dhe gjymtyrët plotësuese të fjalisë:  Po ashtu ata do t‘i thellojnë njohuritë e tyre edhe në fushën klasifikimit dhe të llojeve të fjalisë së përbërë (fjalitë e bashkërenditura dhe fjalitë e nënrenditura).  </w:t>
            </w:r>
          </w:p>
          <w:p w:rsidR="00437739" w:rsidRPr="008A101C" w:rsidRDefault="00437739" w:rsidP="004433A3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180" w:right="605" w:hanging="180"/>
              <w:jc w:val="both"/>
            </w:pPr>
          </w:p>
          <w:p w:rsidR="00437739" w:rsidRPr="008A101C" w:rsidRDefault="00437739" w:rsidP="004433A3">
            <w:pPr>
              <w:ind w:left="180" w:right="605" w:hanging="180"/>
              <w:jc w:val="both"/>
            </w:pPr>
            <w:r w:rsidRPr="008A101C">
              <w:rPr>
                <w:b/>
              </w:rPr>
              <w:t xml:space="preserve">- </w:t>
            </w:r>
            <w:r w:rsidRPr="008A101C">
              <w:t>Qëllimi i kursit të gjuhës amtare (shqipe) III është që studentët:</w:t>
            </w:r>
          </w:p>
          <w:p w:rsidR="00437739" w:rsidRPr="008A101C" w:rsidRDefault="00437739" w:rsidP="004433A3">
            <w:pPr>
              <w:tabs>
                <w:tab w:val="left" w:pos="10080"/>
              </w:tabs>
              <w:ind w:left="180" w:hanging="180"/>
              <w:jc w:val="both"/>
              <w:outlineLvl w:val="0"/>
            </w:pPr>
            <w:r w:rsidRPr="008A101C">
              <w:rPr>
                <w:b/>
              </w:rPr>
              <w:t>-</w:t>
            </w:r>
            <w:r w:rsidRPr="008A101C">
              <w:t xml:space="preserve"> T’i thellojnë dhe zgjerojnë njohuritë e tyre në fushën e gjuhësisë në përgjithësi e të organizimit të tekstit (sintaksës) në veçanti;</w:t>
            </w:r>
          </w:p>
          <w:p w:rsidR="00437739" w:rsidRPr="008A101C" w:rsidRDefault="00437739" w:rsidP="004433A3">
            <w:pPr>
              <w:ind w:left="180" w:right="5" w:hanging="180"/>
              <w:jc w:val="both"/>
              <w:outlineLvl w:val="0"/>
            </w:pPr>
            <w:r w:rsidRPr="008A101C">
              <w:t>- Të njihen teorikisht dhe praktikisht (përmes formave të ndryshme të ushtrimeve) në mënyrë që t’i dallojnë togfjalëshat nga fjalitë; fjalitë e thjeshta nga fjalitë e përbëra; gjymtyrët kryesore nga ato plotësuese, si dhe problemet e tjera që shtron sintaksa;</w:t>
            </w:r>
          </w:p>
          <w:p w:rsidR="00437739" w:rsidRPr="008A101C" w:rsidRDefault="00437739" w:rsidP="004433A3">
            <w:pPr>
              <w:ind w:left="180" w:right="5" w:hanging="180"/>
              <w:jc w:val="both"/>
              <w:outlineLvl w:val="0"/>
              <w:rPr>
                <w:b/>
              </w:rPr>
            </w:pPr>
            <w:r w:rsidRPr="008A101C">
              <w:t>- Të fitojnë aftësi për të dalluar trajtat dhe format normative nga ato që nuk janë normative në ligjërimin e folur dhe të shkruar, në mënyrë që t’i zbatojnë këto aftësi në të ardhmen te nxënësit e ciklit të ulët të shkollës fillore.</w:t>
            </w:r>
          </w:p>
          <w:p w:rsidR="00437739" w:rsidRPr="008A101C" w:rsidRDefault="00437739" w:rsidP="004433A3">
            <w:pPr>
              <w:ind w:left="180" w:hanging="180"/>
              <w:jc w:val="both"/>
              <w:outlineLvl w:val="0"/>
              <w:rPr>
                <w:rFonts w:ascii="Calibri" w:hAnsi="Calibri"/>
                <w:i/>
              </w:rPr>
            </w:pPr>
          </w:p>
        </w:tc>
      </w:tr>
      <w:tr w:rsidR="00437739" w:rsidRPr="008A101C" w:rsidTr="004433A3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187" w:right="605" w:hanging="187"/>
              <w:jc w:val="both"/>
            </w:pPr>
            <w:r w:rsidRPr="008A101C">
              <w:rPr>
                <w:b/>
              </w:rPr>
              <w:t xml:space="preserve">-   </w:t>
            </w:r>
            <w:r w:rsidRPr="008A101C">
              <w:t>Studentët do të jenë në gjendje:</w:t>
            </w:r>
          </w:p>
          <w:p w:rsidR="00437739" w:rsidRPr="008A101C" w:rsidRDefault="00437739" w:rsidP="004433A3">
            <w:pPr>
              <w:ind w:left="187" w:right="605" w:hanging="187"/>
              <w:jc w:val="both"/>
            </w:pPr>
            <w:r w:rsidRPr="008A101C">
              <w:rPr>
                <w:b/>
              </w:rPr>
              <w:t xml:space="preserve">- </w:t>
            </w:r>
            <w:r w:rsidRPr="008A101C">
              <w:t xml:space="preserve"> T’i dallojnë njësitë sintaksore në tekst;</w:t>
            </w:r>
          </w:p>
          <w:p w:rsidR="00437739" w:rsidRPr="008A101C" w:rsidRDefault="00437739" w:rsidP="004433A3">
            <w:pPr>
              <w:tabs>
                <w:tab w:val="left" w:pos="840"/>
              </w:tabs>
              <w:ind w:left="180" w:right="599" w:hanging="180"/>
              <w:jc w:val="both"/>
              <w:outlineLvl w:val="0"/>
            </w:pPr>
            <w:r w:rsidRPr="008A101C">
              <w:rPr>
                <w:b/>
              </w:rPr>
              <w:t>-</w:t>
            </w:r>
            <w:r w:rsidRPr="008A101C">
              <w:t xml:space="preserve">  T’i përdorin mjetet ndërtimore dhe renditjen e tyre për një gjuhë sa më funksionale, të kuptueshme dhe shprehëse, si në formën e folur ashtu edhe në atë të shkruar, sipas rregullave të shqipes standarde, si gjatë </w:t>
            </w:r>
            <w:r w:rsidRPr="008A101C">
              <w:lastRenderedPageBreak/>
              <w:t>studimeve të tyre, ashtu dhe te fëmijët e institucioneve parashkollore;</w:t>
            </w:r>
          </w:p>
          <w:p w:rsidR="00437739" w:rsidRPr="008A101C" w:rsidRDefault="00437739" w:rsidP="004433A3">
            <w:pPr>
              <w:ind w:left="187" w:right="605" w:hanging="187"/>
              <w:jc w:val="both"/>
            </w:pPr>
            <w:r w:rsidRPr="008A101C">
              <w:rPr>
                <w:b/>
              </w:rPr>
              <w:t>-</w:t>
            </w:r>
            <w:r w:rsidRPr="008A101C">
              <w:t xml:space="preserve"> T’i identifikojnë dhe zbatojnë drejt e qartë ndërtimet-njësitë sintaksore te nxënësit e ciklit të ulët të shkollës fillore.</w:t>
            </w:r>
          </w:p>
          <w:p w:rsidR="00437739" w:rsidRPr="008A101C" w:rsidRDefault="00437739" w:rsidP="004433A3">
            <w:pPr>
              <w:pStyle w:val="Sinespaciado"/>
              <w:ind w:left="187" w:hanging="187"/>
              <w:rPr>
                <w:rFonts w:ascii="Calibri" w:hAnsi="Calibri"/>
                <w:i/>
                <w:lang w:val="sq-AL"/>
              </w:rPr>
            </w:pPr>
          </w:p>
        </w:tc>
      </w:tr>
      <w:tr w:rsidR="00437739" w:rsidRPr="008A101C" w:rsidTr="004433A3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</w:p>
        </w:tc>
      </w:tr>
      <w:tr w:rsidR="00437739" w:rsidRPr="008A101C" w:rsidTr="004433A3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pStyle w:val="Sinespaciado"/>
              <w:jc w:val="center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Kontributi nё ngarkesёn e studentit (gjё qё duhet tё korrespondoj</w:t>
            </w:r>
            <w:r w:rsidRPr="008A101C">
              <w:rPr>
                <w:b/>
                <w:lang w:val="sq-AL"/>
              </w:rPr>
              <w:t>ë</w:t>
            </w:r>
            <w:r w:rsidRPr="008A101C">
              <w:rPr>
                <w:rFonts w:ascii="Calibri" w:hAnsi="Calibri"/>
                <w:b/>
                <w:lang w:val="sq-AL"/>
              </w:rPr>
              <w:t xml:space="preserve"> me rezultatet e tё nxёnit tё studentit)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Orë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 Ditë/javë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>Gjithësej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Ligjërata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 – 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45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Ushtrime teorike/laboratorike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 – 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30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Punë praktike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Kontaktet me mësimdhënësin/konsultimet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 – 15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15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Ushtrime  në terren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Kolokuiume, seminare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2 – 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 xml:space="preserve">  8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Detyra të  shtëpisë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 – 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24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Koha e studimit vetanak të studentit (në bibliotekë ose në shtëpi)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2 – 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40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Përgatitja përfundimtare për provim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 – 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16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Koha e kaluar në vlerësim (teste, kuiz, provim final)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3 – 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  <w:color w:val="FF0000"/>
              </w:rPr>
              <w:t xml:space="preserve">  </w:t>
            </w:r>
            <w:r w:rsidRPr="008A101C">
              <w:rPr>
                <w:rFonts w:ascii="Calibri" w:hAnsi="Calibri" w:cs="Arial"/>
              </w:rPr>
              <w:t>8</w:t>
            </w: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>Projektet, prezantimet etj.</w:t>
            </w:r>
          </w:p>
          <w:p w:rsidR="00437739" w:rsidRPr="008A101C" w:rsidRDefault="00437739" w:rsidP="004433A3">
            <w:pPr>
              <w:rPr>
                <w:rFonts w:ascii="Calibri" w:hAnsi="Calibri" w:cs="Arial"/>
              </w:rPr>
            </w:pPr>
            <w:r w:rsidRPr="008A101C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739" w:rsidRPr="008A101C" w:rsidRDefault="00437739" w:rsidP="004433A3">
            <w:pPr>
              <w:rPr>
                <w:rFonts w:ascii="Calibri" w:hAnsi="Calibri" w:cs="Arial"/>
              </w:rPr>
            </w:pPr>
          </w:p>
        </w:tc>
      </w:tr>
      <w:tr w:rsidR="00437739" w:rsidRPr="008A101C" w:rsidTr="004433A3">
        <w:tc>
          <w:tcPr>
            <w:tcW w:w="4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 xml:space="preserve">Totali </w:t>
            </w:r>
          </w:p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  <w:r w:rsidRPr="008A101C">
              <w:rPr>
                <w:rFonts w:ascii="Calibri" w:hAnsi="Calibri" w:cs="Arial"/>
                <w:b/>
              </w:rPr>
              <w:t>186</w:t>
            </w:r>
          </w:p>
        </w:tc>
      </w:tr>
      <w:tr w:rsidR="00437739" w:rsidRPr="008A101C" w:rsidTr="004433A3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 w:cs="Arial"/>
                <w:b/>
              </w:rPr>
            </w:pPr>
          </w:p>
        </w:tc>
      </w:tr>
      <w:tr w:rsidR="00437739" w:rsidRPr="008A101C" w:rsidTr="004433A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Metodologjia e mësimdhënies:  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lang w:val="sq-AL"/>
              </w:rPr>
              <w:t>Si forma mësimi të këtij kursi të rregullt do të jenë: ligjëratat, bisedat, diskutimet, puna individuale, puna në grupe, seminaret, projektet ideore etj., duke aplikuar me këtë rast strategjitë dhe teknikat e reja mësimore, si:</w:t>
            </w:r>
            <w:r w:rsidRPr="008A101C">
              <w:rPr>
                <w:i/>
                <w:lang w:val="sq-AL"/>
              </w:rPr>
              <w:t xml:space="preserve"> insertin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parashikimin me terma paraprakë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pesëvargëshin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kubimin</w:t>
            </w:r>
            <w:r w:rsidRPr="008A101C">
              <w:rPr>
                <w:lang w:val="sq-AL"/>
              </w:rPr>
              <w:t xml:space="preserve">; </w:t>
            </w:r>
            <w:r w:rsidRPr="008A101C">
              <w:rPr>
                <w:i/>
                <w:lang w:val="sq-AL"/>
              </w:rPr>
              <w:t>kllasterin</w:t>
            </w:r>
            <w:r w:rsidRPr="008A101C">
              <w:rPr>
                <w:lang w:val="sq-AL"/>
              </w:rPr>
              <w:t xml:space="preserve">, </w:t>
            </w:r>
            <w:r w:rsidRPr="008A101C">
              <w:rPr>
                <w:i/>
                <w:lang w:val="sq-AL"/>
              </w:rPr>
              <w:t>analiza e tipareve semantike, tabelën koncepteve, diagrami i Venit, ditari dy/tripjesësh, harta e të menduarit</w:t>
            </w:r>
            <w:r w:rsidRPr="008A101C">
              <w:rPr>
                <w:lang w:val="sq-AL"/>
              </w:rPr>
              <w:t xml:space="preserve">..., si dhe teknika e modele të tjera mësimi, për një mësim më të avancuar e efektiv të gjuhës dhe të standardit të saj.         </w:t>
            </w:r>
          </w:p>
        </w:tc>
      </w:tr>
      <w:tr w:rsidR="00437739" w:rsidRPr="008A101C" w:rsidTr="004433A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i/>
                <w:lang w:val="sq-AL"/>
              </w:rPr>
            </w:pPr>
            <w:r w:rsidRPr="008A101C">
              <w:rPr>
                <w:rFonts w:ascii="Calibri" w:hAnsi="Calibri"/>
                <w:i/>
                <w:lang w:val="sq-AL"/>
              </w:rPr>
              <w:t>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simi do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het duke u mb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shtetur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vler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simet me shkrim (teste), seminare, detyra 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sht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pis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>, angazhime n</w:t>
            </w:r>
            <w:r w:rsidRPr="008A101C">
              <w:rPr>
                <w:i/>
                <w:lang w:val="sq-AL"/>
              </w:rPr>
              <w:t>ë</w:t>
            </w:r>
            <w:r w:rsidRPr="008A101C">
              <w:rPr>
                <w:rFonts w:ascii="Calibri" w:hAnsi="Calibri"/>
                <w:i/>
                <w:lang w:val="sq-AL"/>
              </w:rPr>
              <w:t xml:space="preserve"> klas</w:t>
            </w:r>
            <w:r w:rsidRPr="008A101C">
              <w:rPr>
                <w:i/>
                <w:lang w:val="sq-AL"/>
              </w:rPr>
              <w:t>ë dhe në testin përfundimtar.</w:t>
            </w:r>
          </w:p>
        </w:tc>
      </w:tr>
      <w:tr w:rsidR="00437739" w:rsidRPr="008A101C" w:rsidTr="004433A3">
        <w:tc>
          <w:tcPr>
            <w:tcW w:w="97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437739" w:rsidRPr="008A101C" w:rsidTr="004433A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themelore:  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tabs>
                <w:tab w:val="left" w:pos="1260"/>
                <w:tab w:val="left" w:pos="1309"/>
              </w:tabs>
              <w:jc w:val="both"/>
              <w:outlineLvl w:val="0"/>
              <w:rPr>
                <w:color w:val="000000"/>
              </w:rPr>
            </w:pPr>
          </w:p>
          <w:p w:rsidR="00437739" w:rsidRPr="008A101C" w:rsidRDefault="00437739" w:rsidP="004433A3">
            <w:pPr>
              <w:tabs>
                <w:tab w:val="left" w:pos="1260"/>
                <w:tab w:val="left" w:pos="1309"/>
              </w:tabs>
              <w:jc w:val="both"/>
              <w:outlineLvl w:val="0"/>
              <w:rPr>
                <w:color w:val="000000"/>
              </w:rPr>
            </w:pPr>
            <w:r w:rsidRPr="008A101C">
              <w:rPr>
                <w:color w:val="000000"/>
              </w:rPr>
              <w:t xml:space="preserve">1. Prof. Jashari, dr. Ali </w:t>
            </w:r>
            <w:r w:rsidRPr="008A101C">
              <w:rPr>
                <w:color w:val="000000"/>
              </w:rPr>
              <w:sym w:font="Symbol" w:char="0026"/>
            </w:r>
            <w:r w:rsidRPr="008A101C">
              <w:rPr>
                <w:color w:val="000000"/>
              </w:rPr>
              <w:t xml:space="preserve"> Kryeziu, Prof. asc. dr. Bahtijar (2010), </w:t>
            </w:r>
          </w:p>
          <w:p w:rsidR="00437739" w:rsidRPr="008A101C" w:rsidRDefault="00437739" w:rsidP="004433A3">
            <w:pPr>
              <w:tabs>
                <w:tab w:val="left" w:pos="1260"/>
                <w:tab w:val="left" w:pos="1309"/>
              </w:tabs>
              <w:jc w:val="both"/>
              <w:outlineLvl w:val="0"/>
              <w:rPr>
                <w:color w:val="000000"/>
              </w:rPr>
            </w:pPr>
            <w:r w:rsidRPr="008A101C">
              <w:rPr>
                <w:i/>
                <w:color w:val="000000"/>
              </w:rPr>
              <w:t xml:space="preserve">    Gjuhë amtare (</w:t>
            </w:r>
            <w:r w:rsidRPr="008A101C">
              <w:rPr>
                <w:color w:val="000000"/>
              </w:rPr>
              <w:t xml:space="preserve">Njohuri për gjuhën – fonetikë – morfologji – </w:t>
            </w:r>
          </w:p>
          <w:p w:rsidR="00437739" w:rsidRPr="008A101C" w:rsidRDefault="00437739" w:rsidP="004433A3">
            <w:pPr>
              <w:tabs>
                <w:tab w:val="left" w:pos="1260"/>
                <w:tab w:val="left" w:pos="1309"/>
              </w:tabs>
              <w:jc w:val="both"/>
              <w:outlineLvl w:val="0"/>
              <w:rPr>
                <w:color w:val="000000"/>
              </w:rPr>
            </w:pPr>
            <w:r w:rsidRPr="008A101C">
              <w:rPr>
                <w:color w:val="000000"/>
              </w:rPr>
              <w:t xml:space="preserve">    sintaksë) për studentët e Fakultetit të Edukimit, Universiteti i  </w:t>
            </w:r>
          </w:p>
          <w:p w:rsidR="00437739" w:rsidRPr="008A101C" w:rsidRDefault="00437739" w:rsidP="004433A3">
            <w:pPr>
              <w:tabs>
                <w:tab w:val="left" w:pos="1260"/>
                <w:tab w:val="left" w:pos="1309"/>
              </w:tabs>
              <w:jc w:val="both"/>
              <w:outlineLvl w:val="0"/>
              <w:rPr>
                <w:color w:val="000000"/>
              </w:rPr>
            </w:pPr>
            <w:r w:rsidRPr="008A101C">
              <w:rPr>
                <w:color w:val="000000"/>
              </w:rPr>
              <w:t xml:space="preserve">     Prishtinës, Prishtinë. </w:t>
            </w:r>
          </w:p>
          <w:p w:rsidR="00437739" w:rsidRPr="008A101C" w:rsidRDefault="00437739" w:rsidP="004433A3">
            <w:pPr>
              <w:pStyle w:val="Sinespaciado"/>
              <w:rPr>
                <w:i/>
                <w:color w:val="000000"/>
                <w:lang w:val="sq-AL"/>
              </w:rPr>
            </w:pPr>
            <w:r w:rsidRPr="008A101C">
              <w:rPr>
                <w:color w:val="000000"/>
                <w:lang w:val="sq-AL"/>
              </w:rPr>
              <w:lastRenderedPageBreak/>
              <w:t>2</w:t>
            </w:r>
            <w:r w:rsidRPr="008A101C">
              <w:rPr>
                <w:i/>
                <w:color w:val="000000"/>
                <w:lang w:val="sq-AL"/>
              </w:rPr>
              <w:t xml:space="preserve">. </w:t>
            </w:r>
            <w:r w:rsidRPr="008A101C">
              <w:rPr>
                <w:color w:val="000000"/>
                <w:lang w:val="sq-AL"/>
              </w:rPr>
              <w:t xml:space="preserve">Biba, dr. Elona (2008), </w:t>
            </w:r>
            <w:r w:rsidRPr="008A101C">
              <w:rPr>
                <w:i/>
                <w:color w:val="000000"/>
                <w:lang w:val="sq-AL"/>
              </w:rPr>
              <w:t xml:space="preserve">Ndërtimet sintaksore të shqipes përmes </w:t>
            </w:r>
          </w:p>
          <w:p w:rsidR="00437739" w:rsidRPr="008A101C" w:rsidRDefault="00437739" w:rsidP="004433A3">
            <w:pPr>
              <w:pStyle w:val="Sinespaciado"/>
              <w:rPr>
                <w:color w:val="000000"/>
                <w:lang w:val="sq-AL"/>
              </w:rPr>
            </w:pPr>
            <w:r w:rsidRPr="008A101C">
              <w:rPr>
                <w:i/>
                <w:color w:val="000000"/>
                <w:lang w:val="sq-AL"/>
              </w:rPr>
              <w:t xml:space="preserve">    Shembujve praktikë – ushtrime sintaksore, Korcë.</w:t>
            </w:r>
            <w:r w:rsidRPr="008A101C">
              <w:rPr>
                <w:color w:val="000000"/>
                <w:lang w:val="sq-AL"/>
              </w:rPr>
              <w:t xml:space="preserve"> </w:t>
            </w: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color w:val="000000"/>
                <w:lang w:val="sq-AL"/>
              </w:rPr>
            </w:pPr>
          </w:p>
        </w:tc>
      </w:tr>
      <w:tr w:rsidR="00437739" w:rsidRPr="008A101C" w:rsidTr="004433A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</w:p>
          <w:p w:rsidR="00437739" w:rsidRPr="008A101C" w:rsidRDefault="00437739" w:rsidP="004433A3">
            <w:pPr>
              <w:pStyle w:val="Sinespaciado"/>
              <w:rPr>
                <w:rFonts w:ascii="Calibri" w:hAnsi="Calibri"/>
                <w:b/>
                <w:lang w:val="sq-AL"/>
              </w:rPr>
            </w:pPr>
            <w:r w:rsidRPr="008A101C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pStyle w:val="Sinespaciado"/>
              <w:rPr>
                <w:color w:val="000000"/>
                <w:lang w:val="sq-AL"/>
              </w:rPr>
            </w:pPr>
          </w:p>
          <w:p w:rsidR="00437739" w:rsidRPr="008A101C" w:rsidRDefault="00437739" w:rsidP="004433A3">
            <w:pPr>
              <w:pStyle w:val="Sinespaciado"/>
              <w:rPr>
                <w:color w:val="000000"/>
                <w:lang w:val="sq-AL"/>
              </w:rPr>
            </w:pPr>
            <w:r w:rsidRPr="008A101C">
              <w:rPr>
                <w:color w:val="000000"/>
                <w:lang w:val="sq-AL"/>
              </w:rPr>
              <w:t xml:space="preserve">1. Beci, Akademik Bahri (1998), </w:t>
            </w:r>
            <w:r w:rsidRPr="008A101C">
              <w:rPr>
                <w:i/>
                <w:color w:val="000000"/>
                <w:lang w:val="sq-AL"/>
              </w:rPr>
              <w:t>Gramatika e gjuhës shqipe për mësimdhënësit e gjuhës shqipe,</w:t>
            </w:r>
            <w:r w:rsidRPr="008A101C">
              <w:rPr>
                <w:color w:val="000000"/>
                <w:lang w:val="sq-AL"/>
              </w:rPr>
              <w:t xml:space="preserve"> LSh, Tiranë.</w:t>
            </w:r>
          </w:p>
          <w:p w:rsidR="00437739" w:rsidRPr="008A101C" w:rsidRDefault="00437739" w:rsidP="004433A3">
            <w:pPr>
              <w:pStyle w:val="Sinespaciado"/>
              <w:rPr>
                <w:color w:val="000000"/>
                <w:lang w:val="sq-AL"/>
              </w:rPr>
            </w:pPr>
            <w:r w:rsidRPr="008A101C">
              <w:rPr>
                <w:color w:val="000000"/>
                <w:lang w:val="sq-AL"/>
              </w:rPr>
              <w:t>2. Dhima, Thoma (2005), Gjuha shqipe – Sintaksa, ShBLU, Tiranë.</w:t>
            </w:r>
          </w:p>
        </w:tc>
      </w:tr>
    </w:tbl>
    <w:p w:rsidR="00437739" w:rsidRPr="003F7B41" w:rsidRDefault="00437739" w:rsidP="00437739">
      <w:pPr>
        <w:rPr>
          <w:vanish/>
        </w:rPr>
      </w:pPr>
    </w:p>
    <w:tbl>
      <w:tblPr>
        <w:tblpPr w:leftFromText="180" w:rightFromText="180" w:vertAnchor="text" w:horzAnchor="margin" w:tblpX="-432" w:tblpY="4"/>
        <w:tblW w:w="9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7291"/>
      </w:tblGrid>
      <w:tr w:rsidR="00437739" w:rsidRPr="008A101C" w:rsidTr="004433A3">
        <w:trPr>
          <w:trHeight w:val="85"/>
        </w:trPr>
        <w:tc>
          <w:tcPr>
            <w:tcW w:w="9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Plani i detajizuuar i mësimit:</w:t>
            </w: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Java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Ligj</w:t>
            </w:r>
            <w:r w:rsidRPr="008A101C">
              <w:rPr>
                <w:b/>
              </w:rPr>
              <w:t>ë</w:t>
            </w:r>
            <w:r w:rsidRPr="008A101C">
              <w:rPr>
                <w:rFonts w:ascii="Calibri" w:hAnsi="Calibri"/>
                <w:b/>
              </w:rPr>
              <w:t>rata që do të zhvillohet</w:t>
            </w:r>
          </w:p>
        </w:tc>
      </w:tr>
      <w:tr w:rsidR="00437739" w:rsidRPr="008A101C" w:rsidTr="004433A3">
        <w:trPr>
          <w:trHeight w:val="32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99"/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  <w:rPr>
                <w:i/>
              </w:rPr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  <w:rPr>
                <w:i/>
              </w:rPr>
            </w:pPr>
            <w:r w:rsidRPr="008A101C">
              <w:rPr>
                <w:i/>
              </w:rPr>
              <w:t xml:space="preserve">Sintaksa (njohuri të përgjithshme për sintaksën): Objekti i sintaksës; njësitë sintaksore; lidhjet e sintaksës me disiplina të tjera shkencore; </w:t>
            </w: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  <w:r w:rsidRPr="008A101C">
              <w:t>Prof.dr.Ali Jashari – Prof. dr.Bahtijar Kryeziu, vepra e cituar, f.299-302.</w:t>
            </w: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99"/>
              <w:jc w:val="both"/>
            </w:pPr>
          </w:p>
          <w:p w:rsidR="00437739" w:rsidRPr="008A101C" w:rsidRDefault="00437739" w:rsidP="004433A3">
            <w:pPr>
              <w:jc w:val="both"/>
              <w:rPr>
                <w:i/>
              </w:rPr>
            </w:pPr>
            <w:r w:rsidRPr="008A101C">
              <w:rPr>
                <w:i/>
              </w:rPr>
              <w:t xml:space="preserve">Togfjalëshi (Njohuri të përgjithshme për togfjalëshin – klasifikimi i      </w:t>
            </w:r>
          </w:p>
          <w:p w:rsidR="00437739" w:rsidRPr="008A101C" w:rsidRDefault="00437739" w:rsidP="004433A3">
            <w:pPr>
              <w:ind w:right="599"/>
              <w:jc w:val="both"/>
            </w:pPr>
            <w:r w:rsidRPr="008A101C">
              <w:rPr>
                <w:i/>
              </w:rPr>
              <w:t xml:space="preserve">togfjalëshave);        </w:t>
            </w:r>
            <w:r w:rsidRPr="008A101C">
              <w:t xml:space="preserve">  </w:t>
            </w:r>
          </w:p>
          <w:p w:rsidR="00437739" w:rsidRPr="008A101C" w:rsidRDefault="00437739" w:rsidP="004433A3">
            <w:pPr>
              <w:ind w:right="5"/>
              <w:jc w:val="both"/>
            </w:pPr>
            <w:r w:rsidRPr="008A101C">
              <w:t>Prof.dr.Ali Jashari – Prof. dr. Bahtijar Kryeziu, vepra e cituar, f. 307-311.</w:t>
            </w:r>
          </w:p>
          <w:p w:rsidR="00437739" w:rsidRPr="008A101C" w:rsidRDefault="00437739" w:rsidP="004433A3">
            <w:pPr>
              <w:tabs>
                <w:tab w:val="left" w:pos="1560"/>
                <w:tab w:val="left" w:pos="8640"/>
              </w:tabs>
              <w:ind w:right="5"/>
              <w:jc w:val="both"/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tretë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>Fjalia – tipat e fjalive për nga kuptimi, ndërtimi (struktura e tyre);</w:t>
            </w:r>
          </w:p>
          <w:p w:rsidR="00437739" w:rsidRPr="008A101C" w:rsidRDefault="00437739" w:rsidP="004433A3">
            <w:pPr>
              <w:tabs>
                <w:tab w:val="left" w:pos="8640"/>
              </w:tabs>
              <w:ind w:right="5"/>
              <w:jc w:val="both"/>
            </w:pPr>
            <w:r w:rsidRPr="008A101C">
              <w:t>Prof.dr.Ali Jashari – Prof.dr.Bahtijar Kryeziu, vepra e cituar, f.317-329.</w:t>
            </w:r>
          </w:p>
          <w:p w:rsidR="00437739" w:rsidRPr="008A101C" w:rsidRDefault="00437739" w:rsidP="004433A3">
            <w:pPr>
              <w:tabs>
                <w:tab w:val="left" w:pos="1560"/>
              </w:tabs>
              <w:ind w:right="5"/>
              <w:jc w:val="both"/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"/>
              <w:jc w:val="both"/>
              <w:rPr>
                <w:i/>
              </w:rPr>
            </w:pPr>
            <w:r w:rsidRPr="008A101C">
              <w:rPr>
                <w:i/>
              </w:rPr>
              <w:t xml:space="preserve">Fjalia dykryegjymtyrëshe; Gjymtyrët kryesore të fjalisë: kryefjala </w:t>
            </w:r>
          </w:p>
          <w:p w:rsidR="00437739" w:rsidRPr="008A101C" w:rsidRDefault="00437739" w:rsidP="004433A3">
            <w:pPr>
              <w:ind w:right="599"/>
              <w:jc w:val="both"/>
              <w:rPr>
                <w:i/>
              </w:rPr>
            </w:pPr>
            <w:r w:rsidRPr="008A101C">
              <w:rPr>
                <w:i/>
              </w:rPr>
              <w:t xml:space="preserve">dhe kallëzuesi. </w:t>
            </w:r>
          </w:p>
          <w:p w:rsidR="00437739" w:rsidRPr="008A101C" w:rsidRDefault="00437739" w:rsidP="004433A3">
            <w:pPr>
              <w:ind w:left="1440" w:right="599" w:hanging="1440"/>
              <w:jc w:val="both"/>
            </w:pPr>
            <w:r w:rsidRPr="008A101C">
              <w:t xml:space="preserve">Prof.dr.Ali Jashari – Prof.dr.Bahtijar Kryeziu, vepra e cituar, </w:t>
            </w:r>
          </w:p>
          <w:p w:rsidR="00437739" w:rsidRPr="008A101C" w:rsidRDefault="00437739" w:rsidP="004433A3">
            <w:pPr>
              <w:ind w:left="1440" w:right="599" w:hanging="1440"/>
              <w:jc w:val="both"/>
              <w:rPr>
                <w:i/>
              </w:rPr>
            </w:pPr>
            <w:r w:rsidRPr="008A101C">
              <w:t>f. 337-343.</w:t>
            </w:r>
          </w:p>
          <w:p w:rsidR="00437739" w:rsidRPr="008A101C" w:rsidRDefault="00437739" w:rsidP="004433A3">
            <w:pPr>
              <w:ind w:left="1440" w:right="5" w:hanging="1440"/>
              <w:jc w:val="both"/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pestë: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1440" w:right="599" w:hanging="1440"/>
              <w:jc w:val="both"/>
              <w:rPr>
                <w:i/>
              </w:rPr>
            </w:pPr>
          </w:p>
          <w:p w:rsidR="00437739" w:rsidRPr="008A101C" w:rsidRDefault="00437739" w:rsidP="004433A3">
            <w:pPr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 xml:space="preserve">Gjymtyrët e dyta të fjalisë; Kundrinori; Rrethanori; </w:t>
            </w:r>
          </w:p>
          <w:p w:rsidR="00437739" w:rsidRPr="008A101C" w:rsidRDefault="00437739" w:rsidP="004433A3">
            <w:pPr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>Gj. e  krahasimit.</w:t>
            </w:r>
          </w:p>
          <w:p w:rsidR="00437739" w:rsidRPr="008A101C" w:rsidRDefault="00437739" w:rsidP="004433A3">
            <w:pPr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 xml:space="preserve"> Prof. dr. Ali Jashari – Prof. dr.Bahtijar Kryeziu, vepra e cituar,faqe</w:t>
            </w:r>
          </w:p>
          <w:p w:rsidR="00437739" w:rsidRPr="008A101C" w:rsidRDefault="00437739" w:rsidP="004433A3">
            <w:pPr>
              <w:tabs>
                <w:tab w:val="left" w:pos="1200"/>
              </w:tabs>
              <w:ind w:right="599"/>
              <w:jc w:val="both"/>
            </w:pPr>
            <w:r w:rsidRPr="008A101C">
              <w:t>344-357..</w:t>
            </w:r>
          </w:p>
          <w:p w:rsidR="00437739" w:rsidRPr="008A101C" w:rsidRDefault="00437739" w:rsidP="004433A3">
            <w:pPr>
              <w:tabs>
                <w:tab w:val="left" w:pos="1200"/>
              </w:tabs>
              <w:ind w:right="599"/>
              <w:jc w:val="both"/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gjashtë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1440" w:right="599" w:hanging="1440"/>
              <w:jc w:val="both"/>
              <w:rPr>
                <w:i/>
              </w:rPr>
            </w:pPr>
            <w:r w:rsidRPr="008A101C">
              <w:rPr>
                <w:i/>
              </w:rPr>
              <w:t>Përcaktori; Ndajshtimi; Përcaktori kallëzuesor</w:t>
            </w:r>
          </w:p>
          <w:p w:rsidR="00437739" w:rsidRPr="008A101C" w:rsidRDefault="00437739" w:rsidP="004433A3">
            <w:pPr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>Prof. dr. Ali Jashari – Prof. dr.Bahtijar Kryeziu, vepra e cituar,faqe</w:t>
            </w:r>
          </w:p>
          <w:p w:rsidR="00437739" w:rsidRPr="008A101C" w:rsidRDefault="00437739" w:rsidP="004433A3">
            <w:pPr>
              <w:ind w:left="1440" w:right="599" w:hanging="1440"/>
              <w:jc w:val="both"/>
            </w:pPr>
          </w:p>
          <w:p w:rsidR="00437739" w:rsidRPr="008A101C" w:rsidRDefault="00437739" w:rsidP="004433A3">
            <w:pPr>
              <w:ind w:left="1440" w:right="599" w:hanging="1440"/>
              <w:jc w:val="both"/>
              <w:rPr>
                <w:i/>
              </w:rPr>
            </w:pPr>
            <w:r w:rsidRPr="008A101C">
              <w:t>3357-363</w:t>
            </w:r>
          </w:p>
        </w:tc>
      </w:tr>
      <w:tr w:rsidR="00437739" w:rsidRPr="008A101C" w:rsidTr="004433A3">
        <w:trPr>
          <w:trHeight w:val="998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shatë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99"/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ind w:right="-17"/>
              <w:jc w:val="both"/>
            </w:pPr>
            <w:r w:rsidRPr="008A101C">
              <w:rPr>
                <w:i/>
              </w:rPr>
              <w:t>Rendi i gjymtyrëve në fjali; Gjymtyrët homogjene;</w:t>
            </w:r>
            <w:r w:rsidRPr="008A101C">
              <w:t xml:space="preserve">. </w:t>
            </w:r>
          </w:p>
          <w:p w:rsidR="00437739" w:rsidRPr="008A101C" w:rsidRDefault="00437739" w:rsidP="004433A3">
            <w:pPr>
              <w:ind w:right="5"/>
              <w:jc w:val="both"/>
              <w:rPr>
                <w:rFonts w:ascii="Calibri" w:hAnsi="Calibri"/>
                <w:b/>
              </w:rPr>
            </w:pPr>
            <w:r w:rsidRPr="008A101C">
              <w:t>Prof.dr.Ali Jashari – Prof.dr.Bahtijar Kryeziu, vepra e cituar, f. 372-377.</w:t>
            </w:r>
          </w:p>
        </w:tc>
      </w:tr>
      <w:tr w:rsidR="00437739" w:rsidRPr="008A101C" w:rsidTr="004433A3">
        <w:trPr>
          <w:trHeight w:val="107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tetë</w:t>
            </w: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tabs>
                <w:tab w:val="left" w:pos="720"/>
              </w:tabs>
              <w:ind w:left="1440" w:right="599" w:hanging="1440"/>
              <w:jc w:val="both"/>
              <w:rPr>
                <w:i/>
              </w:rPr>
            </w:pPr>
          </w:p>
          <w:p w:rsidR="00437739" w:rsidRPr="008A101C" w:rsidRDefault="00437739" w:rsidP="004433A3">
            <w:pPr>
              <w:tabs>
                <w:tab w:val="left" w:pos="720"/>
              </w:tabs>
              <w:ind w:left="1440" w:right="599" w:hanging="1440"/>
              <w:jc w:val="both"/>
            </w:pPr>
            <w:r w:rsidRPr="008A101C">
              <w:rPr>
                <w:i/>
              </w:rPr>
              <w:t>Gjymtyrët e veçuara të fjalisë</w:t>
            </w:r>
            <w:r w:rsidRPr="008A101C">
              <w:t xml:space="preserve">.  </w:t>
            </w:r>
          </w:p>
          <w:p w:rsidR="00437739" w:rsidRPr="008A101C" w:rsidRDefault="00437739" w:rsidP="004433A3">
            <w:pPr>
              <w:ind w:right="599"/>
              <w:jc w:val="both"/>
            </w:pPr>
            <w:r w:rsidRPr="008A101C">
              <w:t>Prof. dr. Ali Jashari – Prof.dr.Bahtijar Kryeziu, vepra e cituar, f.372-377</w:t>
            </w: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nëntë</w:t>
            </w: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  <w:i/>
              </w:rPr>
              <w:t>Java e dhjetë: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jc w:val="both"/>
              <w:outlineLvl w:val="0"/>
              <w:rPr>
                <w:i/>
              </w:rPr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  <w:r w:rsidRPr="008A101C">
              <w:rPr>
                <w:i/>
              </w:rPr>
              <w:t>Fjalia e përbërë</w:t>
            </w:r>
            <w:r w:rsidRPr="008A101C">
              <w:t xml:space="preserve"> (njohuri të përgjithshme për fjalinë e përbërë periudhën); fjalia e përbërë me bashkërenditje;   </w:t>
            </w: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</w:p>
          <w:p w:rsidR="00437739" w:rsidRPr="008A101C" w:rsidRDefault="00437739" w:rsidP="004433A3">
            <w:pPr>
              <w:jc w:val="both"/>
              <w:outlineLvl w:val="0"/>
              <w:rPr>
                <w:i/>
              </w:rPr>
            </w:pPr>
            <w:r w:rsidRPr="008A101C">
              <w:rPr>
                <w:i/>
              </w:rPr>
              <w:t>Prof. dr. Ali Jashari – Prof. dr.Bahtijar Kryeziu, vepra e cituar,faqe</w:t>
            </w: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  <w:r w:rsidRPr="008A101C">
              <w:t>379-363</w:t>
            </w: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  <w:r w:rsidRPr="008A101C">
              <w:rPr>
                <w:i/>
              </w:rPr>
              <w:t xml:space="preserve">Fjalia e përbërë me nënrenditje </w:t>
            </w:r>
            <w:r w:rsidRPr="008A101C">
              <w:t>(kryefjalore, kallëzuesore, kundrinore, përcaktore</w:t>
            </w:r>
          </w:p>
          <w:p w:rsidR="00437739" w:rsidRPr="008A101C" w:rsidRDefault="00437739" w:rsidP="004433A3">
            <w:pPr>
              <w:tabs>
                <w:tab w:val="left" w:pos="6715"/>
              </w:tabs>
              <w:jc w:val="both"/>
            </w:pPr>
            <w:r w:rsidRPr="008A101C">
              <w:t xml:space="preserve">                              </w:t>
            </w:r>
          </w:p>
          <w:p w:rsidR="00437739" w:rsidRPr="008A101C" w:rsidRDefault="00437739" w:rsidP="004433A3">
            <w:pPr>
              <w:ind w:right="5"/>
              <w:jc w:val="both"/>
              <w:rPr>
                <w:b/>
              </w:rPr>
            </w:pPr>
            <w:r w:rsidRPr="008A101C">
              <w:t>Prof.dr.Ali Jashari – Prof.dr.Bahtijar Kryeziu, vepra e cituar, f.399-415.</w:t>
            </w:r>
          </w:p>
          <w:p w:rsidR="00437739" w:rsidRPr="008A101C" w:rsidRDefault="00437739" w:rsidP="004433A3">
            <w:pPr>
              <w:tabs>
                <w:tab w:val="left" w:pos="1260"/>
              </w:tabs>
              <w:jc w:val="both"/>
              <w:rPr>
                <w:rFonts w:ascii="Calibri" w:hAnsi="Calibri"/>
                <w:b/>
              </w:rPr>
            </w:pPr>
          </w:p>
        </w:tc>
      </w:tr>
      <w:tr w:rsidR="00437739" w:rsidRPr="008A101C" w:rsidTr="004433A3">
        <w:trPr>
          <w:trHeight w:val="1790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</w:rPr>
            </w:pPr>
            <w:r w:rsidRPr="008A101C">
              <w:rPr>
                <w:rFonts w:ascii="Calibri" w:hAnsi="Calibri"/>
                <w:b/>
                <w:i/>
              </w:rPr>
              <w:t>Java e njëmbëdhjetë: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  <w:p w:rsidR="00437739" w:rsidRPr="008A101C" w:rsidRDefault="00437739" w:rsidP="004433A3">
            <w:pPr>
              <w:rPr>
                <w:rFonts w:ascii="Calibri" w:hAnsi="Calibri"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1080" w:right="5" w:hanging="1080"/>
              <w:jc w:val="both"/>
            </w:pPr>
          </w:p>
          <w:p w:rsidR="00437739" w:rsidRPr="008A101C" w:rsidRDefault="00437739" w:rsidP="004433A3">
            <w:pPr>
              <w:ind w:left="1440" w:hanging="1440"/>
              <w:jc w:val="both"/>
            </w:pPr>
            <w:r w:rsidRPr="008A101C">
              <w:t>Fjalitë e përbëra rrethanore (llojet e tyre: fjalitë e varura vendore,</w:t>
            </w:r>
          </w:p>
          <w:p w:rsidR="00437739" w:rsidRPr="008A101C" w:rsidRDefault="00437739" w:rsidP="004433A3">
            <w:pPr>
              <w:ind w:left="1080" w:right="5" w:hanging="1080"/>
              <w:jc w:val="both"/>
            </w:pPr>
            <w:r w:rsidRPr="008A101C">
              <w:t xml:space="preserve">kohore, mënyrore, qëllimore); </w:t>
            </w:r>
          </w:p>
          <w:p w:rsidR="00437739" w:rsidRPr="008A101C" w:rsidRDefault="00437739" w:rsidP="004433A3">
            <w:pPr>
              <w:tabs>
                <w:tab w:val="left" w:pos="1260"/>
              </w:tabs>
              <w:ind w:left="1440" w:hanging="1440"/>
              <w:jc w:val="both"/>
            </w:pPr>
            <w:r w:rsidRPr="008A101C">
              <w:t>Prof.dr.Ali Jashari – Prof.dr.Bahtijar Kryeziu, vepra e cituar, f. 416-</w:t>
            </w:r>
          </w:p>
          <w:p w:rsidR="00437739" w:rsidRPr="008A101C" w:rsidRDefault="00437739" w:rsidP="004433A3">
            <w:pPr>
              <w:tabs>
                <w:tab w:val="left" w:pos="720"/>
              </w:tabs>
              <w:jc w:val="both"/>
              <w:rPr>
                <w:rFonts w:ascii="Calibri" w:hAnsi="Calibri"/>
                <w:b/>
              </w:rPr>
            </w:pPr>
            <w:r w:rsidRPr="008A101C">
              <w:t>421</w:t>
            </w: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dymbëdhjetë:</w:t>
            </w:r>
            <w:r w:rsidRPr="008A101C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left="1440" w:hanging="1440"/>
              <w:jc w:val="both"/>
            </w:pPr>
            <w:r w:rsidRPr="008A101C">
              <w:t>Fjalitë e përbëra rrethanore, , shkakore, rrjedhimore, kushtore, lejore,krahasore);</w:t>
            </w:r>
          </w:p>
          <w:p w:rsidR="00437739" w:rsidRPr="008A101C" w:rsidRDefault="00437739" w:rsidP="004433A3">
            <w:pPr>
              <w:tabs>
                <w:tab w:val="left" w:pos="1200"/>
              </w:tabs>
              <w:ind w:right="5"/>
              <w:jc w:val="both"/>
              <w:rPr>
                <w:rFonts w:ascii="Calibri" w:hAnsi="Calibri"/>
                <w:b/>
                <w:i/>
              </w:rPr>
            </w:pPr>
            <w:r w:rsidRPr="008A101C">
              <w:t>Prof.dr.Ali Jashari – Prof.dr.Bahtijar Kryeziu, vepra e cituar, f.421-427.</w:t>
            </w: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jc w:val="center"/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trembëdhjetë: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tabs>
                <w:tab w:val="left" w:pos="8640"/>
              </w:tabs>
              <w:ind w:right="5"/>
              <w:jc w:val="both"/>
            </w:pPr>
          </w:p>
          <w:p w:rsidR="00437739" w:rsidRPr="008A101C" w:rsidRDefault="00437739" w:rsidP="004433A3">
            <w:pPr>
              <w:ind w:left="1440" w:right="599" w:hanging="1440"/>
              <w:jc w:val="both"/>
            </w:pPr>
            <w:r w:rsidRPr="008A101C">
              <w:rPr>
                <w:i/>
              </w:rPr>
              <w:t>Fjalitë e ndërmjetme; fjalitë e ndërshtëna</w:t>
            </w:r>
            <w:r w:rsidRPr="008A101C">
              <w:t xml:space="preserve">; </w:t>
            </w:r>
          </w:p>
          <w:p w:rsidR="00437739" w:rsidRPr="008A101C" w:rsidRDefault="00437739" w:rsidP="004433A3">
            <w:pPr>
              <w:ind w:right="5"/>
              <w:jc w:val="both"/>
            </w:pPr>
            <w:r w:rsidRPr="008A101C">
              <w:t>Prof.dr.Ali Jashari – Prof.dr.Bahtijar Kryeziu, vepra e cituar, f.441-443</w:t>
            </w:r>
          </w:p>
          <w:p w:rsidR="00437739" w:rsidRPr="008A101C" w:rsidRDefault="00437739" w:rsidP="004433A3">
            <w:pPr>
              <w:ind w:right="599"/>
              <w:jc w:val="both"/>
              <w:rPr>
                <w:i/>
              </w:rPr>
            </w:pPr>
          </w:p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katërmbëdhjetë</w:t>
            </w:r>
            <w:r w:rsidRPr="008A101C">
              <w:rPr>
                <w:rFonts w:ascii="Calibri" w:hAnsi="Calibri"/>
                <w:b/>
              </w:rPr>
              <w:t>: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99"/>
              <w:jc w:val="both"/>
              <w:rPr>
                <w:i/>
              </w:rPr>
            </w:pPr>
          </w:p>
          <w:p w:rsidR="00437739" w:rsidRPr="008A101C" w:rsidRDefault="00437739" w:rsidP="004433A3">
            <w:pPr>
              <w:tabs>
                <w:tab w:val="left" w:pos="720"/>
              </w:tabs>
              <w:ind w:left="72" w:hanging="72"/>
              <w:jc w:val="both"/>
              <w:rPr>
                <w:i/>
              </w:rPr>
            </w:pPr>
            <w:r w:rsidRPr="008A101C">
              <w:rPr>
                <w:i/>
              </w:rPr>
              <w:t>Fjalia e përbërë asindentike</w:t>
            </w:r>
          </w:p>
          <w:p w:rsidR="00437739" w:rsidRPr="008A101C" w:rsidRDefault="00437739" w:rsidP="004433A3">
            <w:pPr>
              <w:tabs>
                <w:tab w:val="left" w:pos="720"/>
              </w:tabs>
              <w:ind w:left="72" w:hanging="72"/>
              <w:jc w:val="both"/>
              <w:rPr>
                <w:b/>
                <w:bCs/>
              </w:rPr>
            </w:pPr>
            <w:r w:rsidRPr="008A101C">
              <w:t xml:space="preserve">Prof.dr.Ali Jashari – Prof.dr.Bahtijar Kryeziu, vepra e cituar, f. 447-454                                                </w:t>
            </w:r>
          </w:p>
          <w:p w:rsidR="00437739" w:rsidRPr="008A101C" w:rsidRDefault="00437739" w:rsidP="004433A3"/>
        </w:tc>
      </w:tr>
      <w:tr w:rsidR="00437739" w:rsidRPr="008A101C" w:rsidTr="004433A3">
        <w:trPr>
          <w:trHeight w:val="37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Java e pesëmbëdhjetë</w:t>
            </w:r>
            <w:r w:rsidRPr="008A101C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ind w:right="599"/>
              <w:jc w:val="both"/>
            </w:pPr>
            <w:r w:rsidRPr="008A101C">
              <w:rPr>
                <w:i/>
              </w:rPr>
              <w:t>Ligjërata e drejtë dhe ligjërata e zhdrejtë – e lirë;</w:t>
            </w:r>
          </w:p>
          <w:p w:rsidR="00437739" w:rsidRPr="008A101C" w:rsidRDefault="00437739" w:rsidP="004433A3">
            <w:pPr>
              <w:tabs>
                <w:tab w:val="left" w:pos="720"/>
              </w:tabs>
              <w:ind w:left="72" w:hanging="72"/>
              <w:jc w:val="both"/>
              <w:rPr>
                <w:b/>
                <w:bCs/>
              </w:rPr>
            </w:pPr>
            <w:r w:rsidRPr="008A101C">
              <w:t xml:space="preserve">Prof.dr.Ali Jashari – Prof.dr.Bahtijar Kryeziu, vepra e cituar, f. 454-459                                                </w:t>
            </w:r>
          </w:p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</w:p>
        </w:tc>
      </w:tr>
    </w:tbl>
    <w:p w:rsidR="00437739" w:rsidRPr="008A101C" w:rsidRDefault="00437739" w:rsidP="00437739">
      <w:pPr>
        <w:rPr>
          <w:rFonts w:ascii="Calibri" w:hAnsi="Calibri"/>
          <w:b/>
        </w:rPr>
      </w:pPr>
    </w:p>
    <w:tbl>
      <w:tblPr>
        <w:tblW w:w="97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0"/>
      </w:tblGrid>
      <w:tr w:rsidR="00437739" w:rsidRPr="008A101C" w:rsidTr="004433A3"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37739" w:rsidRPr="008A101C" w:rsidRDefault="00437739" w:rsidP="004433A3">
            <w:pPr>
              <w:jc w:val="center"/>
              <w:rPr>
                <w:rFonts w:ascii="Calibri" w:hAnsi="Calibri"/>
                <w:b/>
              </w:rPr>
            </w:pPr>
            <w:r w:rsidRPr="008A101C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437739" w:rsidRPr="008A101C" w:rsidTr="004433A3">
        <w:trPr>
          <w:trHeight w:val="108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739" w:rsidRPr="008A101C" w:rsidRDefault="00437739" w:rsidP="004433A3">
            <w:pPr>
              <w:rPr>
                <w:rFonts w:ascii="Calibri" w:hAnsi="Calibri"/>
                <w:b/>
                <w:i/>
              </w:rPr>
            </w:pPr>
            <w:r w:rsidRPr="008A101C">
              <w:rPr>
                <w:rFonts w:ascii="Calibri" w:hAnsi="Calibri"/>
                <w:b/>
                <w:i/>
              </w:rPr>
              <w:t>Cakto politikat e mirësjelljes n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 xml:space="preserve"> pajtueshm</w:t>
            </w:r>
            <w:r w:rsidRPr="008A101C">
              <w:rPr>
                <w:b/>
                <w:i/>
              </w:rPr>
              <w:t>ë</w:t>
            </w:r>
            <w:r w:rsidRPr="008A101C">
              <w:rPr>
                <w:rFonts w:ascii="Calibri" w:hAnsi="Calibri"/>
                <w:b/>
                <w:i/>
              </w:rPr>
              <w:t>ri me Statutin e UP-së.</w:t>
            </w:r>
          </w:p>
          <w:p w:rsidR="00437739" w:rsidRPr="008A101C" w:rsidRDefault="00437739" w:rsidP="004433A3">
            <w:pPr>
              <w:jc w:val="both"/>
            </w:pPr>
            <w:r w:rsidRPr="008A101C">
              <w:t>Pjesëmarrja në leksione dhe seminare është e detyrueshme.</w:t>
            </w:r>
          </w:p>
          <w:p w:rsidR="00437739" w:rsidRPr="008A101C" w:rsidRDefault="00437739" w:rsidP="004433A3">
            <w:pPr>
              <w:jc w:val="both"/>
            </w:pPr>
            <w:r w:rsidRPr="008A101C">
              <w:t>Studentit i cili ka mbi 4 mungesa të paarsyeshme në leksione, nuk i jepet nënshkrimi për vijueshmëri si student i rregullt.</w:t>
            </w:r>
          </w:p>
          <w:p w:rsidR="00437739" w:rsidRPr="008A101C" w:rsidRDefault="00437739" w:rsidP="004433A3">
            <w:pPr>
              <w:jc w:val="both"/>
            </w:pPr>
            <w:r w:rsidRPr="008A101C">
              <w:lastRenderedPageBreak/>
              <w:t>Studenti nuk mund të hyjë në provim pa fletëparaqitje valide.</w:t>
            </w:r>
          </w:p>
          <w:p w:rsidR="00437739" w:rsidRPr="008A101C" w:rsidRDefault="00437739" w:rsidP="004433A3">
            <w:pPr>
              <w:jc w:val="both"/>
            </w:pPr>
            <w:r w:rsidRPr="008A101C">
              <w:t>Ndalohet përdorimi i celularit në leksione, në seminare dhe në provime.</w:t>
            </w:r>
          </w:p>
          <w:p w:rsidR="00437739" w:rsidRPr="008A101C" w:rsidRDefault="00437739" w:rsidP="004433A3">
            <w:pPr>
              <w:jc w:val="both"/>
            </w:pPr>
            <w:r w:rsidRPr="008A101C">
              <w:t>Provimi është publik dhe mund të organizohet: me shkrim (përmes testit), ose me gojë (neni 123, pika 3 e Statutit të UP-së).</w:t>
            </w:r>
          </w:p>
          <w:p w:rsidR="00437739" w:rsidRPr="008A101C" w:rsidRDefault="00437739" w:rsidP="004433A3">
            <w:pPr>
              <w:jc w:val="both"/>
            </w:pPr>
            <w:r w:rsidRPr="008A101C">
              <w:t>Studenti kalon provimin me sukses me notat 6-10 (neni 122, pika 2)</w:t>
            </w:r>
          </w:p>
          <w:p w:rsidR="00437739" w:rsidRPr="008A101C" w:rsidRDefault="00437739" w:rsidP="004433A3">
            <w:pPr>
              <w:jc w:val="both"/>
            </w:pPr>
            <w:r w:rsidRPr="008A101C">
              <w:t xml:space="preserve">Studenti i pakënaqur me notën e fituar mund t’i parashtrojë ankesë me shkrim dekanatit, brenda dy ditëve të punës, pas shpalljes së rezultateve (neni 127, pika 1 e Statutit)   </w:t>
            </w:r>
          </w:p>
          <w:p w:rsidR="00437739" w:rsidRPr="008A101C" w:rsidRDefault="00437739" w:rsidP="004433A3">
            <w:pPr>
              <w:jc w:val="both"/>
            </w:pPr>
            <w:r w:rsidRPr="008A101C">
              <w:t>Studenti që zihet duke kopjuar vlerësohet me notën 5.</w:t>
            </w:r>
          </w:p>
          <w:p w:rsidR="00437739" w:rsidRPr="008A101C" w:rsidRDefault="00437739" w:rsidP="004433A3">
            <w:pPr>
              <w:jc w:val="both"/>
              <w:rPr>
                <w:rFonts w:ascii="Calibri" w:hAnsi="Calibri"/>
                <w:b/>
                <w:i/>
              </w:rPr>
            </w:pPr>
          </w:p>
        </w:tc>
      </w:tr>
    </w:tbl>
    <w:p w:rsidR="00F3384C" w:rsidRDefault="00F3384C">
      <w:bookmarkStart w:id="0" w:name="_GoBack"/>
      <w:bookmarkEnd w:id="0"/>
    </w:p>
    <w:sectPr w:rsidR="00F3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5F"/>
    <w:rsid w:val="00437739"/>
    <w:rsid w:val="00596F5F"/>
    <w:rsid w:val="00F3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71D3E-5424-41DE-8C61-596B6BE8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espaciado">
    <w:name w:val="Sin espaciado"/>
    <w:link w:val="SinespaciadoCar"/>
    <w:qFormat/>
    <w:rsid w:val="0043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link w:val="Sinespaciado"/>
    <w:locked/>
    <w:rsid w:val="004377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2024-11-19T10:11:00Z</dcterms:created>
  <dcterms:modified xsi:type="dcterms:W3CDTF">2024-11-19T10:12:00Z</dcterms:modified>
</cp:coreProperties>
</file>