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7B" w:rsidRPr="00CC2CCF" w:rsidRDefault="00E9617B" w:rsidP="00E9617B">
      <w:pPr>
        <w:pStyle w:val="berschrift3"/>
        <w:ind w:left="2" w:firstLine="0"/>
        <w:rPr>
          <w:lang w:val="sq-AL"/>
        </w:rPr>
      </w:pPr>
      <w:r w:rsidRPr="00CC2CCF">
        <w:rPr>
          <w:lang w:val="sq-AL"/>
        </w:rPr>
        <w:t>Titulli</w:t>
      </w:r>
      <w:r w:rsidRPr="00CC2CCF">
        <w:rPr>
          <w:lang w:val="sq-AL"/>
        </w:rPr>
        <w:tab/>
        <w:t>i lëndës: HYRJE NË PËRKTHIM DHE INTERPRETIM</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E9617B" w:rsidRPr="00CC2CCF" w:rsidTr="0042594A">
        <w:trPr>
          <w:trHeight w:val="340"/>
        </w:trPr>
        <w:tc>
          <w:tcPr>
            <w:tcW w:w="5235" w:type="dxa"/>
            <w:tcBorders>
              <w:top w:val="nil"/>
              <w:left w:val="single" w:sz="8" w:space="0" w:color="FFFFFF"/>
              <w:bottom w:val="single" w:sz="8" w:space="0" w:color="FFFFFF"/>
              <w:right w:val="nil"/>
            </w:tcBorders>
            <w:shd w:val="clear" w:color="auto" w:fill="58715C"/>
          </w:tcPr>
          <w:p w:rsidR="00E9617B" w:rsidRPr="00CC2CCF" w:rsidRDefault="00E9617B" w:rsidP="0042594A">
            <w:pPr>
              <w:spacing w:after="0" w:line="259" w:lineRule="auto"/>
              <w:ind w:left="0" w:firstLine="0"/>
              <w:rPr>
                <w:lang w:val="sq-AL"/>
              </w:rPr>
            </w:pPr>
            <w:r w:rsidRPr="00CC2CCF">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rsidR="00E9617B" w:rsidRPr="00CC2CCF" w:rsidRDefault="00E9617B" w:rsidP="0042594A">
            <w:pPr>
              <w:spacing w:after="160" w:line="259" w:lineRule="auto"/>
              <w:ind w:left="0" w:firstLine="0"/>
              <w:rPr>
                <w:lang w:val="sq-AL"/>
              </w:rPr>
            </w:pPr>
          </w:p>
        </w:tc>
      </w:tr>
      <w:tr w:rsidR="00E9617B" w:rsidRPr="00582F3A"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Fakulteti i Filologjisë: Departamenti i gjuhës dhe i letërsisë gjermane</w:t>
            </w:r>
          </w:p>
        </w:tc>
      </w:tr>
      <w:tr w:rsidR="00E9617B" w:rsidRPr="00B62F11"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Hyrje në përkthim dhe interpretim</w:t>
            </w:r>
          </w:p>
        </w:tc>
      </w:tr>
      <w:tr w:rsidR="00E9617B" w:rsidRPr="00CC2CCF"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BA</w:t>
            </w:r>
          </w:p>
        </w:tc>
      </w:tr>
      <w:tr w:rsidR="00E9617B" w:rsidRPr="00CC2CCF"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Me zgjedhje</w:t>
            </w:r>
          </w:p>
        </w:tc>
      </w:tr>
      <w:tr w:rsidR="00E9617B" w:rsidRPr="00CC2CCF"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Viti II, semestri II</w:t>
            </w:r>
          </w:p>
        </w:tc>
      </w:tr>
      <w:tr w:rsidR="00E9617B" w:rsidRPr="00CC2CCF"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2 + 0</w:t>
            </w:r>
          </w:p>
        </w:tc>
      </w:tr>
      <w:tr w:rsidR="00E9617B" w:rsidRPr="00CC2CCF"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4 ECTS</w:t>
            </w:r>
          </w:p>
        </w:tc>
      </w:tr>
      <w:tr w:rsidR="00E9617B" w:rsidRPr="00CC2CCF"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Klasa 32, sipas orarit</w:t>
            </w:r>
          </w:p>
        </w:tc>
      </w:tr>
      <w:tr w:rsidR="00E9617B" w:rsidRPr="003547C6"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Pr>
                <w:lang w:val="sq-AL"/>
              </w:rPr>
              <w:t>Prof. dr.</w:t>
            </w:r>
            <w:r w:rsidRPr="00CC2CCF">
              <w:rPr>
                <w:lang w:val="sq-AL"/>
              </w:rPr>
              <w:t xml:space="preserve"> </w:t>
            </w:r>
            <w:proofErr w:type="spellStart"/>
            <w:r w:rsidRPr="00CC2CCF">
              <w:rPr>
                <w:lang w:val="sq-AL"/>
              </w:rPr>
              <w:t>Naim</w:t>
            </w:r>
            <w:proofErr w:type="spellEnd"/>
            <w:r w:rsidRPr="00CC2CCF">
              <w:rPr>
                <w:lang w:val="sq-AL"/>
              </w:rPr>
              <w:t xml:space="preserve"> Kryeziu</w:t>
            </w:r>
          </w:p>
        </w:tc>
      </w:tr>
      <w:tr w:rsidR="00E9617B" w:rsidRPr="00B62F11" w:rsidTr="0042594A">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hyperlink r:id="rId5" w:history="1">
              <w:r w:rsidRPr="00CC2CCF">
                <w:rPr>
                  <w:color w:val="0000FF"/>
                  <w:u w:val="single"/>
                  <w:lang w:val="sq-AL"/>
                </w:rPr>
                <w:t>naim.kryeziu@uni-pr.edu</w:t>
              </w:r>
            </w:hyperlink>
            <w:r w:rsidRPr="00CC2CCF">
              <w:rPr>
                <w:lang w:val="sq-AL"/>
              </w:rPr>
              <w:t xml:space="preserve"> naimkryeziu@bluewin.ch</w:t>
            </w:r>
          </w:p>
        </w:tc>
      </w:tr>
      <w:tr w:rsidR="00E9617B" w:rsidRPr="00B62F11" w:rsidTr="0042594A">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right="46" w:firstLine="0"/>
              <w:jc w:val="both"/>
              <w:rPr>
                <w:lang w:val="sq-AL"/>
              </w:rPr>
            </w:pPr>
            <w:r w:rsidRPr="00CC2CCF">
              <w:rPr>
                <w:sz w:val="22"/>
                <w:lang w:val="sq-AL"/>
              </w:rPr>
              <w:t>Lënda  “Hyrje në përkthimin me shkrim dhe në përkthimin me gojë”  synon t’i njohë studentët me teoritë e ndryshme, me metodologjitë e me strategjitë e përkthimit me shkrim dhe të përkthimit me gojë, si edhe me vështirësitë që mund të hasin përkthyesit e ardhshëm në këto dy procese të përkthimit. Gjatë zhvillimit të ligjëratave të kësaj lënde, studentët do të njihen me teknikat më thelbësore për përkthim me shkrim e për përkthim me gojë, ndërsa gjatë ushtrimeve përkatëse do të mësojnë se si duhet përvetësuar arti i këtyre dy lloje përkthimesh, se si duhet bërë hulumtimi paraprak, si duhet punuar me fjalorë, ku dhe si mund të marrin informacione nga burimet elektronike, etj. Studentët do të mësojnë gjithashtu që të mos i bartin në mënyrë mekanike rregullat sintaksore nga njëra gjuhë në tjetrën. Njohuritë e fituara gjatë zhvillimit të kësaj lënde, studentët do t’i zbatojnë në praktikë, duke përkthyer me shkrim e me gojë tekste e biseda të niveleve e të fushave të ndryshme.</w:t>
            </w:r>
          </w:p>
        </w:tc>
      </w:tr>
      <w:tr w:rsidR="00E9617B" w:rsidRPr="00B62F11" w:rsidTr="0042594A">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E9617B" w:rsidRPr="00CC2CCF" w:rsidRDefault="00E9617B" w:rsidP="0042594A">
            <w:pPr>
              <w:rPr>
                <w:sz w:val="22"/>
                <w:lang w:val="sq-AL"/>
              </w:rPr>
            </w:pPr>
            <w:r w:rsidRPr="00CC2CCF">
              <w:rPr>
                <w:color w:val="222222"/>
                <w:sz w:val="22"/>
                <w:lang w:val="sq-AL" w:eastAsia="de-CH"/>
              </w:rPr>
              <w:t>Qëllimi i kësaj lëndë është që t’i njohë studentët:</w:t>
            </w:r>
          </w:p>
          <w:p w:rsidR="00E9617B" w:rsidRPr="00CC2CCF" w:rsidRDefault="00E9617B" w:rsidP="0042594A">
            <w:pPr>
              <w:pStyle w:val="KeinLeerraum"/>
              <w:numPr>
                <w:ilvl w:val="0"/>
                <w:numId w:val="1"/>
              </w:numPr>
              <w:rPr>
                <w:lang w:val="sq-AL"/>
              </w:rPr>
            </w:pPr>
            <w:r w:rsidRPr="00CC2CCF">
              <w:rPr>
                <w:lang w:val="sq-AL"/>
              </w:rPr>
              <w:t>me teoritë, me metodologjitë dhe me strategjitë e përkthimit me shkrim e me gojë</w:t>
            </w:r>
          </w:p>
          <w:p w:rsidR="00E9617B" w:rsidRPr="00CC2CCF" w:rsidRDefault="00E9617B" w:rsidP="0042594A">
            <w:pPr>
              <w:pStyle w:val="KeinLeerraum"/>
              <w:numPr>
                <w:ilvl w:val="0"/>
                <w:numId w:val="1"/>
              </w:numPr>
              <w:rPr>
                <w:lang w:val="sq-AL"/>
              </w:rPr>
            </w:pPr>
            <w:r w:rsidRPr="00CC2CCF">
              <w:rPr>
                <w:color w:val="222222"/>
                <w:lang w:val="sq-AL" w:eastAsia="de-CH"/>
              </w:rPr>
              <w:t>me burimet e informacioneve që mund t’u nevojiten gjatë këtyre dy proceseve të përkthimit</w:t>
            </w:r>
          </w:p>
          <w:p w:rsidR="00E9617B" w:rsidRPr="00CC2CCF" w:rsidRDefault="00E9617B" w:rsidP="0042594A">
            <w:pPr>
              <w:pStyle w:val="KeinLeerraum"/>
              <w:numPr>
                <w:ilvl w:val="0"/>
                <w:numId w:val="1"/>
              </w:numPr>
              <w:rPr>
                <w:lang w:val="sq-AL"/>
              </w:rPr>
            </w:pPr>
            <w:r w:rsidRPr="00CC2CCF">
              <w:rPr>
                <w:color w:val="222222"/>
                <w:lang w:val="sq-AL" w:eastAsia="de-CH"/>
              </w:rPr>
              <w:t>me praktikat profesionale të përkthimit me shkrim e me gojë nga gjermanishtja në shqip dhe anasjelltas.</w:t>
            </w:r>
          </w:p>
        </w:tc>
      </w:tr>
    </w:tbl>
    <w:p w:rsidR="00E9617B" w:rsidRPr="00CC2CCF" w:rsidRDefault="00E9617B" w:rsidP="00E9617B">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60"/>
        <w:gridCol w:w="1886"/>
        <w:gridCol w:w="322"/>
        <w:gridCol w:w="3526"/>
        <w:gridCol w:w="1636"/>
      </w:tblGrid>
      <w:tr w:rsidR="00E9617B" w:rsidRPr="00B62F11" w:rsidTr="0042594A">
        <w:trPr>
          <w:trHeight w:val="628"/>
        </w:trPr>
        <w:tc>
          <w:tcPr>
            <w:tcW w:w="5046" w:type="dxa"/>
            <w:gridSpan w:val="2"/>
            <w:tcBorders>
              <w:top w:val="nil"/>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Rezultatet e pritshme të nxënies:</w:t>
            </w:r>
          </w:p>
        </w:tc>
        <w:tc>
          <w:tcPr>
            <w:tcW w:w="5484" w:type="dxa"/>
            <w:gridSpan w:val="3"/>
            <w:tcBorders>
              <w:top w:val="nil"/>
              <w:left w:val="single" w:sz="8" w:space="0" w:color="FFFFFF"/>
              <w:bottom w:val="single" w:sz="8" w:space="0" w:color="FFFFFF"/>
              <w:right w:val="single" w:sz="8" w:space="0" w:color="FFFFFF"/>
            </w:tcBorders>
            <w:shd w:val="clear" w:color="auto" w:fill="C9D5CA"/>
          </w:tcPr>
          <w:p w:rsidR="00E9617B" w:rsidRPr="00CC2CCF" w:rsidRDefault="00E9617B" w:rsidP="0042594A">
            <w:pPr>
              <w:rPr>
                <w:sz w:val="22"/>
                <w:lang w:val="sq-AL"/>
              </w:rPr>
            </w:pPr>
            <w:r w:rsidRPr="00CC2CCF">
              <w:rPr>
                <w:sz w:val="22"/>
                <w:lang w:val="sq-AL"/>
              </w:rPr>
              <w:t>Pas mbarimit të kësaj lënde, studenti duhet të ketë përvetësuar:</w:t>
            </w:r>
          </w:p>
          <w:p w:rsidR="00E9617B" w:rsidRPr="00CC2CCF" w:rsidRDefault="00E9617B" w:rsidP="0042594A">
            <w:pPr>
              <w:pStyle w:val="KeinLeerraum"/>
              <w:numPr>
                <w:ilvl w:val="0"/>
                <w:numId w:val="2"/>
              </w:numPr>
              <w:rPr>
                <w:i/>
                <w:lang w:val="sq-AL"/>
              </w:rPr>
            </w:pPr>
            <w:r w:rsidRPr="00CC2CCF">
              <w:rPr>
                <w:lang w:val="sq-AL"/>
              </w:rPr>
              <w:t>metodat kryesore të përkthimit me shkrim e me gojë në përgjithësi</w:t>
            </w:r>
          </w:p>
          <w:p w:rsidR="00E9617B" w:rsidRPr="00CC2CCF" w:rsidRDefault="00E9617B" w:rsidP="0042594A">
            <w:pPr>
              <w:pStyle w:val="KeinLeerraum"/>
              <w:numPr>
                <w:ilvl w:val="0"/>
                <w:numId w:val="2"/>
              </w:numPr>
              <w:rPr>
                <w:i/>
                <w:lang w:val="sq-AL"/>
              </w:rPr>
            </w:pPr>
            <w:r w:rsidRPr="00CC2CCF">
              <w:rPr>
                <w:lang w:val="sq-AL"/>
              </w:rPr>
              <w:t>praktikat profesionale të përkthimit me shkrim e të përkthimit me gojë</w:t>
            </w:r>
          </w:p>
          <w:p w:rsidR="00E9617B" w:rsidRPr="00CC2CCF" w:rsidRDefault="00E9617B" w:rsidP="0042594A">
            <w:pPr>
              <w:pStyle w:val="KeinLeerraum"/>
              <w:numPr>
                <w:ilvl w:val="0"/>
                <w:numId w:val="2"/>
              </w:numPr>
              <w:rPr>
                <w:lang w:val="sq-AL"/>
              </w:rPr>
            </w:pPr>
            <w:r w:rsidRPr="00CC2CCF">
              <w:rPr>
                <w:lang w:val="sq-AL"/>
              </w:rPr>
              <w:t>veçoritë më thelbësore të gjuhës nga e cila përkthen dhe të gjuhës në të cilën përkthen me shkrim ose me gojë</w:t>
            </w:r>
          </w:p>
          <w:p w:rsidR="00E9617B" w:rsidRPr="00CC2CCF" w:rsidRDefault="00E9617B" w:rsidP="0042594A">
            <w:pPr>
              <w:pStyle w:val="KeinLeerraum"/>
              <w:numPr>
                <w:ilvl w:val="0"/>
                <w:numId w:val="2"/>
              </w:numPr>
              <w:rPr>
                <w:lang w:val="sq-AL"/>
              </w:rPr>
            </w:pPr>
            <w:r w:rsidRPr="00CC2CCF">
              <w:rPr>
                <w:lang w:val="sq-AL"/>
              </w:rPr>
              <w:t>njohuritë themelore të teorisë e të praktikës së përkthimit me shkrim dhe të përkthimit me gojë</w:t>
            </w:r>
          </w:p>
          <w:p w:rsidR="00E9617B" w:rsidRPr="00CC2CCF" w:rsidRDefault="00E9617B" w:rsidP="0042594A">
            <w:pPr>
              <w:pStyle w:val="KeinLeerraum"/>
              <w:numPr>
                <w:ilvl w:val="0"/>
                <w:numId w:val="2"/>
              </w:numPr>
              <w:rPr>
                <w:lang w:val="sq-AL"/>
              </w:rPr>
            </w:pPr>
            <w:r w:rsidRPr="00CC2CCF">
              <w:rPr>
                <w:lang w:val="sq-AL"/>
              </w:rPr>
              <w:t>rëndësinë e përdorimit të frazeologjisë, të sinonimisë dhe të antonimisë së gjuhës në të cilën përkthen me shkrim ose me gojë.</w:t>
            </w:r>
          </w:p>
        </w:tc>
      </w:tr>
      <w:tr w:rsidR="00E9617B" w:rsidRPr="00B62F11" w:rsidTr="0042594A">
        <w:trPr>
          <w:trHeight w:val="340"/>
        </w:trPr>
        <w:tc>
          <w:tcPr>
            <w:tcW w:w="10530" w:type="dxa"/>
            <w:gridSpan w:val="5"/>
            <w:tcBorders>
              <w:top w:val="nil"/>
              <w:left w:val="single" w:sz="8" w:space="0" w:color="FFFFFF"/>
              <w:bottom w:val="single" w:sz="8" w:space="0" w:color="FFFFFF"/>
              <w:right w:val="nil"/>
            </w:tcBorders>
            <w:shd w:val="clear" w:color="auto" w:fill="58715C"/>
          </w:tcPr>
          <w:p w:rsidR="00E9617B" w:rsidRPr="00CC2CCF" w:rsidRDefault="00E9617B" w:rsidP="0042594A">
            <w:pPr>
              <w:spacing w:after="0" w:line="259" w:lineRule="auto"/>
              <w:ind w:left="0" w:firstLine="0"/>
              <w:rPr>
                <w:lang w:val="sq-AL"/>
              </w:rPr>
            </w:pPr>
            <w:r w:rsidRPr="00CC2CCF">
              <w:rPr>
                <w:b/>
                <w:color w:val="FFFFFF"/>
                <w:lang w:val="sq-AL"/>
              </w:rPr>
              <w:t>Ngarkesa e studentit (duhet të jetë në përputhje me rezultatet e nxënies së studentit)</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 xml:space="preserve">Aktiviteti </w:t>
            </w:r>
          </w:p>
        </w:tc>
        <w:tc>
          <w:tcPr>
            <w:tcW w:w="3526"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tabs>
                <w:tab w:val="center" w:pos="696"/>
                <w:tab w:val="center" w:pos="2303"/>
              </w:tabs>
              <w:spacing w:after="0" w:line="259" w:lineRule="auto"/>
              <w:ind w:left="0" w:firstLine="0"/>
              <w:rPr>
                <w:lang w:val="sq-AL"/>
              </w:rPr>
            </w:pPr>
            <w:r w:rsidRPr="00CC2CCF">
              <w:rPr>
                <w:sz w:val="22"/>
                <w:lang w:val="sq-AL"/>
              </w:rPr>
              <w:tab/>
            </w:r>
            <w:r w:rsidRPr="00CC2CCF">
              <w:rPr>
                <w:lang w:val="sq-AL"/>
              </w:rPr>
              <w:t>Orë mësimore</w:t>
            </w:r>
            <w:r w:rsidRPr="00CC2CCF">
              <w:rPr>
                <w:lang w:val="sq-AL"/>
              </w:rPr>
              <w:tab/>
              <w:t>Ditë/Javë</w:t>
            </w:r>
          </w:p>
        </w:tc>
        <w:tc>
          <w:tcPr>
            <w:tcW w:w="1636" w:type="dxa"/>
            <w:tcBorders>
              <w:top w:val="single" w:sz="8" w:space="0" w:color="FFFFFF"/>
              <w:left w:val="single" w:sz="8" w:space="0" w:color="FFFFFF"/>
              <w:bottom w:val="single" w:sz="8" w:space="0" w:color="FFFFFF"/>
              <w:right w:val="nil"/>
            </w:tcBorders>
            <w:shd w:val="clear" w:color="auto" w:fill="6AA1A3"/>
          </w:tcPr>
          <w:p w:rsidR="00E9617B" w:rsidRPr="00CC2CCF" w:rsidRDefault="00E9617B" w:rsidP="0042594A">
            <w:pPr>
              <w:spacing w:after="0" w:line="259" w:lineRule="auto"/>
              <w:ind w:left="0" w:firstLine="0"/>
              <w:rPr>
                <w:lang w:val="sq-AL"/>
              </w:rPr>
            </w:pPr>
            <w:r w:rsidRPr="00CC2CCF">
              <w:rPr>
                <w:lang w:val="sq-AL"/>
              </w:rPr>
              <w:t>Gjithsej</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 xml:space="preserve">Ligjëratat </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tabs>
                <w:tab w:val="center" w:pos="61"/>
                <w:tab w:val="center" w:pos="1974"/>
              </w:tabs>
              <w:spacing w:after="0" w:line="259" w:lineRule="auto"/>
              <w:ind w:left="0" w:firstLine="0"/>
              <w:rPr>
                <w:lang w:val="sq-AL"/>
              </w:rPr>
            </w:pPr>
            <w:r w:rsidRPr="00CC2CCF">
              <w:rPr>
                <w:sz w:val="22"/>
                <w:lang w:val="sq-AL"/>
              </w:rPr>
              <w:tab/>
            </w:r>
            <w:r w:rsidRPr="00CC2CCF">
              <w:rPr>
                <w:lang w:val="sq-AL"/>
              </w:rPr>
              <w:t>2 (90 min.)</w:t>
            </w:r>
            <w:r w:rsidRPr="00CC2CCF">
              <w:rPr>
                <w:lang w:val="sq-AL"/>
              </w:rPr>
              <w:tab/>
              <w:t>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rPr>
                <w:lang w:val="sq-AL"/>
              </w:rPr>
            </w:pPr>
            <w:r w:rsidRPr="00CC2CCF">
              <w:rPr>
                <w:lang w:val="sq-AL"/>
              </w:rPr>
              <w:t>22.50</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Teori/Punë në laborator/Ushtrime</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160" w:line="259" w:lineRule="auto"/>
              <w:ind w:left="0" w:firstLine="0"/>
              <w:rPr>
                <w:lang w:val="sq-AL"/>
              </w:rPr>
            </w:pPr>
            <w:r w:rsidRPr="00CC2CCF">
              <w:rPr>
                <w:lang w:val="sq-AL"/>
              </w:rPr>
              <w:t>1 (60 min.)               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160" w:line="259" w:lineRule="auto"/>
              <w:ind w:left="0" w:firstLine="0"/>
              <w:rPr>
                <w:lang w:val="sq-AL"/>
              </w:rPr>
            </w:pPr>
            <w:r w:rsidRPr="00CC2CCF">
              <w:rPr>
                <w:lang w:val="sq-AL"/>
              </w:rPr>
              <w:t>15</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Punë praktike</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tabs>
                <w:tab w:val="center" w:pos="62"/>
                <w:tab w:val="center" w:pos="1974"/>
              </w:tabs>
              <w:spacing w:after="0" w:line="259" w:lineRule="auto"/>
              <w:ind w:left="0" w:firstLine="0"/>
              <w:rPr>
                <w:lang w:val="sq-AL"/>
              </w:rPr>
            </w:pPr>
            <w:r w:rsidRPr="00CC2CCF">
              <w:rPr>
                <w:sz w:val="22"/>
                <w:lang w:val="sq-AL"/>
              </w:rPr>
              <w:tab/>
            </w:r>
            <w:r w:rsidRPr="00CC2CCF">
              <w:rPr>
                <w:lang w:val="sq-AL"/>
              </w:rPr>
              <w:t>1 (60 min.)</w:t>
            </w:r>
            <w:r w:rsidRPr="00CC2CCF">
              <w:rPr>
                <w:lang w:val="sq-AL"/>
              </w:rPr>
              <w:tab/>
              <w:t>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1" w:firstLine="0"/>
              <w:rPr>
                <w:lang w:val="sq-AL"/>
              </w:rPr>
            </w:pPr>
            <w:r w:rsidRPr="00CC2CCF">
              <w:rPr>
                <w:lang w:val="sq-AL"/>
              </w:rPr>
              <w:t>15</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Kontaktet me mësimdhënësin/konsultimet</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160" w:line="259" w:lineRule="auto"/>
              <w:ind w:left="0" w:firstLine="0"/>
              <w:rPr>
                <w:lang w:val="sq-AL"/>
              </w:rPr>
            </w:pPr>
            <w:r w:rsidRPr="00CC2CCF">
              <w:rPr>
                <w:lang w:val="sq-AL"/>
              </w:rPr>
              <w:t>0.25                          15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160" w:line="259" w:lineRule="auto"/>
              <w:ind w:left="0" w:firstLine="0"/>
              <w:rPr>
                <w:lang w:val="sq-AL"/>
              </w:rPr>
            </w:pPr>
            <w:r w:rsidRPr="00CC2CCF">
              <w:rPr>
                <w:lang w:val="sq-AL"/>
              </w:rPr>
              <w:t>3.75</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Përgatitje për biseda ndërvepruese në lidhje me leksionet e zhvilluara</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tabs>
                <w:tab w:val="center" w:pos="153"/>
                <w:tab w:val="center" w:pos="1914"/>
              </w:tabs>
              <w:spacing w:after="0" w:line="259" w:lineRule="auto"/>
              <w:ind w:left="0" w:firstLine="0"/>
              <w:rPr>
                <w:lang w:val="sq-AL"/>
              </w:rPr>
            </w:pPr>
            <w:r w:rsidRPr="00CC2CCF">
              <w:rPr>
                <w:sz w:val="22"/>
                <w:lang w:val="sq-AL"/>
              </w:rPr>
              <w:tab/>
            </w:r>
            <w:r w:rsidRPr="00CC2CCF">
              <w:rPr>
                <w:lang w:val="sq-AL"/>
              </w:rPr>
              <w:t>0.25</w:t>
            </w:r>
            <w:r w:rsidRPr="00CC2CCF">
              <w:rPr>
                <w:lang w:val="sq-AL"/>
              </w:rPr>
              <w:tab/>
              <w:t xml:space="preserve">  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1" w:firstLine="0"/>
              <w:rPr>
                <w:lang w:val="sq-AL"/>
              </w:rPr>
            </w:pPr>
            <w:r w:rsidRPr="00CC2CCF">
              <w:rPr>
                <w:lang w:val="sq-AL"/>
              </w:rPr>
              <w:t>3.75</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Puna në terren</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tabs>
                <w:tab w:val="center" w:pos="62"/>
                <w:tab w:val="center" w:pos="1914"/>
              </w:tabs>
              <w:spacing w:after="0" w:line="259" w:lineRule="auto"/>
              <w:ind w:left="0" w:firstLine="0"/>
              <w:rPr>
                <w:lang w:val="sq-AL"/>
              </w:rPr>
            </w:pPr>
            <w:r w:rsidRPr="00CC2CCF">
              <w:rPr>
                <w:sz w:val="22"/>
                <w:lang w:val="sq-AL"/>
              </w:rPr>
              <w:tab/>
            </w:r>
            <w:r w:rsidRPr="00CC2CCF">
              <w:rPr>
                <w:lang w:val="sq-AL"/>
              </w:rPr>
              <w:tab/>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1" w:firstLine="0"/>
              <w:rPr>
                <w:lang w:val="sq-AL"/>
              </w:rPr>
            </w:pP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Testi, punimi i seminarit</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160" w:line="259" w:lineRule="auto"/>
              <w:ind w:left="0" w:firstLine="0"/>
              <w:rPr>
                <w:lang w:val="sq-AL"/>
              </w:rPr>
            </w:pPr>
            <w:r w:rsidRPr="00CC2CCF">
              <w:rPr>
                <w:lang w:val="sq-AL"/>
              </w:rPr>
              <w:t>1                                15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160" w:line="259" w:lineRule="auto"/>
              <w:ind w:left="0" w:firstLine="0"/>
              <w:rPr>
                <w:lang w:val="sq-AL"/>
              </w:rPr>
            </w:pPr>
            <w:r w:rsidRPr="00CC2CCF">
              <w:rPr>
                <w:lang w:val="sq-AL"/>
              </w:rPr>
              <w:t>15</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Detyrë shtëpie</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tabs>
                <w:tab w:val="center" w:pos="62"/>
                <w:tab w:val="center" w:pos="1975"/>
              </w:tabs>
              <w:spacing w:after="0" w:line="259" w:lineRule="auto"/>
              <w:ind w:left="0" w:firstLine="0"/>
              <w:rPr>
                <w:lang w:val="sq-AL"/>
              </w:rPr>
            </w:pPr>
            <w:r w:rsidRPr="00CC2CCF">
              <w:rPr>
                <w:sz w:val="22"/>
                <w:lang w:val="sq-AL"/>
              </w:rPr>
              <w:tab/>
            </w:r>
            <w:r w:rsidRPr="00CC2CCF">
              <w:rPr>
                <w:lang w:val="sq-AL"/>
              </w:rPr>
              <w:t>0.75</w:t>
            </w:r>
            <w:r w:rsidRPr="00CC2CCF">
              <w:rPr>
                <w:lang w:val="sq-AL"/>
              </w:rPr>
              <w:tab/>
              <w:t>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1" w:firstLine="0"/>
              <w:rPr>
                <w:lang w:val="sq-AL"/>
              </w:rPr>
            </w:pPr>
            <w:r w:rsidRPr="00CC2CCF">
              <w:rPr>
                <w:lang w:val="sq-AL"/>
              </w:rPr>
              <w:t>11.25</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Mësimi individual (në bibliotekë ose në shtëpi)</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160" w:line="259" w:lineRule="auto"/>
              <w:ind w:left="0" w:firstLine="0"/>
              <w:rPr>
                <w:lang w:val="sq-AL"/>
              </w:rPr>
            </w:pPr>
            <w:r w:rsidRPr="00CC2CCF">
              <w:rPr>
                <w:lang w:val="sq-AL"/>
              </w:rPr>
              <w:t>0.50                          15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1" w:firstLine="0"/>
              <w:rPr>
                <w:lang w:val="sq-AL"/>
              </w:rPr>
            </w:pPr>
            <w:r w:rsidRPr="00CC2CCF">
              <w:rPr>
                <w:lang w:val="sq-AL"/>
              </w:rPr>
              <w:t>7.50</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lastRenderedPageBreak/>
              <w:t>Përgatitja për provimin përfundimtar</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160" w:line="259" w:lineRule="auto"/>
              <w:ind w:left="0" w:firstLine="0"/>
              <w:rPr>
                <w:lang w:val="sq-AL"/>
              </w:rPr>
            </w:pPr>
            <w:r w:rsidRPr="00CC2CCF">
              <w:rPr>
                <w:lang w:val="sq-AL"/>
              </w:rPr>
              <w:t>4                                1</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1" w:firstLine="0"/>
              <w:rPr>
                <w:lang w:val="sq-AL"/>
              </w:rPr>
            </w:pPr>
            <w:r w:rsidRPr="00CC2CCF">
              <w:rPr>
                <w:lang w:val="sq-AL"/>
              </w:rPr>
              <w:t>3</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 xml:space="preserve">Koha e vlerësimit (testi, </w:t>
            </w:r>
            <w:proofErr w:type="spellStart"/>
            <w:r w:rsidRPr="00CC2CCF">
              <w:rPr>
                <w:lang w:val="sq-AL"/>
              </w:rPr>
              <w:t>kuizi</w:t>
            </w:r>
            <w:proofErr w:type="spellEnd"/>
            <w:r w:rsidRPr="00CC2CCF">
              <w:rPr>
                <w:lang w:val="sq-AL"/>
              </w:rPr>
              <w:t>, provimi përfundimtar)</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160" w:line="259" w:lineRule="auto"/>
              <w:ind w:left="0" w:firstLine="0"/>
              <w:rPr>
                <w:lang w:val="sq-AL"/>
              </w:rPr>
            </w:pPr>
            <w:r w:rsidRPr="00CC2CCF">
              <w:rPr>
                <w:lang w:val="sq-AL"/>
              </w:rPr>
              <w:t>0.50                           15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1" w:firstLine="0"/>
              <w:rPr>
                <w:lang w:val="sq-AL"/>
              </w:rPr>
            </w:pPr>
            <w:r w:rsidRPr="00CC2CCF">
              <w:rPr>
                <w:lang w:val="sq-AL"/>
              </w:rPr>
              <w:t>7.50</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1" w:firstLine="0"/>
              <w:rPr>
                <w:lang w:val="sq-AL"/>
              </w:rPr>
            </w:pPr>
            <w:r w:rsidRPr="00CC2CCF">
              <w:rPr>
                <w:lang w:val="sq-AL"/>
              </w:rPr>
              <w:t>Projektet, prezantimet, etj.</w:t>
            </w:r>
          </w:p>
        </w:tc>
        <w:tc>
          <w:tcPr>
            <w:tcW w:w="3526"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160" w:line="259" w:lineRule="auto"/>
              <w:ind w:left="0" w:firstLine="0"/>
              <w:rPr>
                <w:lang w:val="sq-AL"/>
              </w:rPr>
            </w:pPr>
            <w:r w:rsidRPr="00CC2CCF">
              <w:rPr>
                <w:lang w:val="sq-AL"/>
              </w:rPr>
              <w:t>0.50                           15</w:t>
            </w:r>
          </w:p>
        </w:tc>
        <w:tc>
          <w:tcPr>
            <w:tcW w:w="1636"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160" w:line="259" w:lineRule="auto"/>
              <w:ind w:left="0" w:firstLine="0"/>
              <w:rPr>
                <w:lang w:val="sq-AL"/>
              </w:rPr>
            </w:pPr>
            <w:r w:rsidRPr="00CC2CCF">
              <w:rPr>
                <w:lang w:val="sq-AL"/>
              </w:rPr>
              <w:t>7.50</w:t>
            </w:r>
          </w:p>
        </w:tc>
      </w:tr>
      <w:tr w:rsidR="00E9617B" w:rsidRPr="00CC2CCF" w:rsidTr="0042594A">
        <w:trPr>
          <w:trHeight w:val="340"/>
        </w:trPr>
        <w:tc>
          <w:tcPr>
            <w:tcW w:w="5368" w:type="dxa"/>
            <w:gridSpan w:val="3"/>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1" w:firstLine="0"/>
              <w:rPr>
                <w:lang w:val="sq-AL"/>
              </w:rPr>
            </w:pPr>
            <w:r w:rsidRPr="00CC2CCF">
              <w:rPr>
                <w:lang w:val="sq-AL"/>
              </w:rPr>
              <w:t>Total</w:t>
            </w:r>
          </w:p>
        </w:tc>
        <w:tc>
          <w:tcPr>
            <w:tcW w:w="3526"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160" w:line="259" w:lineRule="auto"/>
              <w:ind w:left="0" w:firstLine="0"/>
              <w:rPr>
                <w:lang w:val="sq-AL"/>
              </w:rPr>
            </w:pPr>
          </w:p>
        </w:tc>
        <w:tc>
          <w:tcPr>
            <w:tcW w:w="1636" w:type="dxa"/>
            <w:tcBorders>
              <w:top w:val="single" w:sz="8" w:space="0" w:color="FFFFFF"/>
              <w:left w:val="single" w:sz="8" w:space="0" w:color="FFFFFF"/>
              <w:bottom w:val="single" w:sz="8" w:space="0" w:color="FFFFFF"/>
              <w:right w:val="nil"/>
            </w:tcBorders>
            <w:shd w:val="clear" w:color="auto" w:fill="6AA1A3"/>
          </w:tcPr>
          <w:p w:rsidR="00E9617B" w:rsidRPr="00CC2CCF" w:rsidRDefault="00E9617B" w:rsidP="0042594A">
            <w:pPr>
              <w:spacing w:after="0" w:line="259" w:lineRule="auto"/>
              <w:ind w:left="1" w:firstLine="0"/>
              <w:rPr>
                <w:lang w:val="sq-AL"/>
              </w:rPr>
            </w:pPr>
            <w:r w:rsidRPr="00CC2CCF">
              <w:rPr>
                <w:lang w:val="sq-AL"/>
              </w:rPr>
              <w:t>112.75:25=4.51</w:t>
            </w:r>
          </w:p>
          <w:p w:rsidR="00E9617B" w:rsidRPr="00CC2CCF" w:rsidRDefault="00E9617B" w:rsidP="0042594A">
            <w:pPr>
              <w:spacing w:after="0" w:line="259" w:lineRule="auto"/>
              <w:ind w:left="1" w:firstLine="0"/>
              <w:rPr>
                <w:lang w:val="sq-AL"/>
              </w:rPr>
            </w:pPr>
            <w:r w:rsidRPr="00CC2CCF">
              <w:rPr>
                <w:lang w:val="sq-AL"/>
              </w:rPr>
              <w:t>4 ETCS</w:t>
            </w:r>
          </w:p>
        </w:tc>
      </w:tr>
      <w:tr w:rsidR="00E9617B" w:rsidRPr="00B62F11" w:rsidTr="0042594A">
        <w:trPr>
          <w:trHeight w:val="916"/>
        </w:trPr>
        <w:tc>
          <w:tcPr>
            <w:tcW w:w="3160" w:type="dxa"/>
            <w:tcBorders>
              <w:top w:val="nil"/>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 xml:space="preserve">Metodat e mësimdhënies:  </w:t>
            </w:r>
          </w:p>
        </w:tc>
        <w:tc>
          <w:tcPr>
            <w:tcW w:w="7370" w:type="dxa"/>
            <w:gridSpan w:val="4"/>
            <w:tcBorders>
              <w:top w:val="nil"/>
              <w:left w:val="single" w:sz="8" w:space="0" w:color="FFFFFF"/>
              <w:bottom w:val="single" w:sz="8" w:space="0" w:color="FFFFFF"/>
              <w:right w:val="nil"/>
            </w:tcBorders>
            <w:shd w:val="clear" w:color="auto" w:fill="C9D5CA"/>
          </w:tcPr>
          <w:p w:rsidR="00E9617B" w:rsidRPr="00CC2CCF" w:rsidRDefault="00E9617B" w:rsidP="0042594A">
            <w:pPr>
              <w:spacing w:after="0" w:line="259" w:lineRule="auto"/>
              <w:ind w:left="0" w:firstLine="0"/>
              <w:jc w:val="both"/>
              <w:rPr>
                <w:lang w:val="sq-AL"/>
              </w:rPr>
            </w:pPr>
            <w:r w:rsidRPr="00CC2CCF">
              <w:rPr>
                <w:sz w:val="22"/>
                <w:lang w:val="sq-AL"/>
              </w:rPr>
              <w:t>Mësimi zhvillohet me ligjërata dhe me ushtrime. Gjatë ushtrimeve zbatohet metoda ndërvepruese. Ushtrimet bëhen sipas temave dhe detyrave të caktuara. Ushtrimet zhvillohen në grupe e në çifte, por edhe në mënyrë individuale. Studentët janë të detyruar të bëjnë punime seminari dhe të përkthejnë tekste nga fusha të ndryshme.</w:t>
            </w:r>
          </w:p>
        </w:tc>
      </w:tr>
      <w:tr w:rsidR="00E9617B" w:rsidRPr="00582F3A" w:rsidTr="0042594A">
        <w:trPr>
          <w:trHeight w:val="1486"/>
        </w:trPr>
        <w:tc>
          <w:tcPr>
            <w:tcW w:w="3160" w:type="dxa"/>
            <w:tcBorders>
              <w:top w:val="nil"/>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Metodat e vlerësimit:</w:t>
            </w:r>
          </w:p>
        </w:tc>
        <w:tc>
          <w:tcPr>
            <w:tcW w:w="7370" w:type="dxa"/>
            <w:gridSpan w:val="4"/>
            <w:tcBorders>
              <w:top w:val="nil"/>
              <w:left w:val="single" w:sz="8" w:space="0" w:color="FFFFFF"/>
              <w:bottom w:val="single" w:sz="8" w:space="0" w:color="FFFFFF"/>
              <w:right w:val="nil"/>
            </w:tcBorders>
            <w:shd w:val="clear" w:color="auto" w:fill="C9D5CA"/>
          </w:tcPr>
          <w:p w:rsidR="00E9617B" w:rsidRPr="00646B4B" w:rsidRDefault="00E9617B" w:rsidP="0042594A">
            <w:pPr>
              <w:numPr>
                <w:ilvl w:val="0"/>
                <w:numId w:val="4"/>
              </w:numPr>
              <w:spacing w:after="0" w:line="240" w:lineRule="auto"/>
              <w:rPr>
                <w:sz w:val="22"/>
                <w:lang w:val="sq-AL"/>
              </w:rPr>
            </w:pPr>
            <w:proofErr w:type="spellStart"/>
            <w:r w:rsidRPr="00646B4B">
              <w:rPr>
                <w:sz w:val="22"/>
                <w:lang w:val="sq-AL"/>
              </w:rPr>
              <w:t>Pjesëmarja</w:t>
            </w:r>
            <w:proofErr w:type="spellEnd"/>
            <w:r w:rsidRPr="00646B4B">
              <w:rPr>
                <w:sz w:val="22"/>
                <w:lang w:val="sq-AL"/>
              </w:rPr>
              <w:t xml:space="preserve"> aktive</w:t>
            </w:r>
            <w:r>
              <w:rPr>
                <w:sz w:val="22"/>
                <w:lang w:val="sq-AL"/>
              </w:rPr>
              <w:t xml:space="preserve"> dhe detyrat  20 </w:t>
            </w:r>
            <w:r w:rsidRPr="00646B4B">
              <w:rPr>
                <w:sz w:val="22"/>
                <w:lang w:val="sq-AL"/>
              </w:rPr>
              <w:t>%</w:t>
            </w:r>
          </w:p>
          <w:p w:rsidR="00E9617B" w:rsidRPr="00646B4B" w:rsidRDefault="00E9617B" w:rsidP="0042594A">
            <w:pPr>
              <w:pStyle w:val="Listenabsatz"/>
              <w:numPr>
                <w:ilvl w:val="0"/>
                <w:numId w:val="4"/>
              </w:numPr>
              <w:spacing w:after="0" w:line="240" w:lineRule="auto"/>
              <w:rPr>
                <w:sz w:val="22"/>
                <w:lang w:val="sq-AL"/>
              </w:rPr>
            </w:pPr>
            <w:r w:rsidRPr="00646B4B">
              <w:rPr>
                <w:sz w:val="22"/>
                <w:lang w:val="sq-AL"/>
              </w:rPr>
              <w:t xml:space="preserve">Testi i parë </w:t>
            </w:r>
            <w:r>
              <w:rPr>
                <w:sz w:val="22"/>
                <w:lang w:val="sq-AL"/>
              </w:rPr>
              <w:t>30</w:t>
            </w:r>
            <w:r w:rsidRPr="00646B4B">
              <w:rPr>
                <w:sz w:val="22"/>
                <w:lang w:val="sq-AL"/>
              </w:rPr>
              <w:t xml:space="preserve"> %</w:t>
            </w:r>
          </w:p>
          <w:p w:rsidR="00E9617B" w:rsidRPr="00CC2CCF" w:rsidRDefault="00E9617B" w:rsidP="0042594A">
            <w:pPr>
              <w:numPr>
                <w:ilvl w:val="0"/>
                <w:numId w:val="3"/>
              </w:numPr>
              <w:spacing w:after="0" w:line="240" w:lineRule="auto"/>
              <w:rPr>
                <w:sz w:val="22"/>
                <w:lang w:val="sq-AL"/>
              </w:rPr>
            </w:pPr>
            <w:r w:rsidRPr="00646B4B">
              <w:rPr>
                <w:sz w:val="22"/>
                <w:lang w:val="sq-AL"/>
              </w:rPr>
              <w:t>Provimi përfundimtar (me shkrim/me gojë) 50%</w:t>
            </w:r>
          </w:p>
        </w:tc>
      </w:tr>
      <w:tr w:rsidR="00E9617B" w:rsidRPr="00CC2CCF" w:rsidTr="0042594A">
        <w:trPr>
          <w:trHeight w:val="916"/>
        </w:trPr>
        <w:tc>
          <w:tcPr>
            <w:tcW w:w="3160" w:type="dxa"/>
            <w:tcBorders>
              <w:top w:val="nil"/>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 xml:space="preserve">Literatura primare: </w:t>
            </w:r>
          </w:p>
        </w:tc>
        <w:tc>
          <w:tcPr>
            <w:tcW w:w="7370" w:type="dxa"/>
            <w:gridSpan w:val="4"/>
            <w:tcBorders>
              <w:top w:val="nil"/>
              <w:left w:val="single" w:sz="8" w:space="0" w:color="FFFFFF"/>
              <w:bottom w:val="single" w:sz="8" w:space="0" w:color="FFFFFF"/>
              <w:right w:val="nil"/>
            </w:tcBorders>
            <w:shd w:val="clear" w:color="auto" w:fill="C9D5CA"/>
          </w:tcPr>
          <w:p w:rsidR="00E9617B" w:rsidRPr="00DF1499" w:rsidRDefault="00E9617B" w:rsidP="00E9617B">
            <w:pPr>
              <w:pStyle w:val="Listenabsatz"/>
              <w:numPr>
                <w:ilvl w:val="0"/>
                <w:numId w:val="5"/>
              </w:numPr>
              <w:spacing w:after="0" w:line="240" w:lineRule="auto"/>
              <w:rPr>
                <w:i/>
                <w:iCs/>
                <w:sz w:val="22"/>
                <w:lang w:val="sq-AL"/>
              </w:rPr>
            </w:pPr>
            <w:proofErr w:type="spellStart"/>
            <w:r w:rsidRPr="00DF1499">
              <w:rPr>
                <w:iCs/>
                <w:sz w:val="22"/>
                <w:lang w:val="sq-AL"/>
              </w:rPr>
              <w:t>Verlag</w:t>
            </w:r>
            <w:proofErr w:type="spellEnd"/>
            <w:r w:rsidRPr="00DF1499">
              <w:rPr>
                <w:iCs/>
                <w:sz w:val="22"/>
                <w:lang w:val="sq-AL"/>
              </w:rPr>
              <w:t xml:space="preserve">: </w:t>
            </w:r>
            <w:proofErr w:type="spellStart"/>
            <w:r w:rsidRPr="00DF1499">
              <w:rPr>
                <w:iCs/>
                <w:sz w:val="22"/>
                <w:lang w:val="sq-AL"/>
              </w:rPr>
              <w:t>Narr</w:t>
            </w:r>
            <w:proofErr w:type="spellEnd"/>
            <w:r w:rsidRPr="00DF1499">
              <w:rPr>
                <w:iCs/>
                <w:sz w:val="22"/>
                <w:lang w:val="sq-AL"/>
              </w:rPr>
              <w:t xml:space="preserve"> </w:t>
            </w:r>
            <w:proofErr w:type="spellStart"/>
            <w:r w:rsidRPr="00DF1499">
              <w:rPr>
                <w:iCs/>
                <w:sz w:val="22"/>
                <w:lang w:val="sq-AL"/>
              </w:rPr>
              <w:t>Verlag</w:t>
            </w:r>
            <w:proofErr w:type="spellEnd"/>
            <w:r w:rsidRPr="00DF1499">
              <w:rPr>
                <w:iCs/>
                <w:sz w:val="22"/>
                <w:lang w:val="sq-AL"/>
              </w:rPr>
              <w:t>, 2011</w:t>
            </w:r>
          </w:p>
          <w:p w:rsidR="00E9617B" w:rsidRPr="00CC2CCF" w:rsidRDefault="00E9617B" w:rsidP="0042594A">
            <w:pPr>
              <w:ind w:left="343"/>
              <w:rPr>
                <w:i/>
                <w:iCs/>
                <w:sz w:val="22"/>
                <w:lang w:val="sq-AL"/>
              </w:rPr>
            </w:pPr>
            <w:r w:rsidRPr="00CC2CCF">
              <w:rPr>
                <w:i/>
                <w:iCs/>
                <w:sz w:val="22"/>
                <w:lang w:val="sq-AL"/>
              </w:rPr>
              <w:t>‘’</w:t>
            </w:r>
            <w:proofErr w:type="spellStart"/>
            <w:r w:rsidRPr="00CC2CCF">
              <w:rPr>
                <w:i/>
                <w:iCs/>
                <w:sz w:val="22"/>
                <w:lang w:val="sq-AL"/>
              </w:rPr>
              <w:t>Übersetzungentheorien</w:t>
            </w:r>
            <w:proofErr w:type="spellEnd"/>
            <w:r w:rsidRPr="00CC2CCF">
              <w:rPr>
                <w:i/>
                <w:iCs/>
                <w:sz w:val="22"/>
                <w:lang w:val="sq-AL"/>
              </w:rPr>
              <w:t xml:space="preserve">: </w:t>
            </w:r>
            <w:proofErr w:type="spellStart"/>
            <w:r w:rsidRPr="00CC2CCF">
              <w:rPr>
                <w:i/>
                <w:iCs/>
                <w:sz w:val="22"/>
                <w:lang w:val="sq-AL"/>
              </w:rPr>
              <w:t>Eine</w:t>
            </w:r>
            <w:proofErr w:type="spellEnd"/>
            <w:r w:rsidRPr="00CC2CCF">
              <w:rPr>
                <w:i/>
                <w:iCs/>
                <w:sz w:val="22"/>
                <w:lang w:val="sq-AL"/>
              </w:rPr>
              <w:t xml:space="preserve"> </w:t>
            </w:r>
            <w:proofErr w:type="spellStart"/>
            <w:r w:rsidRPr="00CC2CCF">
              <w:rPr>
                <w:i/>
                <w:iCs/>
                <w:sz w:val="22"/>
                <w:lang w:val="sq-AL"/>
              </w:rPr>
              <w:t>Einfürhung</w:t>
            </w:r>
            <w:proofErr w:type="spellEnd"/>
            <w:r w:rsidRPr="00CC2CCF">
              <w:rPr>
                <w:i/>
                <w:iCs/>
                <w:sz w:val="22"/>
                <w:lang w:val="sq-AL"/>
              </w:rPr>
              <w:t>’’</w:t>
            </w:r>
          </w:p>
          <w:p w:rsidR="00E9617B" w:rsidRPr="00CC2CCF" w:rsidRDefault="00E9617B" w:rsidP="0042594A">
            <w:pPr>
              <w:ind w:left="343"/>
              <w:rPr>
                <w:iCs/>
                <w:sz w:val="22"/>
                <w:lang w:val="sq-AL"/>
              </w:rPr>
            </w:pPr>
            <w:r w:rsidRPr="00CC2CCF">
              <w:rPr>
                <w:iCs/>
                <w:sz w:val="22"/>
                <w:lang w:val="sq-AL"/>
              </w:rPr>
              <w:t xml:space="preserve">Autor: </w:t>
            </w:r>
            <w:proofErr w:type="spellStart"/>
            <w:r w:rsidRPr="00CC2CCF">
              <w:rPr>
                <w:iCs/>
                <w:sz w:val="22"/>
                <w:lang w:val="sq-AL"/>
              </w:rPr>
              <w:t>Radegundis</w:t>
            </w:r>
            <w:proofErr w:type="spellEnd"/>
            <w:r w:rsidRPr="00CC2CCF">
              <w:rPr>
                <w:iCs/>
                <w:sz w:val="22"/>
                <w:lang w:val="sq-AL"/>
              </w:rPr>
              <w:t xml:space="preserve"> </w:t>
            </w:r>
            <w:proofErr w:type="spellStart"/>
            <w:r w:rsidRPr="00CC2CCF">
              <w:rPr>
                <w:iCs/>
                <w:sz w:val="22"/>
                <w:lang w:val="sq-AL"/>
              </w:rPr>
              <w:t>Stolze</w:t>
            </w:r>
            <w:proofErr w:type="spellEnd"/>
          </w:p>
          <w:p w:rsidR="00E9617B" w:rsidRPr="00CC2CCF" w:rsidRDefault="00E9617B" w:rsidP="0042594A">
            <w:pPr>
              <w:ind w:left="343"/>
              <w:rPr>
                <w:i/>
                <w:iCs/>
                <w:sz w:val="22"/>
                <w:lang w:val="sq-AL"/>
              </w:rPr>
            </w:pPr>
            <w:r w:rsidRPr="00CC2CCF">
              <w:rPr>
                <w:iCs/>
                <w:sz w:val="22"/>
                <w:lang w:val="sq-AL"/>
              </w:rPr>
              <w:t>ISBN-13: 978-3823366799</w:t>
            </w:r>
          </w:p>
          <w:p w:rsidR="00E9617B" w:rsidRPr="00DF1499" w:rsidRDefault="00E9617B" w:rsidP="00E9617B">
            <w:pPr>
              <w:pStyle w:val="Listenabsatz"/>
              <w:numPr>
                <w:ilvl w:val="0"/>
                <w:numId w:val="5"/>
              </w:numPr>
              <w:spacing w:after="0" w:line="240" w:lineRule="auto"/>
              <w:rPr>
                <w:bCs/>
                <w:sz w:val="22"/>
                <w:lang w:val="sq-AL"/>
              </w:rPr>
            </w:pPr>
            <w:proofErr w:type="spellStart"/>
            <w:r w:rsidRPr="00DF1499">
              <w:rPr>
                <w:bCs/>
                <w:sz w:val="22"/>
                <w:lang w:val="sq-AL"/>
              </w:rPr>
              <w:t>Verlag</w:t>
            </w:r>
            <w:proofErr w:type="spellEnd"/>
            <w:r w:rsidRPr="00DF1499">
              <w:rPr>
                <w:bCs/>
                <w:sz w:val="22"/>
                <w:lang w:val="sq-AL"/>
              </w:rPr>
              <w:t xml:space="preserve">: </w:t>
            </w:r>
            <w:proofErr w:type="spellStart"/>
            <w:r w:rsidRPr="00DF1499">
              <w:rPr>
                <w:bCs/>
                <w:sz w:val="22"/>
                <w:lang w:val="sq-AL"/>
              </w:rPr>
              <w:t>Utb</w:t>
            </w:r>
            <w:proofErr w:type="spellEnd"/>
            <w:r w:rsidRPr="00DF1499">
              <w:rPr>
                <w:bCs/>
                <w:sz w:val="22"/>
                <w:lang w:val="sq-AL"/>
              </w:rPr>
              <w:t>, 2011</w:t>
            </w:r>
          </w:p>
          <w:p w:rsidR="00E9617B" w:rsidRPr="00CC2CCF" w:rsidRDefault="00E9617B" w:rsidP="0042594A">
            <w:pPr>
              <w:ind w:left="343"/>
              <w:rPr>
                <w:bCs/>
                <w:i/>
                <w:sz w:val="22"/>
                <w:lang w:val="sq-AL"/>
              </w:rPr>
            </w:pPr>
            <w:r w:rsidRPr="00CC2CCF">
              <w:rPr>
                <w:bCs/>
                <w:i/>
                <w:sz w:val="22"/>
                <w:lang w:val="sq-AL"/>
              </w:rPr>
              <w:t>‘’</w:t>
            </w:r>
            <w:proofErr w:type="spellStart"/>
            <w:r w:rsidRPr="00CC2CCF">
              <w:rPr>
                <w:bCs/>
                <w:i/>
                <w:sz w:val="22"/>
                <w:lang w:val="sq-AL"/>
              </w:rPr>
              <w:t>Einführung</w:t>
            </w:r>
            <w:proofErr w:type="spellEnd"/>
            <w:r w:rsidRPr="00CC2CCF">
              <w:rPr>
                <w:bCs/>
                <w:i/>
                <w:sz w:val="22"/>
                <w:lang w:val="sq-AL"/>
              </w:rPr>
              <w:t xml:space="preserve"> in </w:t>
            </w:r>
            <w:proofErr w:type="spellStart"/>
            <w:r w:rsidRPr="00CC2CCF">
              <w:rPr>
                <w:bCs/>
                <w:i/>
                <w:sz w:val="22"/>
                <w:lang w:val="sq-AL"/>
              </w:rPr>
              <w:t>der</w:t>
            </w:r>
            <w:proofErr w:type="spellEnd"/>
            <w:r w:rsidRPr="00CC2CCF">
              <w:rPr>
                <w:bCs/>
                <w:i/>
                <w:sz w:val="22"/>
                <w:lang w:val="sq-AL"/>
              </w:rPr>
              <w:t xml:space="preserve"> </w:t>
            </w:r>
            <w:proofErr w:type="spellStart"/>
            <w:r w:rsidRPr="00CC2CCF">
              <w:rPr>
                <w:bCs/>
                <w:i/>
                <w:sz w:val="22"/>
                <w:lang w:val="sq-AL"/>
              </w:rPr>
              <w:t>Übersetzungswissenschaft</w:t>
            </w:r>
            <w:proofErr w:type="spellEnd"/>
            <w:r w:rsidRPr="00CC2CCF">
              <w:rPr>
                <w:bCs/>
                <w:i/>
                <w:sz w:val="22"/>
                <w:lang w:val="sq-AL"/>
              </w:rPr>
              <w:t>’’</w:t>
            </w:r>
          </w:p>
          <w:p w:rsidR="00E9617B" w:rsidRPr="00CC2CCF" w:rsidRDefault="00E9617B" w:rsidP="0042594A">
            <w:pPr>
              <w:ind w:left="343"/>
              <w:rPr>
                <w:bCs/>
                <w:sz w:val="22"/>
                <w:lang w:val="sq-AL"/>
              </w:rPr>
            </w:pPr>
            <w:r w:rsidRPr="00CC2CCF">
              <w:rPr>
                <w:bCs/>
                <w:sz w:val="22"/>
                <w:lang w:val="sq-AL"/>
              </w:rPr>
              <w:t xml:space="preserve">Autor: </w:t>
            </w:r>
            <w:proofErr w:type="spellStart"/>
            <w:r w:rsidRPr="00CC2CCF">
              <w:rPr>
                <w:bCs/>
                <w:sz w:val="22"/>
                <w:lang w:val="sq-AL"/>
              </w:rPr>
              <w:t>Werner</w:t>
            </w:r>
            <w:proofErr w:type="spellEnd"/>
            <w:r w:rsidRPr="00CC2CCF">
              <w:rPr>
                <w:bCs/>
                <w:sz w:val="22"/>
                <w:lang w:val="sq-AL"/>
              </w:rPr>
              <w:t xml:space="preserve"> </w:t>
            </w:r>
            <w:proofErr w:type="spellStart"/>
            <w:r w:rsidRPr="00CC2CCF">
              <w:rPr>
                <w:bCs/>
                <w:sz w:val="22"/>
                <w:lang w:val="sq-AL"/>
              </w:rPr>
              <w:t>Koller</w:t>
            </w:r>
            <w:proofErr w:type="spellEnd"/>
          </w:p>
          <w:p w:rsidR="00E9617B" w:rsidRPr="00CC2CCF" w:rsidRDefault="00E9617B" w:rsidP="0042594A">
            <w:pPr>
              <w:ind w:left="343"/>
              <w:rPr>
                <w:bCs/>
                <w:sz w:val="22"/>
                <w:lang w:val="sq-AL"/>
              </w:rPr>
            </w:pPr>
            <w:r w:rsidRPr="00CC2CCF">
              <w:rPr>
                <w:bCs/>
                <w:sz w:val="22"/>
                <w:lang w:val="sq-AL"/>
              </w:rPr>
              <w:t>ISBN-13:</w:t>
            </w:r>
            <w:r w:rsidRPr="00CC2CCF">
              <w:rPr>
                <w:iCs/>
                <w:sz w:val="22"/>
                <w:lang w:val="sq-AL"/>
              </w:rPr>
              <w:t xml:space="preserve"> 978-3825235208</w:t>
            </w:r>
          </w:p>
          <w:p w:rsidR="00E9617B" w:rsidRPr="00DF1499" w:rsidRDefault="00E9617B" w:rsidP="00E9617B">
            <w:pPr>
              <w:pStyle w:val="Listenabsatz"/>
              <w:numPr>
                <w:ilvl w:val="0"/>
                <w:numId w:val="5"/>
              </w:numPr>
              <w:spacing w:after="0" w:line="240" w:lineRule="auto"/>
              <w:rPr>
                <w:sz w:val="22"/>
                <w:lang w:val="sq-AL"/>
              </w:rPr>
            </w:pPr>
            <w:proofErr w:type="spellStart"/>
            <w:r w:rsidRPr="00DF1499">
              <w:rPr>
                <w:sz w:val="22"/>
                <w:lang w:val="sq-AL"/>
              </w:rPr>
              <w:t>Verlag</w:t>
            </w:r>
            <w:proofErr w:type="spellEnd"/>
            <w:r w:rsidRPr="00DF1499">
              <w:rPr>
                <w:sz w:val="22"/>
                <w:lang w:val="sq-AL"/>
              </w:rPr>
              <w:t xml:space="preserve">: </w:t>
            </w:r>
            <w:proofErr w:type="spellStart"/>
            <w:r w:rsidRPr="00DF1499">
              <w:rPr>
                <w:sz w:val="22"/>
                <w:lang w:val="sq-AL"/>
              </w:rPr>
              <w:t>Gunter</w:t>
            </w:r>
            <w:proofErr w:type="spellEnd"/>
            <w:r w:rsidRPr="00DF1499">
              <w:rPr>
                <w:sz w:val="22"/>
                <w:lang w:val="sq-AL"/>
              </w:rPr>
              <w:t xml:space="preserve"> </w:t>
            </w:r>
            <w:proofErr w:type="spellStart"/>
            <w:r w:rsidRPr="00DF1499">
              <w:rPr>
                <w:sz w:val="22"/>
                <w:lang w:val="sq-AL"/>
              </w:rPr>
              <w:t>Narr</w:t>
            </w:r>
            <w:proofErr w:type="spellEnd"/>
            <w:r w:rsidRPr="00DF1499">
              <w:rPr>
                <w:sz w:val="22"/>
                <w:lang w:val="sq-AL"/>
              </w:rPr>
              <w:t xml:space="preserve"> </w:t>
            </w:r>
            <w:proofErr w:type="spellStart"/>
            <w:r w:rsidRPr="00DF1499">
              <w:rPr>
                <w:sz w:val="22"/>
                <w:lang w:val="sq-AL"/>
              </w:rPr>
              <w:t>Verlag</w:t>
            </w:r>
            <w:proofErr w:type="spellEnd"/>
            <w:r w:rsidRPr="00DF1499">
              <w:rPr>
                <w:sz w:val="22"/>
                <w:lang w:val="sq-AL"/>
              </w:rPr>
              <w:t>, 2009</w:t>
            </w:r>
          </w:p>
          <w:p w:rsidR="00E9617B" w:rsidRPr="00CC2CCF" w:rsidRDefault="00E9617B" w:rsidP="0042594A">
            <w:pPr>
              <w:ind w:left="343"/>
              <w:rPr>
                <w:i/>
                <w:sz w:val="22"/>
                <w:lang w:val="sq-AL"/>
              </w:rPr>
            </w:pPr>
            <w:r w:rsidRPr="00CC2CCF">
              <w:rPr>
                <w:i/>
                <w:sz w:val="22"/>
                <w:lang w:val="sq-AL"/>
              </w:rPr>
              <w:t>‘’</w:t>
            </w:r>
            <w:proofErr w:type="spellStart"/>
            <w:r w:rsidRPr="00CC2CCF">
              <w:rPr>
                <w:i/>
                <w:sz w:val="22"/>
                <w:lang w:val="sq-AL"/>
              </w:rPr>
              <w:t>Verstehen</w:t>
            </w:r>
            <w:proofErr w:type="spellEnd"/>
            <w:r w:rsidRPr="00CC2CCF">
              <w:rPr>
                <w:i/>
                <w:sz w:val="22"/>
                <w:lang w:val="sq-AL"/>
              </w:rPr>
              <w:t xml:space="preserve"> und </w:t>
            </w:r>
            <w:proofErr w:type="spellStart"/>
            <w:r w:rsidRPr="00CC2CCF">
              <w:rPr>
                <w:i/>
                <w:sz w:val="22"/>
                <w:lang w:val="sq-AL"/>
              </w:rPr>
              <w:t>Übersetzen</w:t>
            </w:r>
            <w:proofErr w:type="spellEnd"/>
            <w:r w:rsidRPr="00CC2CCF">
              <w:rPr>
                <w:i/>
                <w:sz w:val="22"/>
                <w:lang w:val="sq-AL"/>
              </w:rPr>
              <w:t xml:space="preserve">. </w:t>
            </w:r>
            <w:proofErr w:type="spellStart"/>
            <w:r w:rsidRPr="00CC2CCF">
              <w:rPr>
                <w:i/>
                <w:sz w:val="22"/>
                <w:lang w:val="sq-AL"/>
              </w:rPr>
              <w:t>Ein</w:t>
            </w:r>
            <w:proofErr w:type="spellEnd"/>
            <w:r w:rsidRPr="00CC2CCF">
              <w:rPr>
                <w:i/>
                <w:sz w:val="22"/>
                <w:lang w:val="sq-AL"/>
              </w:rPr>
              <w:t xml:space="preserve"> </w:t>
            </w:r>
            <w:proofErr w:type="spellStart"/>
            <w:r w:rsidRPr="00CC2CCF">
              <w:rPr>
                <w:i/>
                <w:sz w:val="22"/>
                <w:lang w:val="sq-AL"/>
              </w:rPr>
              <w:t>Lehr</w:t>
            </w:r>
            <w:proofErr w:type="spellEnd"/>
            <w:r w:rsidRPr="00CC2CCF">
              <w:rPr>
                <w:i/>
                <w:sz w:val="22"/>
                <w:lang w:val="sq-AL"/>
              </w:rPr>
              <w:t xml:space="preserve">- und </w:t>
            </w:r>
            <w:proofErr w:type="spellStart"/>
            <w:r w:rsidRPr="00CC2CCF">
              <w:rPr>
                <w:i/>
                <w:sz w:val="22"/>
                <w:lang w:val="sq-AL"/>
              </w:rPr>
              <w:t>Arbeitsbuch</w:t>
            </w:r>
            <w:proofErr w:type="spellEnd"/>
            <w:r w:rsidRPr="00CC2CCF">
              <w:rPr>
                <w:i/>
                <w:sz w:val="22"/>
                <w:lang w:val="sq-AL"/>
              </w:rPr>
              <w:t>”</w:t>
            </w:r>
          </w:p>
          <w:p w:rsidR="00E9617B" w:rsidRPr="00CC2CCF" w:rsidRDefault="00E9617B" w:rsidP="0042594A">
            <w:pPr>
              <w:ind w:left="343"/>
              <w:rPr>
                <w:sz w:val="22"/>
                <w:lang w:val="sq-AL"/>
              </w:rPr>
            </w:pPr>
            <w:r w:rsidRPr="00CC2CCF">
              <w:rPr>
                <w:sz w:val="22"/>
                <w:lang w:val="sq-AL"/>
              </w:rPr>
              <w:t xml:space="preserve">Autor: </w:t>
            </w:r>
            <w:proofErr w:type="spellStart"/>
            <w:r w:rsidRPr="00CC2CCF">
              <w:rPr>
                <w:sz w:val="22"/>
                <w:lang w:val="sq-AL"/>
              </w:rPr>
              <w:t>Paul</w:t>
            </w:r>
            <w:proofErr w:type="spellEnd"/>
            <w:r w:rsidRPr="00CC2CCF">
              <w:rPr>
                <w:sz w:val="22"/>
                <w:lang w:val="sq-AL"/>
              </w:rPr>
              <w:t xml:space="preserve"> </w:t>
            </w:r>
            <w:proofErr w:type="spellStart"/>
            <w:r w:rsidRPr="00CC2CCF">
              <w:rPr>
                <w:sz w:val="22"/>
                <w:lang w:val="sq-AL"/>
              </w:rPr>
              <w:t>Kussmaul</w:t>
            </w:r>
            <w:proofErr w:type="spellEnd"/>
          </w:p>
          <w:p w:rsidR="00E9617B" w:rsidRPr="00CC2CCF" w:rsidRDefault="00E9617B" w:rsidP="0042594A">
            <w:pPr>
              <w:ind w:left="343"/>
              <w:rPr>
                <w:sz w:val="22"/>
                <w:lang w:val="sq-AL"/>
              </w:rPr>
            </w:pPr>
            <w:r w:rsidRPr="00CC2CCF">
              <w:rPr>
                <w:sz w:val="22"/>
                <w:lang w:val="sq-AL"/>
              </w:rPr>
              <w:t>ISBN-13: 978-3823365426</w:t>
            </w:r>
          </w:p>
        </w:tc>
      </w:tr>
      <w:tr w:rsidR="00E9617B" w:rsidRPr="00B62F11" w:rsidTr="0042594A">
        <w:trPr>
          <w:trHeight w:val="1492"/>
        </w:trPr>
        <w:tc>
          <w:tcPr>
            <w:tcW w:w="3160"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 xml:space="preserve">Literatura shtesë:  </w:t>
            </w:r>
          </w:p>
        </w:tc>
        <w:tc>
          <w:tcPr>
            <w:tcW w:w="7370" w:type="dxa"/>
            <w:gridSpan w:val="4"/>
            <w:tcBorders>
              <w:top w:val="single" w:sz="8" w:space="0" w:color="FFFFFF"/>
              <w:left w:val="single" w:sz="8" w:space="0" w:color="FFFFFF"/>
              <w:bottom w:val="single" w:sz="8" w:space="0" w:color="FFFFFF"/>
              <w:right w:val="nil"/>
            </w:tcBorders>
            <w:shd w:val="clear" w:color="auto" w:fill="C9D5CA"/>
          </w:tcPr>
          <w:p w:rsidR="00E9617B" w:rsidRPr="004B075C" w:rsidRDefault="00E9617B" w:rsidP="00E9617B">
            <w:pPr>
              <w:pStyle w:val="Listenabsatz"/>
              <w:numPr>
                <w:ilvl w:val="0"/>
                <w:numId w:val="5"/>
              </w:numPr>
              <w:spacing w:after="0" w:line="259" w:lineRule="auto"/>
              <w:jc w:val="both"/>
              <w:rPr>
                <w:lang w:val="sq-AL"/>
              </w:rPr>
            </w:pPr>
            <w:proofErr w:type="spellStart"/>
            <w:r w:rsidRPr="00DF1499">
              <w:rPr>
                <w:i/>
                <w:sz w:val="22"/>
                <w:lang w:val="sq-AL"/>
              </w:rPr>
              <w:t>Übersetzungswissenschaft</w:t>
            </w:r>
            <w:proofErr w:type="spellEnd"/>
            <w:r w:rsidRPr="00DF1499">
              <w:rPr>
                <w:i/>
                <w:sz w:val="22"/>
                <w:lang w:val="sq-AL"/>
              </w:rPr>
              <w:t xml:space="preserve"> / </w:t>
            </w:r>
            <w:proofErr w:type="spellStart"/>
            <w:r w:rsidRPr="00DF1499">
              <w:rPr>
                <w:i/>
                <w:sz w:val="22"/>
                <w:lang w:val="sq-AL"/>
              </w:rPr>
              <w:t>Eine</w:t>
            </w:r>
            <w:proofErr w:type="spellEnd"/>
            <w:r w:rsidRPr="00DF1499">
              <w:rPr>
                <w:sz w:val="22"/>
                <w:lang w:val="sq-AL"/>
              </w:rPr>
              <w:t xml:space="preserve"> </w:t>
            </w:r>
            <w:proofErr w:type="spellStart"/>
            <w:r w:rsidRPr="00DF1499">
              <w:rPr>
                <w:i/>
                <w:sz w:val="22"/>
                <w:lang w:val="sq-AL"/>
              </w:rPr>
              <w:t>Neuorientierung</w:t>
            </w:r>
            <w:proofErr w:type="spellEnd"/>
            <w:r w:rsidRPr="00DF1499">
              <w:rPr>
                <w:sz w:val="22"/>
                <w:lang w:val="sq-AL"/>
              </w:rPr>
              <w:t xml:space="preserve">. 2. </w:t>
            </w:r>
            <w:proofErr w:type="spellStart"/>
            <w:r w:rsidRPr="00DF1499">
              <w:rPr>
                <w:sz w:val="22"/>
                <w:lang w:val="sq-AL"/>
              </w:rPr>
              <w:t>Auflage</w:t>
            </w:r>
            <w:proofErr w:type="spellEnd"/>
            <w:r w:rsidRPr="00DF1499">
              <w:rPr>
                <w:sz w:val="22"/>
                <w:lang w:val="sq-AL"/>
              </w:rPr>
              <w:t xml:space="preserve">, Autor: </w:t>
            </w:r>
            <w:proofErr w:type="spellStart"/>
            <w:r w:rsidRPr="00DF1499">
              <w:rPr>
                <w:sz w:val="22"/>
                <w:lang w:val="sq-AL"/>
              </w:rPr>
              <w:t>Mary</w:t>
            </w:r>
            <w:proofErr w:type="spellEnd"/>
            <w:r w:rsidRPr="00DF1499">
              <w:rPr>
                <w:sz w:val="22"/>
                <w:lang w:val="sq-AL"/>
              </w:rPr>
              <w:t xml:space="preserve"> </w:t>
            </w:r>
            <w:proofErr w:type="spellStart"/>
            <w:r w:rsidRPr="00DF1499">
              <w:rPr>
                <w:sz w:val="22"/>
                <w:lang w:val="sq-AL"/>
              </w:rPr>
              <w:t>Snell-Hornby</w:t>
            </w:r>
            <w:proofErr w:type="spellEnd"/>
            <w:r w:rsidRPr="00DF1499">
              <w:rPr>
                <w:sz w:val="22"/>
                <w:lang w:val="sq-AL"/>
              </w:rPr>
              <w:t xml:space="preserve">, UTB </w:t>
            </w:r>
            <w:proofErr w:type="spellStart"/>
            <w:r w:rsidRPr="00DF1499">
              <w:rPr>
                <w:sz w:val="22"/>
                <w:lang w:val="sq-AL"/>
              </w:rPr>
              <w:t>für</w:t>
            </w:r>
            <w:proofErr w:type="spellEnd"/>
            <w:r w:rsidRPr="00DF1499">
              <w:rPr>
                <w:sz w:val="22"/>
                <w:lang w:val="sq-AL"/>
              </w:rPr>
              <w:t xml:space="preserve"> </w:t>
            </w:r>
            <w:proofErr w:type="spellStart"/>
            <w:r w:rsidRPr="00DF1499">
              <w:rPr>
                <w:sz w:val="22"/>
                <w:lang w:val="sq-AL"/>
              </w:rPr>
              <w:t>Wissenschaft</w:t>
            </w:r>
            <w:proofErr w:type="spellEnd"/>
            <w:r w:rsidRPr="00DF1499">
              <w:rPr>
                <w:sz w:val="22"/>
                <w:lang w:val="sq-AL"/>
              </w:rPr>
              <w:t xml:space="preserve"> </w:t>
            </w:r>
            <w:proofErr w:type="spellStart"/>
            <w:r w:rsidRPr="00DF1499">
              <w:rPr>
                <w:sz w:val="22"/>
                <w:lang w:val="sq-AL"/>
              </w:rPr>
              <w:t>Francke</w:t>
            </w:r>
            <w:proofErr w:type="spellEnd"/>
            <w:r w:rsidRPr="00DF1499">
              <w:rPr>
                <w:sz w:val="22"/>
                <w:lang w:val="sq-AL"/>
              </w:rPr>
              <w:t xml:space="preserve"> </w:t>
            </w:r>
            <w:proofErr w:type="spellStart"/>
            <w:r w:rsidRPr="00DF1499">
              <w:rPr>
                <w:sz w:val="22"/>
                <w:lang w:val="sq-AL"/>
              </w:rPr>
              <w:t>Verlag</w:t>
            </w:r>
            <w:proofErr w:type="spellEnd"/>
            <w:r w:rsidRPr="00DF1499">
              <w:rPr>
                <w:sz w:val="22"/>
                <w:lang w:val="sq-AL"/>
              </w:rPr>
              <w:t xml:space="preserve"> </w:t>
            </w:r>
            <w:proofErr w:type="spellStart"/>
            <w:r w:rsidRPr="00DF1499">
              <w:rPr>
                <w:sz w:val="22"/>
                <w:lang w:val="sq-AL"/>
              </w:rPr>
              <w:t>Tübingen</w:t>
            </w:r>
            <w:proofErr w:type="spellEnd"/>
            <w:r w:rsidRPr="00DF1499">
              <w:rPr>
                <w:sz w:val="22"/>
                <w:lang w:val="sq-AL"/>
              </w:rPr>
              <w:t xml:space="preserve"> und </w:t>
            </w:r>
            <w:proofErr w:type="spellStart"/>
            <w:r w:rsidRPr="00DF1499">
              <w:rPr>
                <w:sz w:val="22"/>
                <w:lang w:val="sq-AL"/>
              </w:rPr>
              <w:t>Basel</w:t>
            </w:r>
            <w:proofErr w:type="spellEnd"/>
            <w:r w:rsidRPr="00DF1499">
              <w:rPr>
                <w:sz w:val="22"/>
                <w:lang w:val="sq-AL"/>
              </w:rPr>
              <w:t xml:space="preserve">, ISBN 3-8252-1415-X, 1994 </w:t>
            </w:r>
            <w:proofErr w:type="spellStart"/>
            <w:r w:rsidRPr="00DF1499">
              <w:rPr>
                <w:sz w:val="22"/>
                <w:lang w:val="sq-AL"/>
              </w:rPr>
              <w:t>Tübingen</w:t>
            </w:r>
            <w:proofErr w:type="spellEnd"/>
          </w:p>
          <w:p w:rsidR="00E9617B" w:rsidRDefault="00E9617B" w:rsidP="0042594A">
            <w:pPr>
              <w:pStyle w:val="Listenabsatz"/>
              <w:spacing w:after="0" w:line="259" w:lineRule="auto"/>
              <w:ind w:firstLine="0"/>
              <w:jc w:val="both"/>
              <w:rPr>
                <w:i/>
                <w:sz w:val="22"/>
                <w:lang w:val="sq-AL"/>
              </w:rPr>
            </w:pPr>
          </w:p>
          <w:p w:rsidR="00E9617B" w:rsidRDefault="00E9617B" w:rsidP="0042594A">
            <w:pPr>
              <w:pStyle w:val="Listenabsatz"/>
              <w:spacing w:after="0" w:line="259" w:lineRule="auto"/>
              <w:ind w:firstLine="0"/>
              <w:jc w:val="both"/>
              <w:rPr>
                <w:i/>
                <w:sz w:val="22"/>
                <w:lang w:val="sq-AL"/>
              </w:rPr>
            </w:pPr>
          </w:p>
          <w:p w:rsidR="00E9617B" w:rsidRDefault="00E9617B" w:rsidP="0042594A">
            <w:pPr>
              <w:pStyle w:val="Listenabsatz"/>
              <w:spacing w:after="0" w:line="259" w:lineRule="auto"/>
              <w:ind w:firstLine="0"/>
              <w:jc w:val="both"/>
              <w:rPr>
                <w:i/>
                <w:sz w:val="22"/>
                <w:lang w:val="sq-AL"/>
              </w:rPr>
            </w:pPr>
          </w:p>
          <w:p w:rsidR="00E9617B" w:rsidRPr="00DF1499" w:rsidRDefault="00E9617B" w:rsidP="0042594A">
            <w:pPr>
              <w:pStyle w:val="Listenabsatz"/>
              <w:spacing w:after="0" w:line="259" w:lineRule="auto"/>
              <w:ind w:firstLine="0"/>
              <w:jc w:val="both"/>
              <w:rPr>
                <w:lang w:val="sq-AL"/>
              </w:rPr>
            </w:pPr>
          </w:p>
        </w:tc>
      </w:tr>
    </w:tbl>
    <w:p w:rsidR="00E9617B" w:rsidRPr="00CC2CCF" w:rsidRDefault="00E9617B" w:rsidP="00E9617B">
      <w:pPr>
        <w:pStyle w:val="KeinLeerraum"/>
        <w:rPr>
          <w:lang w:val="sq-AL"/>
        </w:rPr>
      </w:pPr>
      <w:r w:rsidRPr="00CC2CCF">
        <w:rPr>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E9617B" w:rsidRPr="00CC2CCF" w:rsidTr="0042594A">
        <w:trPr>
          <w:trHeight w:val="340"/>
        </w:trPr>
        <w:tc>
          <w:tcPr>
            <w:tcW w:w="2700" w:type="dxa"/>
            <w:tcBorders>
              <w:top w:val="nil"/>
              <w:left w:val="single" w:sz="8" w:space="0" w:color="FFFFFF"/>
              <w:bottom w:val="single" w:sz="8" w:space="0" w:color="FFFFFF"/>
              <w:right w:val="nil"/>
            </w:tcBorders>
            <w:shd w:val="clear" w:color="auto" w:fill="58715C"/>
          </w:tcPr>
          <w:p w:rsidR="00E9617B" w:rsidRPr="00CC2CCF" w:rsidRDefault="00E9617B" w:rsidP="0042594A">
            <w:pPr>
              <w:spacing w:after="0" w:line="259" w:lineRule="auto"/>
              <w:ind w:left="0" w:firstLine="0"/>
              <w:rPr>
                <w:lang w:val="sq-AL"/>
              </w:rPr>
            </w:pPr>
            <w:r w:rsidRPr="00CC2CCF">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rsidR="00E9617B" w:rsidRPr="00CC2CCF" w:rsidRDefault="00E9617B" w:rsidP="0042594A">
            <w:pPr>
              <w:spacing w:after="160" w:line="259" w:lineRule="auto"/>
              <w:ind w:left="0" w:firstLine="0"/>
              <w:rPr>
                <w:lang w:val="sq-AL"/>
              </w:rPr>
            </w:pPr>
          </w:p>
        </w:tc>
      </w:tr>
      <w:tr w:rsidR="00E9617B" w:rsidRPr="00CC2CCF"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rPr>
                <w:lang w:val="sq-AL"/>
              </w:rPr>
            </w:pPr>
            <w:r w:rsidRPr="00CC2CCF">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rsidR="00E9617B" w:rsidRPr="00CC2CCF" w:rsidRDefault="00E9617B" w:rsidP="0042594A">
            <w:pPr>
              <w:spacing w:after="0" w:line="259" w:lineRule="auto"/>
              <w:ind w:left="0" w:firstLine="0"/>
              <w:rPr>
                <w:lang w:val="sq-AL"/>
              </w:rPr>
            </w:pPr>
            <w:r w:rsidRPr="00CC2CCF">
              <w:rPr>
                <w:lang w:val="sq-AL"/>
              </w:rPr>
              <w:t xml:space="preserve">Titulli i ligjëratës </w:t>
            </w:r>
          </w:p>
        </w:tc>
      </w:tr>
      <w:tr w:rsidR="00E9617B" w:rsidRPr="00B62F11" w:rsidTr="0042594A">
        <w:trPr>
          <w:trHeight w:val="39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jc w:val="both"/>
              <w:rPr>
                <w:sz w:val="22"/>
                <w:lang w:val="sq-AL"/>
              </w:rPr>
            </w:pPr>
            <w:r w:rsidRPr="00CC2CCF">
              <w:rPr>
                <w:sz w:val="22"/>
                <w:lang w:val="sq-AL"/>
              </w:rPr>
              <w:t>Hyrje në shkencat e përkthimit me shkrim dhe të përkthimit me gojë.</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0" w:line="259" w:lineRule="auto"/>
              <w:ind w:left="0" w:firstLine="0"/>
              <w:rPr>
                <w:lang w:val="sq-AL"/>
              </w:rPr>
            </w:pPr>
            <w:r w:rsidRPr="00CC2CCF">
              <w:rPr>
                <w:lang w:val="sq-AL"/>
              </w:rPr>
              <w:lastRenderedPageBreak/>
              <w:t>Java 2:</w:t>
            </w:r>
          </w:p>
        </w:tc>
        <w:tc>
          <w:tcPr>
            <w:tcW w:w="7830"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jc w:val="both"/>
              <w:rPr>
                <w:lang w:val="sq-AL"/>
              </w:rPr>
            </w:pPr>
            <w:r w:rsidRPr="00CC2CCF">
              <w:rPr>
                <w:sz w:val="22"/>
                <w:lang w:val="sq-AL"/>
              </w:rPr>
              <w:t>Teknikat dhe metodat e përkthimit me shkrim dhe të përkthimit me gojë.</w:t>
            </w:r>
          </w:p>
        </w:tc>
      </w:tr>
      <w:tr w:rsidR="00E9617B" w:rsidRPr="00CC2CCF"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spacing w:after="0" w:line="259" w:lineRule="auto"/>
              <w:ind w:left="0" w:firstLine="0"/>
              <w:jc w:val="both"/>
              <w:rPr>
                <w:lang w:val="sq-AL"/>
              </w:rPr>
            </w:pPr>
            <w:r w:rsidRPr="00CC2CCF">
              <w:rPr>
                <w:sz w:val="22"/>
                <w:lang w:val="sq-AL"/>
              </w:rPr>
              <w:t>Përkthimi me shkrim dhe përkthimi me gojë</w:t>
            </w:r>
            <w:r w:rsidRPr="00CC2CCF">
              <w:rPr>
                <w:i/>
                <w:sz w:val="22"/>
                <w:lang w:val="sq-AL"/>
              </w:rPr>
              <w:t>.</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0" w:line="259" w:lineRule="auto"/>
              <w:ind w:left="0" w:firstLine="0"/>
              <w:rPr>
                <w:lang w:val="sq-AL"/>
              </w:rPr>
            </w:pPr>
            <w:r w:rsidRPr="00CC2CCF">
              <w:rPr>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jc w:val="both"/>
              <w:rPr>
                <w:lang w:val="sq-AL"/>
              </w:rPr>
            </w:pPr>
            <w:r w:rsidRPr="00CC2CCF">
              <w:rPr>
                <w:sz w:val="22"/>
                <w:lang w:val="sq-AL"/>
              </w:rPr>
              <w:t>Llojet e përkthimit me gojë.</w:t>
            </w:r>
          </w:p>
        </w:tc>
      </w:tr>
      <w:tr w:rsidR="00E9617B" w:rsidRPr="00CC2CCF"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spacing w:after="0" w:line="259" w:lineRule="auto"/>
              <w:ind w:left="0" w:firstLine="0"/>
              <w:rPr>
                <w:lang w:val="sq-AL"/>
              </w:rPr>
            </w:pPr>
            <w:r w:rsidRPr="00CC2CCF">
              <w:rPr>
                <w:sz w:val="22"/>
                <w:lang w:val="sq-AL"/>
              </w:rPr>
              <w:t>Përkthimi me gojë</w:t>
            </w:r>
            <w:r>
              <w:rPr>
                <w:sz w:val="22"/>
                <w:lang w:val="sq-AL"/>
              </w:rPr>
              <w:t>.</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0" w:line="259" w:lineRule="auto"/>
              <w:ind w:left="0" w:firstLine="0"/>
              <w:rPr>
                <w:lang w:val="sq-AL"/>
              </w:rPr>
            </w:pPr>
            <w:r w:rsidRPr="00CC2CCF">
              <w:rPr>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rPr>
                <w:lang w:val="sq-AL"/>
              </w:rPr>
            </w:pPr>
            <w:r w:rsidRPr="00CC2CCF">
              <w:rPr>
                <w:sz w:val="22"/>
                <w:lang w:val="sq-AL"/>
              </w:rPr>
              <w:t>Kuptimi i teksteve, përkthimi i teksteve dhe kritika e përkthimeve. Përkthyesi me gojë dhe gjuhët: Gjuha-A, Gjuha-B dhe Gjuha-C</w:t>
            </w:r>
            <w:r w:rsidRPr="00CC2CCF">
              <w:rPr>
                <w:i/>
                <w:sz w:val="22"/>
                <w:lang w:val="sq-AL"/>
              </w:rPr>
              <w:t>.</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spacing w:after="0" w:line="259" w:lineRule="auto"/>
              <w:ind w:left="0" w:firstLine="0"/>
              <w:rPr>
                <w:lang w:val="sq-AL"/>
              </w:rPr>
            </w:pPr>
            <w:r w:rsidRPr="00CC2CCF">
              <w:rPr>
                <w:sz w:val="22"/>
                <w:lang w:val="sq-AL"/>
              </w:rPr>
              <w:t>Rëndësia e shpjegimit kuptimor dhe gjuhësor të tekstit gjatë përkthimit</w:t>
            </w:r>
            <w:r w:rsidRPr="00CC2CCF">
              <w:rPr>
                <w:i/>
                <w:sz w:val="22"/>
                <w:lang w:val="sq-AL"/>
              </w:rPr>
              <w:t>.</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0" w:line="259" w:lineRule="auto"/>
              <w:ind w:left="0" w:firstLine="0"/>
              <w:rPr>
                <w:lang w:val="sq-AL"/>
              </w:rPr>
            </w:pPr>
            <w:r w:rsidRPr="00CC2CCF">
              <w:rPr>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rPr>
                <w:lang w:val="sq-AL"/>
              </w:rPr>
            </w:pPr>
            <w:r w:rsidRPr="00CC2CCF">
              <w:rPr>
                <w:sz w:val="22"/>
                <w:lang w:val="sq-AL"/>
              </w:rPr>
              <w:t>Çfarë duhet të zotërojë përkthyesi me shkrim dhe përkthyesi me gojë</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rPr>
                <w:i/>
                <w:sz w:val="22"/>
                <w:lang w:val="sq-AL"/>
              </w:rPr>
            </w:pPr>
            <w:r w:rsidRPr="00CC2CCF">
              <w:rPr>
                <w:sz w:val="22"/>
                <w:lang w:val="sq-AL"/>
              </w:rPr>
              <w:t>Kërkesat ndaj një përkthyesi me shkrim dhe ndaj një përkthyesi me gojë</w:t>
            </w:r>
            <w:r w:rsidRPr="00CC2CCF">
              <w:rPr>
                <w:i/>
                <w:sz w:val="22"/>
                <w:lang w:val="sq-AL"/>
              </w:rPr>
              <w:t>.</w:t>
            </w:r>
          </w:p>
        </w:tc>
      </w:tr>
      <w:tr w:rsidR="00E9617B" w:rsidRPr="00B62F11" w:rsidTr="0042594A">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0" w:line="259" w:lineRule="auto"/>
              <w:ind w:left="0" w:firstLine="0"/>
              <w:rPr>
                <w:lang w:val="sq-AL"/>
              </w:rPr>
            </w:pPr>
            <w:r w:rsidRPr="00CC2CCF">
              <w:rPr>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rPr>
                <w:lang w:val="sq-AL"/>
              </w:rPr>
            </w:pPr>
            <w:r w:rsidRPr="00CC2CCF">
              <w:rPr>
                <w:sz w:val="22"/>
                <w:lang w:val="sq-AL"/>
              </w:rPr>
              <w:t>Përkthyesit me shkrim dhe përkthyesit me gojë të fushave të veçanta (në gjykata, spitale, shkolla, institucione të ndryshme administrative, etj.).</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spacing w:after="0" w:line="259" w:lineRule="auto"/>
              <w:ind w:left="0" w:firstLine="0"/>
              <w:rPr>
                <w:lang w:val="sq-AL"/>
              </w:rPr>
            </w:pPr>
            <w:r w:rsidRPr="00CC2CCF">
              <w:rPr>
                <w:sz w:val="22"/>
                <w:lang w:val="sq-AL"/>
              </w:rPr>
              <w:t>Përgjegjësitë e përkthyesve me shkrim dhe të përkthyesve me gojë</w:t>
            </w:r>
          </w:p>
        </w:tc>
      </w:tr>
      <w:tr w:rsidR="00E9617B" w:rsidRPr="00582F3A"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0" w:line="259" w:lineRule="auto"/>
              <w:ind w:left="0" w:firstLine="0"/>
              <w:rPr>
                <w:lang w:val="sq-AL"/>
              </w:rPr>
            </w:pPr>
            <w:r w:rsidRPr="00CC2CCF">
              <w:rPr>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rPr>
                <w:lang w:val="sq-AL"/>
              </w:rPr>
            </w:pPr>
            <w:r w:rsidRPr="00CC2CCF">
              <w:rPr>
                <w:sz w:val="22"/>
                <w:lang w:val="sq-AL"/>
              </w:rPr>
              <w:t>Përkthyesi dhe formulimi i teksteve</w:t>
            </w:r>
            <w:r w:rsidRPr="00CC2CCF">
              <w:rPr>
                <w:i/>
                <w:sz w:val="22"/>
                <w:lang w:val="sq-AL"/>
              </w:rPr>
              <w:t>.</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spacing w:after="0" w:line="259" w:lineRule="auto"/>
              <w:ind w:left="0" w:firstLine="0"/>
              <w:rPr>
                <w:lang w:val="sq-AL"/>
              </w:rPr>
            </w:pPr>
            <w:r w:rsidRPr="00CC2CCF">
              <w:rPr>
                <w:sz w:val="22"/>
                <w:lang w:val="sq-AL"/>
              </w:rPr>
              <w:t>Detyrat e përkthyesit dhe pë</w:t>
            </w:r>
            <w:r>
              <w:rPr>
                <w:sz w:val="22"/>
                <w:lang w:val="sq-AL"/>
              </w:rPr>
              <w:t>r</w:t>
            </w:r>
            <w:r w:rsidRPr="00CC2CCF">
              <w:rPr>
                <w:sz w:val="22"/>
                <w:lang w:val="sq-AL"/>
              </w:rPr>
              <w:t>gatitja për të ushtruar rolin e përkthyesit</w:t>
            </w:r>
            <w:r w:rsidRPr="00CC2CCF">
              <w:rPr>
                <w:i/>
                <w:sz w:val="22"/>
                <w:lang w:val="sq-AL"/>
              </w:rPr>
              <w:t>.</w:t>
            </w:r>
          </w:p>
        </w:tc>
      </w:tr>
      <w:tr w:rsidR="00E9617B" w:rsidRPr="00B62F11" w:rsidTr="0042594A">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9617B" w:rsidRPr="00CC2CCF" w:rsidRDefault="00E9617B" w:rsidP="0042594A">
            <w:pPr>
              <w:spacing w:after="0" w:line="259" w:lineRule="auto"/>
              <w:ind w:left="0" w:firstLine="0"/>
              <w:rPr>
                <w:lang w:val="sq-AL"/>
              </w:rPr>
            </w:pPr>
            <w:r w:rsidRPr="00CC2CCF">
              <w:rPr>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E9617B" w:rsidRPr="00CC2CCF" w:rsidRDefault="00E9617B" w:rsidP="0042594A">
            <w:pPr>
              <w:spacing w:after="0" w:line="259" w:lineRule="auto"/>
              <w:ind w:left="0" w:firstLine="0"/>
              <w:rPr>
                <w:lang w:val="sq-AL"/>
              </w:rPr>
            </w:pPr>
            <w:r w:rsidRPr="00CC2CCF">
              <w:rPr>
                <w:sz w:val="22"/>
                <w:lang w:val="sq-AL"/>
              </w:rPr>
              <w:t>Analiza e gabimeve në tekstet e përkthyera me shkrim dhe në përkthimet me gojë</w:t>
            </w:r>
            <w:r w:rsidRPr="00CC2CCF">
              <w:rPr>
                <w:i/>
                <w:sz w:val="22"/>
                <w:lang w:val="sq-AL"/>
              </w:rPr>
              <w:t>.</w:t>
            </w:r>
          </w:p>
        </w:tc>
      </w:tr>
      <w:tr w:rsidR="00E9617B" w:rsidRPr="00CC2CCF" w:rsidTr="0042594A">
        <w:trPr>
          <w:trHeight w:val="45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rPr>
                <w:lang w:val="sq-AL"/>
              </w:rPr>
            </w:pPr>
            <w:r w:rsidRPr="00CC2CCF">
              <w:rPr>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E9617B" w:rsidRPr="00CC2CCF" w:rsidRDefault="00E9617B" w:rsidP="0042594A">
            <w:pPr>
              <w:ind w:left="0" w:firstLine="0"/>
              <w:rPr>
                <w:sz w:val="22"/>
                <w:lang w:val="sq-AL"/>
              </w:rPr>
            </w:pPr>
            <w:r w:rsidRPr="00CC2CCF">
              <w:rPr>
                <w:sz w:val="22"/>
                <w:lang w:val="sq-AL"/>
              </w:rPr>
              <w:t>Mundësitë  e përkthyesve për specializim. Specializimi akademik i përkthyesve.</w:t>
            </w:r>
          </w:p>
        </w:tc>
      </w:tr>
      <w:tr w:rsidR="00E9617B" w:rsidRPr="00B62F11" w:rsidTr="0042594A">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E9617B" w:rsidRPr="00CC2CCF" w:rsidRDefault="00E9617B" w:rsidP="0042594A">
            <w:pPr>
              <w:spacing w:after="0" w:line="259" w:lineRule="auto"/>
              <w:ind w:left="0" w:firstLine="0"/>
              <w:jc w:val="both"/>
              <w:rPr>
                <w:lang w:val="sq-AL"/>
              </w:rPr>
            </w:pPr>
            <w:r w:rsidRPr="00CC2CCF">
              <w:rPr>
                <w:b/>
                <w:lang w:val="sq-AL"/>
              </w:rPr>
              <w:t>Politikat akademike dhe kodi i sjelljes</w:t>
            </w:r>
          </w:p>
        </w:tc>
      </w:tr>
      <w:tr w:rsidR="00E9617B" w:rsidRPr="00B62F11" w:rsidTr="0042594A">
        <w:trPr>
          <w:trHeight w:val="1006"/>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E9617B" w:rsidRPr="00CC2CCF" w:rsidRDefault="00E9617B" w:rsidP="0042594A">
            <w:pPr>
              <w:spacing w:after="0" w:line="259" w:lineRule="auto"/>
              <w:ind w:left="0" w:firstLine="0"/>
              <w:jc w:val="both"/>
              <w:rPr>
                <w:lang w:val="sq-AL"/>
              </w:rPr>
            </w:pPr>
            <w:r w:rsidRPr="00CC2CCF">
              <w:rPr>
                <w:sz w:val="22"/>
                <w:lang w:val="sq-AL"/>
              </w:rPr>
              <w:t>Studentët duhet të vijnë me kohë në auditor, sepse ardhja me vonesë sjell ndërprerjen e mësimit dhe pengon, çrregullon e shpërqendron vëmendjen e studentëve. Gjatë orës së mësimit nuk lejohet përdorimi i mjeteve elektronike, sepse shkaktojnë zhurmë ose pengesa të tjera.</w:t>
            </w:r>
          </w:p>
        </w:tc>
      </w:tr>
    </w:tbl>
    <w:p w:rsidR="00E9617B" w:rsidRPr="00CC2CCF" w:rsidRDefault="00E9617B" w:rsidP="00E9617B">
      <w:pPr>
        <w:spacing w:after="3"/>
        <w:ind w:left="-3"/>
        <w:rPr>
          <w:b/>
          <w:lang w:val="sq-AL"/>
        </w:rPr>
      </w:pPr>
    </w:p>
    <w:p w:rsidR="00E9617B" w:rsidRDefault="00E9617B" w:rsidP="00E9617B">
      <w:pPr>
        <w:ind w:left="0" w:firstLine="0"/>
        <w:rPr>
          <w:i/>
          <w:sz w:val="22"/>
          <w:lang w:val="sq-AL"/>
        </w:rPr>
      </w:pPr>
      <w:r>
        <w:rPr>
          <w:i/>
          <w:sz w:val="22"/>
          <w:lang w:val="sq-AL"/>
        </w:rPr>
        <w:t xml:space="preserve">Hartoi: Prof. dr. </w:t>
      </w:r>
      <w:proofErr w:type="spellStart"/>
      <w:r>
        <w:rPr>
          <w:i/>
          <w:sz w:val="22"/>
          <w:lang w:val="sq-AL"/>
        </w:rPr>
        <w:t>Naim</w:t>
      </w:r>
      <w:proofErr w:type="spellEnd"/>
      <w:r>
        <w:rPr>
          <w:i/>
          <w:sz w:val="22"/>
          <w:lang w:val="sq-AL"/>
        </w:rPr>
        <w:t xml:space="preserve"> Kryeziu/18.10.2024</w:t>
      </w:r>
      <w:r w:rsidRPr="00CC2CCF">
        <w:rPr>
          <w:i/>
          <w:sz w:val="22"/>
          <w:lang w:val="sq-AL"/>
        </w:rPr>
        <w:t>/</w:t>
      </w:r>
      <w:proofErr w:type="spellStart"/>
      <w:r w:rsidRPr="00CC2CCF">
        <w:rPr>
          <w:i/>
          <w:sz w:val="22"/>
          <w:lang w:val="sq-AL"/>
        </w:rPr>
        <w:t>NKr</w:t>
      </w:r>
      <w:proofErr w:type="spellEnd"/>
    </w:p>
    <w:p w:rsidR="00B32447" w:rsidRDefault="00B32447">
      <w:bookmarkStart w:id="0" w:name="_GoBack"/>
      <w:bookmarkEnd w:id="0"/>
    </w:p>
    <w:sectPr w:rsidR="00B32447">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E50"/>
    <w:multiLevelType w:val="hybridMultilevel"/>
    <w:tmpl w:val="857EA9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61B767E"/>
    <w:multiLevelType w:val="hybridMultilevel"/>
    <w:tmpl w:val="0B60D6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2FB65CA"/>
    <w:multiLevelType w:val="hybridMultilevel"/>
    <w:tmpl w:val="B69646D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341B4"/>
    <w:multiLevelType w:val="hybridMultilevel"/>
    <w:tmpl w:val="A5EE3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E15D9B"/>
    <w:multiLevelType w:val="hybridMultilevel"/>
    <w:tmpl w:val="972290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7B"/>
    <w:rsid w:val="004311EE"/>
    <w:rsid w:val="00543A6D"/>
    <w:rsid w:val="00B32447"/>
    <w:rsid w:val="00D41AFE"/>
    <w:rsid w:val="00E9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0B81A-6211-425B-BDAD-3458CC02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617B"/>
    <w:pPr>
      <w:spacing w:after="12" w:line="248" w:lineRule="auto"/>
      <w:ind w:left="10" w:hanging="10"/>
    </w:pPr>
    <w:rPr>
      <w:rFonts w:ascii="Calibri" w:eastAsia="Calibri" w:hAnsi="Calibri" w:cs="Calibri"/>
      <w:color w:val="000000"/>
      <w:sz w:val="24"/>
    </w:rPr>
  </w:style>
  <w:style w:type="paragraph" w:styleId="berschrift3">
    <w:name w:val="heading 3"/>
    <w:next w:val="Standard"/>
    <w:link w:val="berschrift3Zchn"/>
    <w:uiPriority w:val="9"/>
    <w:unhideWhenUsed/>
    <w:qFormat/>
    <w:rsid w:val="00E9617B"/>
    <w:pPr>
      <w:keepNext/>
      <w:keepLines/>
      <w:spacing w:after="0"/>
      <w:ind w:left="12" w:hanging="10"/>
      <w:outlineLvl w:val="2"/>
    </w:pPr>
    <w:rPr>
      <w:rFonts w:ascii="Calibri" w:eastAsia="Calibri" w:hAnsi="Calibri" w:cs="Calibri"/>
      <w:b/>
      <w:color w:val="58715C"/>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9617B"/>
    <w:rPr>
      <w:rFonts w:ascii="Calibri" w:eastAsia="Calibri" w:hAnsi="Calibri" w:cs="Calibri"/>
      <w:b/>
      <w:color w:val="58715C"/>
      <w:sz w:val="28"/>
    </w:rPr>
  </w:style>
  <w:style w:type="table" w:customStyle="1" w:styleId="TableGrid">
    <w:name w:val="TableGrid"/>
    <w:rsid w:val="00E9617B"/>
    <w:pPr>
      <w:spacing w:after="0" w:line="240" w:lineRule="auto"/>
    </w:pPr>
    <w:rPr>
      <w:rFonts w:eastAsiaTheme="minorEastAsia"/>
    </w:rPr>
    <w:tblPr>
      <w:tblCellMar>
        <w:top w:w="0" w:type="dxa"/>
        <w:left w:w="0" w:type="dxa"/>
        <w:bottom w:w="0" w:type="dxa"/>
        <w:right w:w="0" w:type="dxa"/>
      </w:tblCellMar>
    </w:tblPr>
  </w:style>
  <w:style w:type="paragraph" w:styleId="KeinLeerraum">
    <w:name w:val="No Spacing"/>
    <w:link w:val="KeinLeerraumZchn"/>
    <w:uiPriority w:val="1"/>
    <w:qFormat/>
    <w:rsid w:val="00E9617B"/>
    <w:pPr>
      <w:spacing w:after="0" w:line="240" w:lineRule="auto"/>
      <w:ind w:left="10" w:hanging="10"/>
    </w:pPr>
    <w:rPr>
      <w:rFonts w:ascii="Calibri" w:eastAsia="Calibri" w:hAnsi="Calibri" w:cs="Calibri"/>
      <w:color w:val="000000"/>
      <w:sz w:val="24"/>
    </w:rPr>
  </w:style>
  <w:style w:type="paragraph" w:styleId="Listenabsatz">
    <w:name w:val="List Paragraph"/>
    <w:basedOn w:val="Standard"/>
    <w:uiPriority w:val="34"/>
    <w:qFormat/>
    <w:rsid w:val="00E9617B"/>
    <w:pPr>
      <w:ind w:left="720"/>
      <w:contextualSpacing/>
    </w:pPr>
  </w:style>
  <w:style w:type="character" w:customStyle="1" w:styleId="KeinLeerraumZchn">
    <w:name w:val="Kein Leerraum Zchn"/>
    <w:basedOn w:val="Absatz-Standardschriftart"/>
    <w:link w:val="KeinLeerraum"/>
    <w:uiPriority w:val="1"/>
    <w:locked/>
    <w:rsid w:val="00E9617B"/>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dc:creator>
  <cp:keywords/>
  <dc:description/>
  <cp:lastModifiedBy>1300</cp:lastModifiedBy>
  <cp:revision>1</cp:revision>
  <dcterms:created xsi:type="dcterms:W3CDTF">2024-12-14T13:02:00Z</dcterms:created>
  <dcterms:modified xsi:type="dcterms:W3CDTF">2024-12-14T13:03:00Z</dcterms:modified>
</cp:coreProperties>
</file>