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F28FB" w14:textId="4E8B765A" w:rsidR="00CF116F" w:rsidRPr="00FE7B2C" w:rsidRDefault="00C3617D">
      <w:pPr>
        <w:rPr>
          <w:rFonts w:asciiTheme="minorHAnsi" w:hAnsiTheme="minorHAnsi" w:cs="Arial"/>
          <w:b/>
          <w:sz w:val="28"/>
          <w:szCs w:val="28"/>
          <w:u w:val="single"/>
          <w:lang w:val="sq-AL"/>
        </w:rPr>
      </w:pPr>
      <w:r w:rsidRPr="00FE7B2C">
        <w:rPr>
          <w:rFonts w:asciiTheme="minorHAnsi" w:hAnsiTheme="minorHAnsi" w:cs="Arial"/>
          <w:b/>
          <w:sz w:val="28"/>
          <w:szCs w:val="28"/>
          <w:u w:val="single"/>
          <w:lang w:val="sq-AL"/>
        </w:rPr>
        <w:t xml:space="preserve">SYLLABUS i lëndës: </w:t>
      </w:r>
      <w:r w:rsidR="00EB4192">
        <w:rPr>
          <w:rFonts w:asciiTheme="minorHAnsi" w:hAnsiTheme="minorHAnsi" w:cs="Arial"/>
          <w:b/>
          <w:sz w:val="28"/>
          <w:szCs w:val="28"/>
          <w:u w:val="single"/>
          <w:lang w:val="sq-AL"/>
        </w:rPr>
        <w:t>Inxhinieria e ambientit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1367"/>
        <w:gridCol w:w="1724"/>
        <w:gridCol w:w="1977"/>
      </w:tblGrid>
      <w:tr w:rsidR="00CF116F" w:rsidRPr="00EB4192" w14:paraId="075320FE" w14:textId="77777777" w:rsidTr="00D03E33">
        <w:tc>
          <w:tcPr>
            <w:tcW w:w="8630" w:type="dxa"/>
            <w:gridSpan w:val="4"/>
            <w:shd w:val="clear" w:color="auto" w:fill="B8CCE4"/>
          </w:tcPr>
          <w:p w14:paraId="46B42097" w14:textId="77777777" w:rsidR="00CF116F" w:rsidRPr="00EB4192" w:rsidRDefault="00CF116F" w:rsidP="00CF116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Të dh</w:t>
            </w:r>
            <w:r w:rsidR="00FB050B"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na bazike t</w:t>
            </w:r>
            <w:r w:rsidR="00FB050B"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l</w:t>
            </w:r>
            <w:r w:rsidR="00FB050B"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nd</w:t>
            </w:r>
            <w:r w:rsidR="00FB050B"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</w:t>
            </w:r>
          </w:p>
        </w:tc>
      </w:tr>
      <w:tr w:rsidR="00CF116F" w:rsidRPr="00EB4192" w14:paraId="5568221C" w14:textId="77777777" w:rsidTr="00D03E33">
        <w:tc>
          <w:tcPr>
            <w:tcW w:w="3562" w:type="dxa"/>
          </w:tcPr>
          <w:p w14:paraId="1B25657A" w14:textId="77777777" w:rsidR="00CF116F" w:rsidRPr="00EB4192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068" w:type="dxa"/>
            <w:gridSpan w:val="3"/>
          </w:tcPr>
          <w:p w14:paraId="04B2AB74" w14:textId="77777777" w:rsidR="00CF116F" w:rsidRPr="00EB4192" w:rsidRDefault="009E17AD" w:rsidP="00AC067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Fakulteti </w:t>
            </w:r>
            <w:r w:rsidR="00AC0676"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 Ndërtimtarisë dhe Arkitekturë</w:t>
            </w: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</w:t>
            </w:r>
          </w:p>
        </w:tc>
      </w:tr>
      <w:tr w:rsidR="00CF116F" w:rsidRPr="00EB4192" w14:paraId="01EA509B" w14:textId="77777777" w:rsidTr="00D03E33">
        <w:tc>
          <w:tcPr>
            <w:tcW w:w="3562" w:type="dxa"/>
          </w:tcPr>
          <w:p w14:paraId="16F16304" w14:textId="77777777" w:rsidR="00CF116F" w:rsidRPr="00EB4192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068" w:type="dxa"/>
            <w:gridSpan w:val="3"/>
          </w:tcPr>
          <w:p w14:paraId="457057EF" w14:textId="55560C79" w:rsidR="00CF116F" w:rsidRPr="00EB4192" w:rsidRDefault="00EB4192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Inxhineria e ambientit</w:t>
            </w:r>
          </w:p>
        </w:tc>
      </w:tr>
      <w:tr w:rsidR="00CF116F" w:rsidRPr="00EB4192" w14:paraId="2AD13C87" w14:textId="77777777" w:rsidTr="00D03E33">
        <w:tc>
          <w:tcPr>
            <w:tcW w:w="3562" w:type="dxa"/>
          </w:tcPr>
          <w:p w14:paraId="1523098D" w14:textId="77777777" w:rsidR="00CF116F" w:rsidRPr="00EB4192" w:rsidRDefault="00CF116F" w:rsidP="0078180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068" w:type="dxa"/>
            <w:gridSpan w:val="3"/>
          </w:tcPr>
          <w:p w14:paraId="7C322563" w14:textId="77777777" w:rsidR="00CF116F" w:rsidRPr="00EB4192" w:rsidRDefault="00A4396B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Bachelor</w:t>
            </w:r>
          </w:p>
        </w:tc>
      </w:tr>
      <w:tr w:rsidR="00781805" w:rsidRPr="00EB4192" w14:paraId="72402489" w14:textId="77777777" w:rsidTr="00D03E33">
        <w:tc>
          <w:tcPr>
            <w:tcW w:w="3562" w:type="dxa"/>
          </w:tcPr>
          <w:p w14:paraId="380BE0BC" w14:textId="77777777" w:rsidR="00781805" w:rsidRPr="00EB4192" w:rsidRDefault="00781805" w:rsidP="0078180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5068" w:type="dxa"/>
            <w:gridSpan w:val="3"/>
          </w:tcPr>
          <w:p w14:paraId="3AB95008" w14:textId="6DFC9CF2" w:rsidR="00781805" w:rsidRPr="00EB4192" w:rsidRDefault="00603821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0</w:t>
            </w:r>
          </w:p>
        </w:tc>
      </w:tr>
      <w:tr w:rsidR="00CF116F" w:rsidRPr="00EB4192" w14:paraId="24565829" w14:textId="77777777" w:rsidTr="00D03E33">
        <w:tc>
          <w:tcPr>
            <w:tcW w:w="3562" w:type="dxa"/>
          </w:tcPr>
          <w:p w14:paraId="21C68F9C" w14:textId="77777777" w:rsidR="00CF116F" w:rsidRPr="00EB4192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5068" w:type="dxa"/>
            <w:gridSpan w:val="3"/>
          </w:tcPr>
          <w:p w14:paraId="5980269E" w14:textId="7B6D2F1D" w:rsidR="00CF116F" w:rsidRPr="00EB4192" w:rsidRDefault="0058386F" w:rsidP="0058386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Viti i </w:t>
            </w:r>
            <w:r w:rsidR="00EB4192"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parë</w:t>
            </w: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(</w:t>
            </w:r>
            <w:r w:rsidR="00361A47"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</w:t>
            </w:r>
            <w:r w:rsidR="009E17AD"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)</w:t>
            </w: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| S</w:t>
            </w:r>
            <w:r w:rsidR="009E17AD"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emestri </w:t>
            </w: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i </w:t>
            </w:r>
            <w:r w:rsidR="00EB4192"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dytë</w:t>
            </w: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(</w:t>
            </w:r>
            <w:r w:rsidR="00EB4192"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II</w:t>
            </w: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)</w:t>
            </w:r>
          </w:p>
        </w:tc>
      </w:tr>
      <w:tr w:rsidR="00CF116F" w:rsidRPr="00EB4192" w14:paraId="1C5BC5B4" w14:textId="77777777" w:rsidTr="00D03E33">
        <w:tc>
          <w:tcPr>
            <w:tcW w:w="3562" w:type="dxa"/>
          </w:tcPr>
          <w:p w14:paraId="1F80F1CA" w14:textId="77777777" w:rsidR="00CF116F" w:rsidRPr="00EB4192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068" w:type="dxa"/>
            <w:gridSpan w:val="3"/>
          </w:tcPr>
          <w:p w14:paraId="30C8A481" w14:textId="18354BF2" w:rsidR="00CF116F" w:rsidRPr="00EB4192" w:rsidRDefault="00EB3577" w:rsidP="007D65F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2+</w:t>
            </w:r>
            <w:r w:rsidR="00EB4192"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2</w:t>
            </w:r>
          </w:p>
        </w:tc>
      </w:tr>
      <w:tr w:rsidR="00CF116F" w:rsidRPr="00EB4192" w14:paraId="025D313B" w14:textId="77777777" w:rsidTr="00D03E33">
        <w:tc>
          <w:tcPr>
            <w:tcW w:w="3562" w:type="dxa"/>
          </w:tcPr>
          <w:p w14:paraId="07BC3FE5" w14:textId="77777777" w:rsidR="00CF116F" w:rsidRPr="00EB4192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5068" w:type="dxa"/>
            <w:gridSpan w:val="3"/>
          </w:tcPr>
          <w:p w14:paraId="5BEBDBD4" w14:textId="00434106" w:rsidR="00CF116F" w:rsidRPr="00EB4192" w:rsidRDefault="009F4EFC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6</w:t>
            </w:r>
          </w:p>
        </w:tc>
      </w:tr>
      <w:tr w:rsidR="00CF116F" w:rsidRPr="00EB4192" w14:paraId="51BD6901" w14:textId="77777777" w:rsidTr="00D03E33">
        <w:tc>
          <w:tcPr>
            <w:tcW w:w="3562" w:type="dxa"/>
          </w:tcPr>
          <w:p w14:paraId="4C365669" w14:textId="77777777" w:rsidR="00CF116F" w:rsidRPr="00EB4192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Koha / lokacioni:</w:t>
            </w:r>
          </w:p>
        </w:tc>
        <w:tc>
          <w:tcPr>
            <w:tcW w:w="5068" w:type="dxa"/>
            <w:gridSpan w:val="3"/>
          </w:tcPr>
          <w:p w14:paraId="5B9DD9E7" w14:textId="77777777" w:rsidR="00CF116F" w:rsidRPr="00EB4192" w:rsidRDefault="00361A47" w:rsidP="00A4396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Sipas orarit</w:t>
            </w:r>
          </w:p>
        </w:tc>
      </w:tr>
      <w:tr w:rsidR="00CF116F" w:rsidRPr="00EB4192" w14:paraId="0A1F67D6" w14:textId="77777777" w:rsidTr="00D03E33">
        <w:tc>
          <w:tcPr>
            <w:tcW w:w="3562" w:type="dxa"/>
          </w:tcPr>
          <w:p w14:paraId="6A722F64" w14:textId="77777777" w:rsidR="00CF116F" w:rsidRPr="00EB4192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Mësimëdhënësi i lëndës:</w:t>
            </w:r>
          </w:p>
        </w:tc>
        <w:tc>
          <w:tcPr>
            <w:tcW w:w="5068" w:type="dxa"/>
            <w:gridSpan w:val="3"/>
          </w:tcPr>
          <w:p w14:paraId="3990FBFA" w14:textId="02291686" w:rsidR="00CF116F" w:rsidRPr="00EB4192" w:rsidRDefault="00EB4192" w:rsidP="00361A4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</w:rPr>
              <w:t>Prof. Ass. Dr. Mimoza Dugolli</w:t>
            </w:r>
          </w:p>
        </w:tc>
      </w:tr>
      <w:tr w:rsidR="00CF116F" w:rsidRPr="00EB4192" w14:paraId="763FDF33" w14:textId="77777777" w:rsidTr="00D03E33">
        <w:tc>
          <w:tcPr>
            <w:tcW w:w="3562" w:type="dxa"/>
          </w:tcPr>
          <w:p w14:paraId="71DF3130" w14:textId="77777777" w:rsidR="00CF116F" w:rsidRPr="00EB4192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5068" w:type="dxa"/>
            <w:gridSpan w:val="3"/>
          </w:tcPr>
          <w:p w14:paraId="741109F3" w14:textId="77777777" w:rsidR="00EB4192" w:rsidRPr="00EB4192" w:rsidRDefault="00EB4192" w:rsidP="00EB4192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Email: </w:t>
            </w:r>
            <w:hyperlink r:id="rId7" w:history="1">
              <w:r w:rsidRPr="00EB4192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mimoza.dugolli@uni-pr.edu</w:t>
              </w:r>
            </w:hyperlink>
          </w:p>
          <w:p w14:paraId="3006217F" w14:textId="4CB79747" w:rsidR="009E17AD" w:rsidRPr="00EB4192" w:rsidRDefault="00EB4192" w:rsidP="00EB4192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</w:rPr>
              <w:t>Tel: +38345898987</w:t>
            </w:r>
          </w:p>
        </w:tc>
      </w:tr>
      <w:tr w:rsidR="00FB050B" w:rsidRPr="00EB4192" w14:paraId="5EF26EE9" w14:textId="77777777" w:rsidTr="00D03E33">
        <w:tc>
          <w:tcPr>
            <w:tcW w:w="8630" w:type="dxa"/>
            <w:gridSpan w:val="4"/>
            <w:shd w:val="clear" w:color="auto" w:fill="B8CCE4"/>
          </w:tcPr>
          <w:p w14:paraId="0B628E1C" w14:textId="77777777" w:rsidR="00FB050B" w:rsidRPr="00EB4192" w:rsidRDefault="00FB050B" w:rsidP="00CF116F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CF116F" w:rsidRPr="00EB4192" w14:paraId="22A81360" w14:textId="77777777" w:rsidTr="00D03E33">
        <w:tc>
          <w:tcPr>
            <w:tcW w:w="3562" w:type="dxa"/>
          </w:tcPr>
          <w:p w14:paraId="1595B6F7" w14:textId="77777777" w:rsidR="00CF116F" w:rsidRPr="00EB4192" w:rsidRDefault="00CF116F" w:rsidP="00CF116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5068" w:type="dxa"/>
            <w:gridSpan w:val="3"/>
          </w:tcPr>
          <w:p w14:paraId="2B98DECC" w14:textId="026FD2E1" w:rsidR="0005388C" w:rsidRPr="00EB4192" w:rsidRDefault="00EB4192" w:rsidP="0058386F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Kjo 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sht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nje l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fundamentale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per studentet e vitit te par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 P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ëëmes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k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saj l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studentet do t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njoftohen p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 principet e q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ndrueshm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rise, n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f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ushën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e inxhinieris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ambientale. Gjat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k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saj klase, studentet do t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aplikojne k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to principe n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problemet inxhinerike n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m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ëëyrë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q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mund t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b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jn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vler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sim t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implikimeve mjedisore, ekonomike dhe sociale n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inxhinieri dhe sfidave p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 marrjen e vendimeve. Temat do t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perfshijn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definicionet e q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ndrueshm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ris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sfidat kryesore inxhinierike (shembull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uji, energjia, klima, dhe materialet), gjenerimin e ndotjes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mbrojtjen dhe mjetet p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 vler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simin e q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ndrueshm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rise (vlersimi I ciklit t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 jetës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)</w:t>
            </w:r>
          </w:p>
        </w:tc>
      </w:tr>
      <w:tr w:rsidR="00CF116F" w:rsidRPr="00EB4192" w14:paraId="3F6E6133" w14:textId="77777777" w:rsidTr="00D03E33">
        <w:tc>
          <w:tcPr>
            <w:tcW w:w="3562" w:type="dxa"/>
          </w:tcPr>
          <w:p w14:paraId="24FC067E" w14:textId="77777777" w:rsidR="00CF116F" w:rsidRPr="00EB4192" w:rsidRDefault="00CF116F" w:rsidP="00CF116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068" w:type="dxa"/>
            <w:gridSpan w:val="3"/>
          </w:tcPr>
          <w:p w14:paraId="24ECE724" w14:textId="40456641" w:rsidR="007C3132" w:rsidRDefault="00EB4192" w:rsidP="00EB4192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fund t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kesaj l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nde, student do t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mund te:</w:t>
            </w:r>
          </w:p>
          <w:p w14:paraId="5FD8F493" w14:textId="60B8A6F8" w:rsidR="00EB4192" w:rsidRDefault="00EB4192" w:rsidP="00EB419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Definojn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q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ndrueshm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rine se si aplikohet ne problemet inxhinierike.</w:t>
            </w:r>
          </w:p>
          <w:p w14:paraId="09C0DADF" w14:textId="3F9E08BA" w:rsidR="00EB4192" w:rsidRDefault="00EB4192" w:rsidP="00EB419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Pershkrujane sfidat kryesore ne inxhinieri (ujin, energjine, 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klimen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materialet, etj).</w:t>
            </w:r>
          </w:p>
          <w:p w14:paraId="41E94769" w14:textId="1B7E05B0" w:rsidR="00EB4192" w:rsidRDefault="00EB4192" w:rsidP="00EB419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Kalku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oj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dhe balansoje materialet dhe qarkullimin e energjs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 fazat e shum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fishta t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sistemeve inxhinerik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</w:p>
          <w:p w14:paraId="23158CAB" w14:textId="21F9CEB4" w:rsidR="00EB4192" w:rsidRDefault="00EB4192" w:rsidP="00EB419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Pershkruaj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mekanizmat e ndikimeve ne mjedis per shkak te ndotjes (smog, shkaterrimi </w:t>
            </w:r>
            <w:r w:rsid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ozonit, eutrofikimi, etj)</w:t>
            </w:r>
          </w:p>
          <w:p w14:paraId="19358232" w14:textId="47C668D4" w:rsidR="00EB4192" w:rsidRDefault="00EB4192" w:rsidP="00EB419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Interpretimi i rezultateve te vler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simit te ciklit t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jet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 dhe rekomandimi i zgjedhjeve potenciale te problemeve inxhinierike.</w:t>
            </w:r>
          </w:p>
          <w:p w14:paraId="7391E796" w14:textId="4C4A1511" w:rsidR="00EB4192" w:rsidRPr="00EB4192" w:rsidRDefault="00EB4192" w:rsidP="00EB419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Krahasimi i sistemeve inxhinierike dhe arsyetimi i vendimeve inxhinerike bazuar ne rezultatet e vleresimeve te q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ndrueshm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rise duke identifikuar dhe pershkruar ndikimet relevante mjedisore, ekonomike, dhe sociale.</w:t>
            </w:r>
          </w:p>
        </w:tc>
      </w:tr>
      <w:tr w:rsidR="00CF116F" w:rsidRPr="00EB4192" w14:paraId="24E1E5CE" w14:textId="77777777" w:rsidTr="00D03E33">
        <w:tc>
          <w:tcPr>
            <w:tcW w:w="3562" w:type="dxa"/>
          </w:tcPr>
          <w:p w14:paraId="0893B72D" w14:textId="77777777" w:rsidR="00CF116F" w:rsidRPr="00EB4192" w:rsidRDefault="00CF116F" w:rsidP="00CF116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pritura të nxënies:</w:t>
            </w:r>
          </w:p>
        </w:tc>
        <w:tc>
          <w:tcPr>
            <w:tcW w:w="5068" w:type="dxa"/>
            <w:gridSpan w:val="3"/>
          </w:tcPr>
          <w:p w14:paraId="25E6DE10" w14:textId="383CD349" w:rsidR="007C3132" w:rsidRPr="00EB4192" w:rsidRDefault="00603821" w:rsidP="00D3429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  <w:t>Në fund të kesaj lënde studentet do te jenë aftësuar për të kuptuar dhe adresuar sfidat në inxhinierinë e ambientit, marrin vendime në bazë të rezultateve të vlerësimeve të qëndrueshmërisë, kalkulojnë dhe balansojnë materialet dhe qarkullimin e energjisë nëpër fazat e shumëfishta të sistemeve inxhinerike.</w:t>
            </w:r>
          </w:p>
        </w:tc>
        <w:bookmarkStart w:id="0" w:name="_GoBack"/>
        <w:bookmarkEnd w:id="0"/>
      </w:tr>
      <w:tr w:rsidR="00FF7590" w:rsidRPr="00EB4192" w14:paraId="08E3FBC8" w14:textId="77777777" w:rsidTr="00D03E33">
        <w:tc>
          <w:tcPr>
            <w:tcW w:w="8630" w:type="dxa"/>
            <w:gridSpan w:val="4"/>
            <w:shd w:val="clear" w:color="auto" w:fill="B8CCE4"/>
          </w:tcPr>
          <w:p w14:paraId="0939C916" w14:textId="77777777" w:rsidR="00FF7590" w:rsidRPr="00EB4192" w:rsidRDefault="00FF7590" w:rsidP="00CF116F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FB050B" w:rsidRPr="00EB4192" w14:paraId="5DC8ABC6" w14:textId="77777777" w:rsidTr="00D03E33">
        <w:tc>
          <w:tcPr>
            <w:tcW w:w="8630" w:type="dxa"/>
            <w:gridSpan w:val="4"/>
            <w:shd w:val="clear" w:color="auto" w:fill="B8CCE4"/>
          </w:tcPr>
          <w:p w14:paraId="2D3ED045" w14:textId="77777777" w:rsidR="00FB050B" w:rsidRPr="00EB4192" w:rsidRDefault="00183923" w:rsidP="00183923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183923" w:rsidRPr="00EB4192" w14:paraId="5131A20F" w14:textId="77777777" w:rsidTr="00D03E33">
        <w:tc>
          <w:tcPr>
            <w:tcW w:w="3562" w:type="dxa"/>
            <w:tcBorders>
              <w:right w:val="single" w:sz="4" w:space="0" w:color="auto"/>
            </w:tcBorders>
            <w:shd w:val="clear" w:color="auto" w:fill="B8CCE4"/>
          </w:tcPr>
          <w:p w14:paraId="7672BA6C" w14:textId="77777777" w:rsidR="00183923" w:rsidRPr="00EB4192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A66A5DD" w14:textId="77777777" w:rsidR="00183923" w:rsidRPr="00EB4192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EF5E707" w14:textId="77777777" w:rsidR="00183923" w:rsidRPr="00EB4192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B8CCE4"/>
          </w:tcPr>
          <w:p w14:paraId="7AACC5EA" w14:textId="77777777" w:rsidR="00183923" w:rsidRPr="00EB4192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Gjithësej</w:t>
            </w:r>
          </w:p>
        </w:tc>
      </w:tr>
      <w:tr w:rsidR="00183923" w:rsidRPr="00EB4192" w14:paraId="67F9FA6C" w14:textId="77777777" w:rsidTr="00D03E33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7823039F" w14:textId="77777777" w:rsidR="00183923" w:rsidRPr="00EB4192" w:rsidRDefault="00183923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ED35C" w14:textId="77777777" w:rsidR="00183923" w:rsidRPr="00EB4192" w:rsidRDefault="00733AC3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F6024" w14:textId="77777777" w:rsidR="00183923" w:rsidRPr="00EB4192" w:rsidRDefault="00E31D19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49E81853" w14:textId="77777777" w:rsidR="00183923" w:rsidRPr="00EB4192" w:rsidRDefault="005013B9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30</w:t>
            </w:r>
          </w:p>
        </w:tc>
      </w:tr>
      <w:tr w:rsidR="00183923" w:rsidRPr="00EB4192" w14:paraId="0194CF8D" w14:textId="77777777" w:rsidTr="00D03E33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7C08EC01" w14:textId="77777777" w:rsidR="00183923" w:rsidRPr="00EB4192" w:rsidRDefault="00183923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2DC58" w14:textId="77777777" w:rsidR="00183923" w:rsidRPr="00EB4192" w:rsidRDefault="00275757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C1114" w14:textId="77DAEBC3" w:rsidR="00183923" w:rsidRPr="00EB4192" w:rsidRDefault="00EB4192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  <w:r w:rsidR="00275757"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0B8828E0" w14:textId="4E2E24E1" w:rsidR="00183923" w:rsidRPr="00EB4192" w:rsidRDefault="00EB4192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3</w:t>
            </w:r>
            <w:r w:rsidR="00275757"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0</w:t>
            </w:r>
          </w:p>
        </w:tc>
      </w:tr>
      <w:tr w:rsidR="00183923" w:rsidRPr="00EB4192" w14:paraId="473064BA" w14:textId="77777777" w:rsidTr="00D03E33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44EB1436" w14:textId="77777777" w:rsidR="00183923" w:rsidRPr="00EB4192" w:rsidRDefault="00183923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33A1B" w14:textId="343986BD" w:rsidR="00183923" w:rsidRPr="00EB4192" w:rsidRDefault="00EB4192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8DEA0" w14:textId="1DF2D7E1" w:rsidR="00183923" w:rsidRPr="00EB4192" w:rsidRDefault="00EB4192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  <w:r w:rsidR="00275757"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31D1582C" w14:textId="4AB08901" w:rsidR="00183923" w:rsidRPr="00EB4192" w:rsidRDefault="00EB4192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30</w:t>
            </w:r>
          </w:p>
        </w:tc>
      </w:tr>
      <w:tr w:rsidR="00EB4192" w:rsidRPr="00EB4192" w14:paraId="57037350" w14:textId="77777777" w:rsidTr="00D03E33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32F5DC9F" w14:textId="28C8C02F" w:rsidR="00EB4192" w:rsidRPr="00EB4192" w:rsidRDefault="00EB4192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Konsultime gjate orarit te rregullt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D9C73" w14:textId="3881896A" w:rsidR="00EB4192" w:rsidRDefault="00EB4192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7B5B5" w14:textId="7003FCB9" w:rsidR="00EB4192" w:rsidRDefault="00EB4192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06D290A3" w14:textId="6D315763" w:rsidR="00EB4192" w:rsidRDefault="00EB4192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</w:tr>
      <w:tr w:rsidR="00183923" w:rsidRPr="00EB4192" w14:paraId="18251BB6" w14:textId="77777777" w:rsidTr="00D03E33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26951E1F" w14:textId="77777777" w:rsidR="00183923" w:rsidRPr="00EB4192" w:rsidRDefault="00183923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149FA" w14:textId="1ABC196B" w:rsidR="00183923" w:rsidRPr="00EB4192" w:rsidRDefault="00183923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FD6EF" w14:textId="0CAB17C8" w:rsidR="00183923" w:rsidRPr="00EB4192" w:rsidRDefault="00183923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629563DE" w14:textId="7184BF48" w:rsidR="00183923" w:rsidRPr="00EB4192" w:rsidRDefault="00183923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183923" w:rsidRPr="00EB4192" w14:paraId="4496571D" w14:textId="77777777" w:rsidTr="00D03E33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62A4C359" w14:textId="77777777" w:rsidR="00183923" w:rsidRPr="00EB4192" w:rsidRDefault="00183923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709F1" w14:textId="77777777" w:rsidR="00183923" w:rsidRPr="00EB4192" w:rsidRDefault="00E31D19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54FDE" w14:textId="3FBE871C" w:rsidR="00183923" w:rsidRPr="00EB4192" w:rsidRDefault="00D03E33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0E85F861" w14:textId="65B731DE" w:rsidR="00183923" w:rsidRPr="00EB4192" w:rsidRDefault="00D03E33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</w:tr>
      <w:tr w:rsidR="00183923" w:rsidRPr="00EB4192" w14:paraId="5AE92381" w14:textId="77777777" w:rsidTr="00D03E33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5698BE03" w14:textId="77777777" w:rsidR="00183923" w:rsidRPr="00EB4192" w:rsidRDefault="00183923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E680F" w14:textId="77777777" w:rsidR="00183923" w:rsidRPr="00EB4192" w:rsidRDefault="00E31D19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AE1A9" w14:textId="6F85857C" w:rsidR="00183923" w:rsidRPr="00EB4192" w:rsidRDefault="00D03E33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09A004E9" w14:textId="393E2F20" w:rsidR="00183923" w:rsidRPr="00EB4192" w:rsidRDefault="00D03E33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</w:tr>
      <w:tr w:rsidR="00183923" w:rsidRPr="00EB4192" w14:paraId="7D2F21FF" w14:textId="77777777" w:rsidTr="00D03E33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3D03E2EE" w14:textId="77777777" w:rsidR="00183923" w:rsidRPr="00EB4192" w:rsidRDefault="00183923" w:rsidP="0027575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Koha e studimit </w:t>
            </w:r>
            <w:r w:rsidR="00275757"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vetanak</w:t>
            </w: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5A0D9" w14:textId="77777777" w:rsidR="00183923" w:rsidRPr="00EB4192" w:rsidRDefault="00E31D19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87D40" w14:textId="54ED94A1" w:rsidR="00183923" w:rsidRPr="00EB4192" w:rsidRDefault="00D03E33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5C09C09D" w14:textId="4F01FC33" w:rsidR="00183923" w:rsidRPr="00EB4192" w:rsidRDefault="00D03E33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</w:tr>
      <w:tr w:rsidR="00183923" w:rsidRPr="00EB4192" w14:paraId="57AC202E" w14:textId="77777777" w:rsidTr="00D03E33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1438211C" w14:textId="77777777" w:rsidR="00183923" w:rsidRPr="00EB4192" w:rsidRDefault="00275757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Përgatitja</w:t>
            </w:r>
            <w:r w:rsidR="00183923"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AF12F" w14:textId="7E09DEC5" w:rsidR="00183923" w:rsidRPr="00EB4192" w:rsidRDefault="00D03E33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372E3" w14:textId="223552D1" w:rsidR="00183923" w:rsidRPr="00EB4192" w:rsidRDefault="00D03E33" w:rsidP="00D03E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27BB4E00" w14:textId="6BFFDFEA" w:rsidR="00183923" w:rsidRPr="00EB4192" w:rsidRDefault="00D03E33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</w:tr>
      <w:tr w:rsidR="00183923" w:rsidRPr="00EB4192" w14:paraId="7C44BFB6" w14:textId="77777777" w:rsidTr="00D03E33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015B57D0" w14:textId="77777777" w:rsidR="00183923" w:rsidRPr="00EB4192" w:rsidRDefault="00183923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Koha e kaluar në vlerësim (teste,</w:t>
            </w:r>
            <w:r w:rsidR="00275757"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kuiz,</w:t>
            </w:r>
            <w:r w:rsidR="00275757"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provim final)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46489" w14:textId="2E336010" w:rsidR="00183923" w:rsidRPr="00EB4192" w:rsidRDefault="00D03E33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1A86C" w14:textId="031B6B11" w:rsidR="00183923" w:rsidRPr="00EB4192" w:rsidRDefault="00D03E33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2037159C" w14:textId="346AB70B" w:rsidR="00183923" w:rsidRPr="00EB4192" w:rsidRDefault="00D03E33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4</w:t>
            </w:r>
          </w:p>
        </w:tc>
      </w:tr>
      <w:tr w:rsidR="00183923" w:rsidRPr="00EB4192" w14:paraId="75B92515" w14:textId="77777777" w:rsidTr="00D03E33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747B923D" w14:textId="77777777" w:rsidR="00183923" w:rsidRPr="00EB4192" w:rsidRDefault="00183923" w:rsidP="001427B9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Projektet,</w:t>
            </w:r>
            <w:r w:rsidR="00275757"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prezantimet</w:t>
            </w: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,</w:t>
            </w:r>
            <w:r w:rsidR="00275757"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etj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6285E" w14:textId="10CAEE6F" w:rsidR="00183923" w:rsidRPr="00EB4192" w:rsidRDefault="00D03E33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781E0" w14:textId="63903CBA" w:rsidR="00183923" w:rsidRPr="00EB4192" w:rsidRDefault="00D03E33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15EE6584" w14:textId="7C555506" w:rsidR="00183923" w:rsidRPr="00EB4192" w:rsidRDefault="00E31D19" w:rsidP="00E31D1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  <w:r w:rsid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53</w:t>
            </w:r>
          </w:p>
        </w:tc>
      </w:tr>
      <w:tr w:rsidR="00183923" w:rsidRPr="00EB4192" w14:paraId="40094202" w14:textId="77777777" w:rsidTr="00D03E33">
        <w:tc>
          <w:tcPr>
            <w:tcW w:w="3562" w:type="dxa"/>
            <w:tcBorders>
              <w:right w:val="single" w:sz="4" w:space="0" w:color="auto"/>
            </w:tcBorders>
            <w:shd w:val="clear" w:color="auto" w:fill="B8CCE4"/>
          </w:tcPr>
          <w:p w14:paraId="5AD0964E" w14:textId="77777777" w:rsidR="00183923" w:rsidRPr="00EB4192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F231BF6" w14:textId="77777777" w:rsidR="00183923" w:rsidRPr="00EB4192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0F455E0" w14:textId="77777777" w:rsidR="00183923" w:rsidRPr="00EB4192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B8CCE4"/>
          </w:tcPr>
          <w:p w14:paraId="488F6457" w14:textId="2D18399E" w:rsidR="00183923" w:rsidRPr="00EB4192" w:rsidRDefault="00183923" w:rsidP="002757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FF7590" w:rsidRPr="00EB4192" w14:paraId="3FD691F7" w14:textId="77777777" w:rsidTr="00D03E33">
        <w:tc>
          <w:tcPr>
            <w:tcW w:w="8630" w:type="dxa"/>
            <w:gridSpan w:val="4"/>
            <w:shd w:val="clear" w:color="auto" w:fill="B8CCE4"/>
          </w:tcPr>
          <w:p w14:paraId="3E362FDA" w14:textId="77777777" w:rsidR="00FF7590" w:rsidRPr="00EB4192" w:rsidRDefault="00FF7590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83923" w:rsidRPr="00EB4192" w14:paraId="6C6ADB59" w14:textId="77777777" w:rsidTr="00D03E33">
        <w:tc>
          <w:tcPr>
            <w:tcW w:w="3562" w:type="dxa"/>
          </w:tcPr>
          <w:p w14:paraId="25AA8D6B" w14:textId="77777777" w:rsidR="00183923" w:rsidRPr="00EB4192" w:rsidRDefault="00183923" w:rsidP="0018392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Metodologjia e mësimëdhënies:  </w:t>
            </w:r>
          </w:p>
        </w:tc>
        <w:tc>
          <w:tcPr>
            <w:tcW w:w="5068" w:type="dxa"/>
            <w:gridSpan w:val="3"/>
          </w:tcPr>
          <w:p w14:paraId="1B000FCD" w14:textId="61677EC0" w:rsidR="00183923" w:rsidRPr="00EB4192" w:rsidRDefault="00D03E33" w:rsidP="00415CCF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nda do t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zhvillohet permes ligjeratave te rregullta dhe disa ushtrimeve te zgjedhura ne klase</w:t>
            </w:r>
          </w:p>
        </w:tc>
      </w:tr>
      <w:tr w:rsidR="00183923" w:rsidRPr="00EB4192" w14:paraId="5BE853B9" w14:textId="77777777" w:rsidTr="00D03E33">
        <w:tc>
          <w:tcPr>
            <w:tcW w:w="3562" w:type="dxa"/>
          </w:tcPr>
          <w:p w14:paraId="5A6DE828" w14:textId="77777777" w:rsidR="00183923" w:rsidRPr="00EB4192" w:rsidRDefault="00183923" w:rsidP="0018392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5068" w:type="dxa"/>
            <w:gridSpan w:val="3"/>
          </w:tcPr>
          <w:p w14:paraId="45702611" w14:textId="094170EB" w:rsidR="00E31D19" w:rsidRPr="00EB4192" w:rsidRDefault="00E31D19" w:rsidP="002E069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Një nga mënyrat e vlerësimit do të ishtë si në vazhdim:</w:t>
            </w:r>
          </w:p>
          <w:p w14:paraId="618C8A27" w14:textId="3DE6570C" w:rsidR="00CC604F" w:rsidRPr="00EB4192" w:rsidRDefault="00CC604F" w:rsidP="002E069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Vlerësimi i parë: </w:t>
            </w:r>
            <w:r w:rsidR="00D03E33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3</w:t>
            </w: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5%</w:t>
            </w:r>
          </w:p>
          <w:p w14:paraId="679CE4F0" w14:textId="2A2C1537" w:rsidR="00CC604F" w:rsidRPr="00EB4192" w:rsidRDefault="00433278" w:rsidP="002E069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Vlerësimi i dytë: </w:t>
            </w:r>
            <w:r w:rsidR="00D03E33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3</w:t>
            </w: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5 %</w:t>
            </w:r>
          </w:p>
          <w:p w14:paraId="0907C52D" w14:textId="61FEF444" w:rsidR="00CC604F" w:rsidRPr="00EB4192" w:rsidRDefault="00433278" w:rsidP="002E069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Angazhimet në detyrat (shtëpisë) </w:t>
            </w:r>
            <w:r w:rsidR="00D03E33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3</w:t>
            </w: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0%</w:t>
            </w:r>
          </w:p>
          <w:p w14:paraId="20E3BD77" w14:textId="6AEF80D6" w:rsidR="00183923" w:rsidRPr="00EB4192" w:rsidRDefault="00CC604F" w:rsidP="002E069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Provimi final   </w:t>
            </w:r>
          </w:p>
        </w:tc>
      </w:tr>
      <w:tr w:rsidR="00183923" w:rsidRPr="00EB4192" w14:paraId="1BC0FF5A" w14:textId="77777777" w:rsidTr="00D03E33">
        <w:tc>
          <w:tcPr>
            <w:tcW w:w="8630" w:type="dxa"/>
            <w:gridSpan w:val="4"/>
            <w:shd w:val="clear" w:color="auto" w:fill="B8CCE4"/>
          </w:tcPr>
          <w:p w14:paraId="7AE0C3B5" w14:textId="77777777" w:rsidR="00183923" w:rsidRPr="00EB4192" w:rsidRDefault="00183923" w:rsidP="0018392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</w:t>
            </w:r>
          </w:p>
        </w:tc>
      </w:tr>
      <w:tr w:rsidR="00D03E33" w:rsidRPr="00EB4192" w14:paraId="0979F6FD" w14:textId="77777777" w:rsidTr="00D03E33">
        <w:tc>
          <w:tcPr>
            <w:tcW w:w="3562" w:type="dxa"/>
          </w:tcPr>
          <w:p w14:paraId="5610D844" w14:textId="77777777" w:rsidR="00D03E33" w:rsidRPr="00EB4192" w:rsidRDefault="00D03E33" w:rsidP="00D03E3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5068" w:type="dxa"/>
            <w:gridSpan w:val="3"/>
          </w:tcPr>
          <w:p w14:paraId="3C60CA29" w14:textId="77777777" w:rsidR="00D03E33" w:rsidRDefault="00D03E33" w:rsidP="00D03E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alibri" w:hAnsi="Calibri" w:cs="Arial"/>
                <w:sz w:val="22"/>
                <w:szCs w:val="22"/>
              </w:rPr>
            </w:pPr>
            <w:r w:rsidRPr="00FD4CF9">
              <w:rPr>
                <w:rFonts w:ascii="Calibri" w:hAnsi="Calibri" w:cs="Arial"/>
                <w:sz w:val="22"/>
                <w:szCs w:val="22"/>
              </w:rPr>
              <w:t>James R. Mihelcic Julie B. Zimmerman “Environmental Engineering: Fundamentals, Sustainability, Design”, second edition.</w:t>
            </w:r>
          </w:p>
          <w:p w14:paraId="5F4587DC" w14:textId="683850D9" w:rsidR="00D03E33" w:rsidRPr="00D03E33" w:rsidRDefault="00D03E33" w:rsidP="00D03E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</w:pPr>
            <w:r w:rsidRPr="00D03E33">
              <w:rPr>
                <w:rFonts w:ascii="Calibri" w:hAnsi="Calibri" w:cs="Arial"/>
                <w:sz w:val="22"/>
                <w:szCs w:val="22"/>
              </w:rPr>
              <w:t>Other texts as provided during the lectures</w:t>
            </w:r>
          </w:p>
        </w:tc>
      </w:tr>
      <w:tr w:rsidR="00D03E33" w:rsidRPr="00EB4192" w14:paraId="366A720C" w14:textId="77777777" w:rsidTr="00D03E33">
        <w:tc>
          <w:tcPr>
            <w:tcW w:w="3562" w:type="dxa"/>
          </w:tcPr>
          <w:p w14:paraId="27050940" w14:textId="77777777" w:rsidR="00D03E33" w:rsidRPr="00EB4192" w:rsidRDefault="00D03E33" w:rsidP="00D03E3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B419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5068" w:type="dxa"/>
            <w:gridSpan w:val="3"/>
          </w:tcPr>
          <w:p w14:paraId="55158A60" w14:textId="53827963" w:rsidR="00D03E33" w:rsidRPr="00D03E33" w:rsidRDefault="00D03E33" w:rsidP="00D03E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lang w:val="sq-AL" w:eastAsia="en-GB"/>
              </w:rPr>
            </w:pPr>
            <w:r w:rsidRPr="00D03E33">
              <w:rPr>
                <w:rFonts w:ascii="Calibri" w:hAnsi="Calibri" w:cs="Arial"/>
                <w:sz w:val="22"/>
                <w:szCs w:val="22"/>
              </w:rPr>
              <w:t>Tom Theis &amp; Jonathan Tomkin “Sustainability: A Comprehensive Foundation”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7"/>
        <w:gridCol w:w="5953"/>
      </w:tblGrid>
      <w:tr w:rsidR="00D67209" w:rsidRPr="00D03E33" w14:paraId="77FDE17C" w14:textId="77777777" w:rsidTr="00EF57F9">
        <w:tc>
          <w:tcPr>
            <w:tcW w:w="8856" w:type="dxa"/>
            <w:gridSpan w:val="2"/>
            <w:shd w:val="clear" w:color="auto" w:fill="B8CCE4"/>
          </w:tcPr>
          <w:p w14:paraId="2CA602CA" w14:textId="77777777" w:rsidR="00D67209" w:rsidRPr="00D03E33" w:rsidRDefault="00D67209" w:rsidP="00D6720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03E33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  <w:p w14:paraId="77C5BD58" w14:textId="77777777" w:rsidR="00D67209" w:rsidRPr="00D03E33" w:rsidRDefault="00D67209" w:rsidP="00D6720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D67209" w:rsidRPr="00D03E33" w14:paraId="59B7539E" w14:textId="77777777" w:rsidTr="00EF57F9">
        <w:tc>
          <w:tcPr>
            <w:tcW w:w="2718" w:type="dxa"/>
            <w:shd w:val="clear" w:color="auto" w:fill="B8CCE4"/>
          </w:tcPr>
          <w:p w14:paraId="61C05073" w14:textId="77777777" w:rsidR="00D67209" w:rsidRPr="00D03E33" w:rsidRDefault="00D67209" w:rsidP="00D6720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03E33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29DB361A" w14:textId="77777777" w:rsidR="00D67209" w:rsidRPr="00D03E33" w:rsidRDefault="00D67209" w:rsidP="00D6720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03E33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Ligjerata që do të zhvillohet</w:t>
            </w:r>
          </w:p>
        </w:tc>
      </w:tr>
      <w:tr w:rsidR="00D67209" w:rsidRPr="00D03E33" w14:paraId="7D59ABDE" w14:textId="77777777" w:rsidTr="00D67209">
        <w:tc>
          <w:tcPr>
            <w:tcW w:w="2718" w:type="dxa"/>
          </w:tcPr>
          <w:p w14:paraId="690FBBDF" w14:textId="77777777" w:rsidR="00D67209" w:rsidRPr="00D03E33" w:rsidRDefault="00D67209" w:rsidP="00D6720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03E33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1BA7544C" w14:textId="7A4EEAD5" w:rsidR="00D67209" w:rsidRPr="00D03E33" w:rsidRDefault="00D03E33" w:rsidP="005356D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Popullsia, rritja ekonomike, industrializimi, urbanizimi dhe shfrytezimi </w:t>
            </w:r>
            <w:r w:rsid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energjise, si shkak i ndotjes mjedisore</w:t>
            </w:r>
          </w:p>
        </w:tc>
      </w:tr>
      <w:tr w:rsidR="00D67209" w:rsidRPr="00D03E33" w14:paraId="08046045" w14:textId="77777777" w:rsidTr="00D67209">
        <w:tc>
          <w:tcPr>
            <w:tcW w:w="2718" w:type="dxa"/>
          </w:tcPr>
          <w:p w14:paraId="74234FB1" w14:textId="77777777" w:rsidR="00D67209" w:rsidRPr="00D03E33" w:rsidRDefault="00D67209" w:rsidP="00D6720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03E33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09B536CF" w14:textId="26FB9A58" w:rsidR="00D67209" w:rsidRPr="00D03E33" w:rsidRDefault="00D03E33" w:rsidP="00A73C7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Masa dhe balanci </w:t>
            </w:r>
            <w:r w:rsid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energjis</w:t>
            </w:r>
            <w:r w:rsidR="009F4EFC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</w:t>
            </w:r>
            <w:r w:rsid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n</w:t>
            </w:r>
            <w:r w:rsidR="009F4EFC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sistemet inxhinierike n</w:t>
            </w:r>
            <w:r w:rsid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gjendje t</w:t>
            </w:r>
            <w:r w:rsid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q</w:t>
            </w:r>
            <w:r w:rsidR="009F4EFC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ndrueshme dhe jo t</w:t>
            </w:r>
            <w:r w:rsidR="009F4EFC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q</w:t>
            </w:r>
            <w:r w:rsidR="009F4EFC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ndrueshme</w:t>
            </w:r>
          </w:p>
        </w:tc>
      </w:tr>
      <w:tr w:rsidR="00D67209" w:rsidRPr="00D03E33" w14:paraId="14B92EF0" w14:textId="77777777" w:rsidTr="00D67209">
        <w:tc>
          <w:tcPr>
            <w:tcW w:w="2718" w:type="dxa"/>
          </w:tcPr>
          <w:p w14:paraId="2AEDEBF8" w14:textId="77777777" w:rsidR="00D67209" w:rsidRPr="00D03E33" w:rsidRDefault="00D67209" w:rsidP="00D6720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03E33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lastRenderedPageBreak/>
              <w:t>Java e tretë</w:t>
            </w:r>
            <w:r w:rsidRPr="00D03E33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14:paraId="048245B7" w14:textId="6928DEC5" w:rsidR="00D67209" w:rsidRPr="00D03E33" w:rsidRDefault="00D03E33" w:rsidP="00D67209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Mundesit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fizike dhe shp</w:t>
            </w:r>
            <w:r w:rsid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rndarja  p</w:t>
            </w:r>
            <w:r w:rsid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 p</w:t>
            </w:r>
            <w:r w:rsid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rzierjet homogjene dhe heterogjene</w:t>
            </w:r>
          </w:p>
        </w:tc>
      </w:tr>
      <w:tr w:rsidR="00D67209" w:rsidRPr="00D03E33" w14:paraId="68ED22E9" w14:textId="77777777" w:rsidTr="00D67209">
        <w:tc>
          <w:tcPr>
            <w:tcW w:w="2718" w:type="dxa"/>
          </w:tcPr>
          <w:p w14:paraId="1F4A5C2B" w14:textId="77777777" w:rsidR="00D67209" w:rsidRPr="00D03E33" w:rsidRDefault="00D67209" w:rsidP="00D6720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03E33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02BEB331" w14:textId="7723982D" w:rsidR="00D67209" w:rsidRPr="00D03E33" w:rsidRDefault="00D03E33" w:rsidP="005013B9">
            <w:pPr>
              <w:jc w:val="both"/>
              <w:rPr>
                <w:rFonts w:asciiTheme="minorHAnsi" w:hAnsiTheme="minorHAnsi" w:cstheme="minorHAnsi"/>
                <w:color w:val="C00000"/>
                <w:sz w:val="22"/>
                <w:szCs w:val="22"/>
                <w:lang w:val="sq-AL"/>
              </w:rPr>
            </w:pP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Klasifikimi </w:t>
            </w:r>
            <w:r w:rsid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</w:t>
            </w: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ndot</w:t>
            </w:r>
            <w:r w:rsidR="009F4EFC"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sve dhe shp</w:t>
            </w:r>
            <w:r w:rsidR="009F4EFC"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rndarja ne aj</w:t>
            </w:r>
            <w:r w:rsidR="009F4EFC"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</w:t>
            </w:r>
            <w:r w:rsidR="00603821">
              <w:rPr>
                <w:rFonts w:asciiTheme="minorHAnsi" w:hAnsiTheme="minorHAnsi" w:cstheme="minorHAnsi" w:hint="eastAsia"/>
                <w:sz w:val="22"/>
                <w:szCs w:val="22"/>
                <w:lang w:val="sq-AL"/>
              </w:rPr>
              <w:t>,</w:t>
            </w: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uj</w:t>
            </w:r>
            <w:r w:rsidR="009F4EFC"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dhe materiale solide</w:t>
            </w:r>
            <w:r w:rsid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</w:p>
        </w:tc>
      </w:tr>
      <w:tr w:rsidR="00D67209" w:rsidRPr="00D03E33" w14:paraId="5D3B1472" w14:textId="77777777" w:rsidTr="00D67209">
        <w:tc>
          <w:tcPr>
            <w:tcW w:w="2718" w:type="dxa"/>
          </w:tcPr>
          <w:p w14:paraId="6C6122C1" w14:textId="77777777" w:rsidR="00D67209" w:rsidRPr="00D03E33" w:rsidRDefault="00D67209" w:rsidP="00D6720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03E33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pestë:</w:t>
            </w:r>
            <w:r w:rsidRPr="00D03E33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657F3C59" w14:textId="11D375C8" w:rsidR="00D67209" w:rsidRPr="00D03E33" w:rsidRDefault="00D03E33" w:rsidP="005013B9">
            <w:pPr>
              <w:jc w:val="both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  <w:lang w:val="sq-AL"/>
              </w:rPr>
            </w:pPr>
            <w:r w:rsidRP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Karakteristika e partikuleve, kimia e solucioneve dhe gaz</w:t>
            </w:r>
            <w:r w:rsidR="009F4EFC" w:rsidRP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ë</w:t>
            </w:r>
            <w:r w:rsidRP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rat, balansimi </w:t>
            </w:r>
            <w:r w:rsid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i</w:t>
            </w:r>
            <w:r w:rsidRP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materialeve, kinetik</w:t>
            </w:r>
            <w:r w:rsid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a</w:t>
            </w:r>
            <w:r w:rsidRP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reaksionare, mikrobiologjia dhe ekologjia dhe</w:t>
            </w:r>
            <w:r w:rsid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</w:t>
            </w:r>
            <w:r w:rsidRP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nderlidhja me ambient.</w:t>
            </w:r>
          </w:p>
        </w:tc>
      </w:tr>
      <w:tr w:rsidR="005013B9" w:rsidRPr="00D03E33" w14:paraId="52300A28" w14:textId="77777777" w:rsidTr="00D67209">
        <w:tc>
          <w:tcPr>
            <w:tcW w:w="2718" w:type="dxa"/>
          </w:tcPr>
          <w:p w14:paraId="3E8C4BC1" w14:textId="77777777" w:rsidR="005013B9" w:rsidRPr="00D03E33" w:rsidRDefault="005013B9" w:rsidP="005013B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03E33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gjashtë</w:t>
            </w:r>
            <w:r w:rsidRPr="00D03E33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14:paraId="27430BFF" w14:textId="37AA55B4" w:rsidR="005013B9" w:rsidRPr="00D03E33" w:rsidRDefault="00D03E33" w:rsidP="00684485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Aplikimi </w:t>
            </w:r>
            <w:r w:rsid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principeve mjedisore (teknike dhe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joteknike)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ne: ujë, menaxhim te resurseve, trajtim te ujërave, kontrollit te ndotjes së ambientit, menaxhimi </w:t>
            </w:r>
            <w:r w:rsid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mbeturinave solide, vleresimi </w:t>
            </w:r>
            <w:r w:rsid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</w:t>
            </w:r>
            <w:r w:rsidR="009F4EF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ndikimit ne ambient dhe etika mjedisore.</w:t>
            </w:r>
          </w:p>
        </w:tc>
      </w:tr>
      <w:tr w:rsidR="005013B9" w:rsidRPr="00D03E33" w14:paraId="0C989A97" w14:textId="77777777" w:rsidTr="00D67209">
        <w:tc>
          <w:tcPr>
            <w:tcW w:w="2718" w:type="dxa"/>
          </w:tcPr>
          <w:p w14:paraId="1802762D" w14:textId="77777777" w:rsidR="005013B9" w:rsidRPr="00D03E33" w:rsidRDefault="005013B9" w:rsidP="005013B9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D03E33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shtatë:</w:t>
            </w:r>
            <w:r w:rsidRPr="00D03E33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317C676D" w14:textId="2FED10B9" w:rsidR="005013B9" w:rsidRPr="00603821" w:rsidRDefault="009F4EFC" w:rsidP="005013B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Vleresimi </w:t>
            </w:r>
            <w:r w:rsid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</w:t>
            </w: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parë</w:t>
            </w:r>
          </w:p>
        </w:tc>
      </w:tr>
      <w:tr w:rsidR="005013B9" w:rsidRPr="00D03E33" w14:paraId="5EB86031" w14:textId="77777777" w:rsidTr="00D67209">
        <w:tc>
          <w:tcPr>
            <w:tcW w:w="2718" w:type="dxa"/>
          </w:tcPr>
          <w:p w14:paraId="556F4C1A" w14:textId="77777777" w:rsidR="005013B9" w:rsidRPr="00D03E33" w:rsidRDefault="005013B9" w:rsidP="005013B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</w:pPr>
            <w:r w:rsidRPr="00D03E33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tetë:</w:t>
            </w:r>
            <w:r w:rsidRPr="00D03E33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29C75298" w14:textId="2858E65B" w:rsidR="005013B9" w:rsidRPr="00603821" w:rsidRDefault="009F4EFC" w:rsidP="008F728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  <w:r w:rsidRP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Ndotja termike, ndotja me zhurmë, efekti serr</w:t>
            </w:r>
            <w:r w:rsid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ë</w:t>
            </w:r>
            <w:r w:rsidRP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, reshjet acidike, shkatërrimi </w:t>
            </w:r>
            <w:r w:rsid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i</w:t>
            </w:r>
            <w:r w:rsidRP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ozonit, toksinet ne ajër, ozoni ne nivel toke, dhe particular e vogla (smog fotokimik)</w:t>
            </w:r>
          </w:p>
        </w:tc>
      </w:tr>
      <w:tr w:rsidR="005013B9" w:rsidRPr="00D03E33" w14:paraId="568E9D7E" w14:textId="77777777" w:rsidTr="00D67209">
        <w:tc>
          <w:tcPr>
            <w:tcW w:w="2718" w:type="dxa"/>
          </w:tcPr>
          <w:p w14:paraId="624F22DF" w14:textId="77777777" w:rsidR="005013B9" w:rsidRPr="00D03E33" w:rsidRDefault="005013B9" w:rsidP="005013B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</w:pPr>
            <w:r w:rsidRPr="00D03E33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nëntë:</w:t>
            </w:r>
            <w:r w:rsidRPr="00D03E33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10F9B482" w14:textId="27E19953" w:rsidR="005013B9" w:rsidRPr="00603821" w:rsidRDefault="009F4EFC" w:rsidP="005013B9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Zhvillimi </w:t>
            </w:r>
            <w:r w:rsid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</w:t>
            </w: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qëndrueshëm, analizat e ciklit te jetës dhe principet e objektivave te kualitetit te mjedisit, standardet dhe udhezuesit.</w:t>
            </w:r>
          </w:p>
        </w:tc>
      </w:tr>
      <w:tr w:rsidR="005013B9" w:rsidRPr="00D03E33" w14:paraId="1EDBD651" w14:textId="77777777" w:rsidTr="00D67209">
        <w:tc>
          <w:tcPr>
            <w:tcW w:w="2718" w:type="dxa"/>
          </w:tcPr>
          <w:p w14:paraId="383CC271" w14:textId="77777777" w:rsidR="005013B9" w:rsidRPr="00D03E33" w:rsidRDefault="005013B9" w:rsidP="005013B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</w:pPr>
            <w:r w:rsidRPr="00D03E33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0DFC3076" w14:textId="3605EE8D" w:rsidR="005013B9" w:rsidRPr="00603821" w:rsidRDefault="009F4EFC" w:rsidP="005003B5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Dher</w:t>
            </w:r>
            <w:r w:rsid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ëra</w:t>
            </w: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 si sistem trajtimi</w:t>
            </w:r>
          </w:p>
        </w:tc>
      </w:tr>
      <w:tr w:rsidR="00D67209" w:rsidRPr="00D03E33" w14:paraId="5A21B237" w14:textId="77777777" w:rsidTr="00D67209">
        <w:tc>
          <w:tcPr>
            <w:tcW w:w="2718" w:type="dxa"/>
          </w:tcPr>
          <w:p w14:paraId="72B9A4C9" w14:textId="77777777" w:rsidR="00D67209" w:rsidRPr="00D03E33" w:rsidRDefault="00D67209" w:rsidP="00D6720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</w:pPr>
            <w:r w:rsidRPr="00D03E33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njëmbedhjetë</w:t>
            </w:r>
            <w:r w:rsidRPr="00D03E33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14:paraId="56F3982C" w14:textId="60717430" w:rsidR="00D67209" w:rsidRPr="00603821" w:rsidRDefault="009F4EFC" w:rsidP="00FA5DFE">
            <w:pPr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  <w:r w:rsidRP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Vler</w:t>
            </w:r>
            <w:r w:rsid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ë</w:t>
            </w:r>
            <w:r w:rsidRP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simi mjedisor dhe sistemet menaxhuese</w:t>
            </w:r>
          </w:p>
        </w:tc>
      </w:tr>
      <w:tr w:rsidR="00D67209" w:rsidRPr="00D03E33" w14:paraId="33CE7B6F" w14:textId="77777777" w:rsidTr="00D67209">
        <w:tc>
          <w:tcPr>
            <w:tcW w:w="2718" w:type="dxa"/>
          </w:tcPr>
          <w:p w14:paraId="59BEC6D7" w14:textId="77777777" w:rsidR="00D67209" w:rsidRPr="00D03E33" w:rsidRDefault="00D67209" w:rsidP="00D6720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</w:pPr>
            <w:r w:rsidRPr="00D03E33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dymbëdhjetë</w:t>
            </w:r>
            <w:r w:rsidRPr="00D03E33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06DEFE4D" w14:textId="75546A75" w:rsidR="00D67209" w:rsidRPr="00603821" w:rsidRDefault="009F4EFC" w:rsidP="005A627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  <w:r w:rsidRP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Vlerësimi </w:t>
            </w:r>
            <w:r w:rsid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ë</w:t>
            </w:r>
            <w:r w:rsidRP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rehabilitimit te situacioneve</w:t>
            </w:r>
          </w:p>
        </w:tc>
      </w:tr>
      <w:tr w:rsidR="00D67209" w:rsidRPr="00D03E33" w14:paraId="0ACB1F27" w14:textId="77777777" w:rsidTr="00D67209">
        <w:tc>
          <w:tcPr>
            <w:tcW w:w="2718" w:type="dxa"/>
          </w:tcPr>
          <w:p w14:paraId="1362124A" w14:textId="77777777" w:rsidR="00D67209" w:rsidRPr="00D03E33" w:rsidRDefault="00D67209" w:rsidP="00D6720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</w:pPr>
            <w:r w:rsidRPr="00D03E33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trembëdhjetë</w:t>
            </w:r>
            <w:r w:rsidRPr="00D03E33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346466DE" w14:textId="47548A53" w:rsidR="00D67209" w:rsidRPr="00603821" w:rsidRDefault="009F4EFC" w:rsidP="005A627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  <w:r w:rsidRP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Instrumentalizimi dhe</w:t>
            </w:r>
            <w:r w:rsid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</w:t>
            </w:r>
            <w:r w:rsidRP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kontrolli </w:t>
            </w:r>
            <w:r w:rsid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i</w:t>
            </w:r>
            <w:r w:rsidRPr="00603821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procesit</w:t>
            </w:r>
          </w:p>
        </w:tc>
      </w:tr>
      <w:tr w:rsidR="005003B5" w:rsidRPr="00D03E33" w14:paraId="02DDFDF4" w14:textId="77777777" w:rsidTr="00D67209">
        <w:tc>
          <w:tcPr>
            <w:tcW w:w="2718" w:type="dxa"/>
          </w:tcPr>
          <w:p w14:paraId="2D76E01A" w14:textId="77777777" w:rsidR="005003B5" w:rsidRPr="00D03E33" w:rsidRDefault="005003B5" w:rsidP="005A627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</w:pPr>
            <w:r w:rsidRPr="00D03E33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D03E33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4480237B" w14:textId="5F12E145" w:rsidR="005003B5" w:rsidRPr="00603821" w:rsidRDefault="009F4EFC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Konceptet sociale dhe palet e interesit</w:t>
            </w:r>
          </w:p>
        </w:tc>
      </w:tr>
      <w:tr w:rsidR="005003B5" w:rsidRPr="00D03E33" w14:paraId="72536BF6" w14:textId="77777777" w:rsidTr="00D67209">
        <w:tc>
          <w:tcPr>
            <w:tcW w:w="2718" w:type="dxa"/>
          </w:tcPr>
          <w:p w14:paraId="19642C12" w14:textId="77777777" w:rsidR="005003B5" w:rsidRPr="00D03E33" w:rsidRDefault="005003B5" w:rsidP="00D6720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</w:pPr>
            <w:r w:rsidRPr="00D03E33"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D03E33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32FB6B62" w14:textId="176C0A93" w:rsidR="005003B5" w:rsidRPr="00603821" w:rsidRDefault="009F4EFC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Vlerësimi </w:t>
            </w:r>
            <w:r w:rsid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</w:t>
            </w: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dytë</w:t>
            </w:r>
          </w:p>
        </w:tc>
      </w:tr>
    </w:tbl>
    <w:p w14:paraId="0561A2A6" w14:textId="77777777" w:rsidR="00CF116F" w:rsidRPr="0058386F" w:rsidRDefault="00CF116F" w:rsidP="00D67209">
      <w:pPr>
        <w:pStyle w:val="NoSpacing"/>
        <w:rPr>
          <w:rFonts w:ascii="Arial" w:hAnsi="Arial" w:cs="Arial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58386F" w14:paraId="378F2735" w14:textId="77777777" w:rsidTr="00EF57F9">
        <w:tc>
          <w:tcPr>
            <w:tcW w:w="8856" w:type="dxa"/>
            <w:shd w:val="clear" w:color="auto" w:fill="B8CCE4"/>
          </w:tcPr>
          <w:p w14:paraId="0DA96B89" w14:textId="77777777" w:rsidR="00CF116F" w:rsidRPr="00603821" w:rsidRDefault="00CF116F" w:rsidP="007E62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03821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Politikat akademike dhe rregullat e mirësjelljes:</w:t>
            </w:r>
          </w:p>
        </w:tc>
      </w:tr>
      <w:tr w:rsidR="00CF116F" w:rsidRPr="0058386F" w14:paraId="71273A6C" w14:textId="77777777" w:rsidTr="001427B9">
        <w:trPr>
          <w:trHeight w:val="818"/>
        </w:trPr>
        <w:tc>
          <w:tcPr>
            <w:tcW w:w="8856" w:type="dxa"/>
          </w:tcPr>
          <w:p w14:paraId="09DFFE30" w14:textId="77777777" w:rsidR="006F116D" w:rsidRPr="00603821" w:rsidRDefault="007E44C8" w:rsidP="0068448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sq-AL"/>
              </w:rPr>
            </w:pP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</w:t>
            </w:r>
            <w:r w:rsidR="00E31D19"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ësimdhënësi cakton kriteret për vijimin e rregullt në ligjërata </w:t>
            </w: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dhe rregullat e mirësjelljes, </w:t>
            </w:r>
            <w:r w:rsidR="00E31D19"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mbajtja e qetësisë në mësim,</w:t>
            </w: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684485"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shkyçja</w:t>
            </w:r>
            <w:r w:rsidR="00E31D19"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e telefonave celular,</w:t>
            </w:r>
            <w:r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E31D19"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hyrja në sallë me kohë,</w:t>
            </w:r>
            <w:r w:rsidR="00684485"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E31D19" w:rsidRPr="006038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etj.</w:t>
            </w:r>
          </w:p>
        </w:tc>
      </w:tr>
    </w:tbl>
    <w:p w14:paraId="08F929EA" w14:textId="77777777" w:rsidR="00B815D1" w:rsidRPr="0058386F" w:rsidRDefault="00B815D1" w:rsidP="00324C99">
      <w:pPr>
        <w:rPr>
          <w:rFonts w:ascii="Arial" w:hAnsi="Arial" w:cs="Arial"/>
          <w:b/>
          <w:lang w:val="sq-AL"/>
        </w:rPr>
      </w:pPr>
    </w:p>
    <w:sectPr w:rsidR="00B815D1" w:rsidRPr="0058386F" w:rsidSect="00E800B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5C607" w14:textId="77777777" w:rsidR="00285104" w:rsidRDefault="00285104">
      <w:r>
        <w:separator/>
      </w:r>
    </w:p>
  </w:endnote>
  <w:endnote w:type="continuationSeparator" w:id="0">
    <w:p w14:paraId="2340BB51" w14:textId="77777777" w:rsidR="00285104" w:rsidRDefault="0028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1E0E1" w14:textId="77777777" w:rsidR="00900FBF" w:rsidRDefault="00637D2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0FB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5D1253" w14:textId="77777777" w:rsidR="00900FBF" w:rsidRDefault="00900FBF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7404C" w14:textId="77777777" w:rsidR="00900FBF" w:rsidRDefault="00637D2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0F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181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FA7C1A" w14:textId="77777777" w:rsidR="00900FBF" w:rsidRDefault="00900FBF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7E88C" w14:textId="77777777" w:rsidR="00285104" w:rsidRDefault="00285104">
      <w:r>
        <w:separator/>
      </w:r>
    </w:p>
  </w:footnote>
  <w:footnote w:type="continuationSeparator" w:id="0">
    <w:p w14:paraId="55BB0059" w14:textId="77777777" w:rsidR="00285104" w:rsidRDefault="00285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F74D5"/>
    <w:multiLevelType w:val="hybridMultilevel"/>
    <w:tmpl w:val="0E32DB4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F5345"/>
    <w:multiLevelType w:val="hybridMultilevel"/>
    <w:tmpl w:val="A4CE0F42"/>
    <w:lvl w:ilvl="0" w:tplc="997EF0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B39"/>
    <w:rsid w:val="00012981"/>
    <w:rsid w:val="00031020"/>
    <w:rsid w:val="00043592"/>
    <w:rsid w:val="0005388C"/>
    <w:rsid w:val="00060E9F"/>
    <w:rsid w:val="00083EF3"/>
    <w:rsid w:val="00102557"/>
    <w:rsid w:val="00105C2D"/>
    <w:rsid w:val="00132604"/>
    <w:rsid w:val="001427B9"/>
    <w:rsid w:val="00183923"/>
    <w:rsid w:val="001C753F"/>
    <w:rsid w:val="0021580C"/>
    <w:rsid w:val="002177ED"/>
    <w:rsid w:val="00221812"/>
    <w:rsid w:val="00234DD3"/>
    <w:rsid w:val="002466FE"/>
    <w:rsid w:val="002610A3"/>
    <w:rsid w:val="00275757"/>
    <w:rsid w:val="00285104"/>
    <w:rsid w:val="0029341B"/>
    <w:rsid w:val="002B3AD0"/>
    <w:rsid w:val="002C00FA"/>
    <w:rsid w:val="002D3069"/>
    <w:rsid w:val="002E069F"/>
    <w:rsid w:val="003017AF"/>
    <w:rsid w:val="0030354C"/>
    <w:rsid w:val="0030520A"/>
    <w:rsid w:val="003209D3"/>
    <w:rsid w:val="00324C99"/>
    <w:rsid w:val="00361A47"/>
    <w:rsid w:val="00370FF7"/>
    <w:rsid w:val="00381B41"/>
    <w:rsid w:val="003B625C"/>
    <w:rsid w:val="003E3193"/>
    <w:rsid w:val="00415CCF"/>
    <w:rsid w:val="00433278"/>
    <w:rsid w:val="004452BB"/>
    <w:rsid w:val="004638B0"/>
    <w:rsid w:val="004A7DFA"/>
    <w:rsid w:val="004C0CCA"/>
    <w:rsid w:val="005003B5"/>
    <w:rsid w:val="005013B9"/>
    <w:rsid w:val="005356D7"/>
    <w:rsid w:val="0053607A"/>
    <w:rsid w:val="00571020"/>
    <w:rsid w:val="0058386F"/>
    <w:rsid w:val="005A0430"/>
    <w:rsid w:val="005A6278"/>
    <w:rsid w:val="005B2AD1"/>
    <w:rsid w:val="005D7713"/>
    <w:rsid w:val="00603821"/>
    <w:rsid w:val="00603DD2"/>
    <w:rsid w:val="006124E2"/>
    <w:rsid w:val="00637D2E"/>
    <w:rsid w:val="00684485"/>
    <w:rsid w:val="006973A6"/>
    <w:rsid w:val="006B1C29"/>
    <w:rsid w:val="006D5E48"/>
    <w:rsid w:val="006D7FB4"/>
    <w:rsid w:val="006F116D"/>
    <w:rsid w:val="007038CC"/>
    <w:rsid w:val="0072334D"/>
    <w:rsid w:val="00733AC3"/>
    <w:rsid w:val="007403D3"/>
    <w:rsid w:val="00746D8D"/>
    <w:rsid w:val="00777D28"/>
    <w:rsid w:val="00781805"/>
    <w:rsid w:val="007B1510"/>
    <w:rsid w:val="007B4919"/>
    <w:rsid w:val="007B68A2"/>
    <w:rsid w:val="007C3132"/>
    <w:rsid w:val="007D65FD"/>
    <w:rsid w:val="007E44C8"/>
    <w:rsid w:val="007E6202"/>
    <w:rsid w:val="007F46C5"/>
    <w:rsid w:val="00854773"/>
    <w:rsid w:val="00886779"/>
    <w:rsid w:val="008A439B"/>
    <w:rsid w:val="008A716D"/>
    <w:rsid w:val="008D0608"/>
    <w:rsid w:val="008E4253"/>
    <w:rsid w:val="008F4C13"/>
    <w:rsid w:val="008F7284"/>
    <w:rsid w:val="00900F56"/>
    <w:rsid w:val="00900FBF"/>
    <w:rsid w:val="00903474"/>
    <w:rsid w:val="009715B9"/>
    <w:rsid w:val="009B3F0A"/>
    <w:rsid w:val="009D24B2"/>
    <w:rsid w:val="009E17AD"/>
    <w:rsid w:val="009E2AF8"/>
    <w:rsid w:val="009F4EFC"/>
    <w:rsid w:val="00A11290"/>
    <w:rsid w:val="00A20A49"/>
    <w:rsid w:val="00A26B44"/>
    <w:rsid w:val="00A3358D"/>
    <w:rsid w:val="00A4396B"/>
    <w:rsid w:val="00A545BA"/>
    <w:rsid w:val="00A662A0"/>
    <w:rsid w:val="00A73C7B"/>
    <w:rsid w:val="00A926BA"/>
    <w:rsid w:val="00AA2C57"/>
    <w:rsid w:val="00AA3C2B"/>
    <w:rsid w:val="00AC0676"/>
    <w:rsid w:val="00AC08ED"/>
    <w:rsid w:val="00AE6604"/>
    <w:rsid w:val="00B27F7B"/>
    <w:rsid w:val="00B35215"/>
    <w:rsid w:val="00B815D1"/>
    <w:rsid w:val="00BA6E9C"/>
    <w:rsid w:val="00BB1A1A"/>
    <w:rsid w:val="00C27257"/>
    <w:rsid w:val="00C34C11"/>
    <w:rsid w:val="00C3617D"/>
    <w:rsid w:val="00C6155B"/>
    <w:rsid w:val="00C97B25"/>
    <w:rsid w:val="00CC604F"/>
    <w:rsid w:val="00CF116F"/>
    <w:rsid w:val="00CF5B76"/>
    <w:rsid w:val="00D01570"/>
    <w:rsid w:val="00D03E33"/>
    <w:rsid w:val="00D10BC6"/>
    <w:rsid w:val="00D34297"/>
    <w:rsid w:val="00D67209"/>
    <w:rsid w:val="00DB2823"/>
    <w:rsid w:val="00DF6543"/>
    <w:rsid w:val="00E31D19"/>
    <w:rsid w:val="00E64FDE"/>
    <w:rsid w:val="00E800B2"/>
    <w:rsid w:val="00E8287A"/>
    <w:rsid w:val="00EB3577"/>
    <w:rsid w:val="00EB4192"/>
    <w:rsid w:val="00ED65CD"/>
    <w:rsid w:val="00ED7178"/>
    <w:rsid w:val="00EE11DE"/>
    <w:rsid w:val="00EF57F9"/>
    <w:rsid w:val="00EF5BAE"/>
    <w:rsid w:val="00F04222"/>
    <w:rsid w:val="00F34158"/>
    <w:rsid w:val="00F47480"/>
    <w:rsid w:val="00F5660C"/>
    <w:rsid w:val="00F93D28"/>
    <w:rsid w:val="00FA5DFE"/>
    <w:rsid w:val="00FB050B"/>
    <w:rsid w:val="00FB4BBF"/>
    <w:rsid w:val="00FE7B2C"/>
    <w:rsid w:val="00FF1BDC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ED9F2"/>
  <w15:docId w15:val="{BDADCC4C-B69C-4E9C-8E8E-C105C2B2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00B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uiPriority w:val="59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E1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3AC3"/>
    <w:pPr>
      <w:ind w:left="720"/>
      <w:contextualSpacing/>
    </w:pPr>
    <w:rPr>
      <w:rFonts w:ascii="MAC C Swiss" w:hAnsi="MAC C Swiss"/>
    </w:rPr>
  </w:style>
  <w:style w:type="paragraph" w:customStyle="1" w:styleId="inside1">
    <w:name w:val="inside1"/>
    <w:basedOn w:val="Normal"/>
    <w:rsid w:val="00D03E33"/>
    <w:pPr>
      <w:suppressAutoHyphens/>
      <w:ind w:left="432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moza.dugoll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5398</CharactersWithSpaces>
  <SharedDoc>false</SharedDoc>
  <HLinks>
    <vt:vector size="6" baseType="variant">
      <vt:variant>
        <vt:i4>3670044</vt:i4>
      </vt:variant>
      <vt:variant>
        <vt:i4>0</vt:i4>
      </vt:variant>
      <vt:variant>
        <vt:i4>0</vt:i4>
      </vt:variant>
      <vt:variant>
        <vt:i4>5</vt:i4>
      </vt:variant>
      <vt:variant>
        <vt:lpwstr>mailto:naser.kabashi@uni-pr.edu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Mimoza Dugolli</cp:lastModifiedBy>
  <cp:revision>5</cp:revision>
  <cp:lastPrinted>2011-03-07T09:39:00Z</cp:lastPrinted>
  <dcterms:created xsi:type="dcterms:W3CDTF">2019-01-22T10:30:00Z</dcterms:created>
  <dcterms:modified xsi:type="dcterms:W3CDTF">2019-01-22T11:22:00Z</dcterms:modified>
</cp:coreProperties>
</file>