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EB" w:rsidRPr="00EE67DF" w:rsidRDefault="000461EB" w:rsidP="000461EB">
      <w:pPr>
        <w:shd w:val="clear" w:color="auto" w:fill="DEEAF6" w:themeFill="accent1" w:themeFillTint="33"/>
        <w:jc w:val="both"/>
        <w:rPr>
          <w:rFonts w:cstheme="minorHAnsi"/>
          <w:b/>
          <w:sz w:val="24"/>
          <w:szCs w:val="24"/>
        </w:rPr>
      </w:pPr>
      <w:r w:rsidRPr="00EE67DF">
        <w:rPr>
          <w:rFonts w:cstheme="minorHAnsi"/>
          <w:b/>
          <w:sz w:val="24"/>
          <w:szCs w:val="24"/>
        </w:rPr>
        <w:t>Shtojca I_ SHEMBULL</w:t>
      </w:r>
    </w:p>
    <w:p w:rsidR="000461EB" w:rsidRPr="00EE67DF" w:rsidRDefault="000461EB" w:rsidP="000461EB">
      <w:pPr>
        <w:rPr>
          <w:rFonts w:cstheme="minorHAnsi"/>
          <w:b/>
          <w:sz w:val="24"/>
          <w:szCs w:val="24"/>
        </w:rPr>
      </w:pPr>
      <w:r w:rsidRPr="00EE67DF">
        <w:rPr>
          <w:rFonts w:cstheme="minorHAnsi"/>
          <w:b/>
          <w:sz w:val="24"/>
          <w:szCs w:val="24"/>
        </w:rPr>
        <w:t xml:space="preserve">Titulli i lëndës: </w:t>
      </w:r>
      <w:r w:rsidR="00C72854" w:rsidRPr="00EE67DF">
        <w:rPr>
          <w:rFonts w:cstheme="minorHAnsi"/>
          <w:b/>
          <w:bCs/>
          <w:sz w:val="24"/>
          <w:szCs w:val="24"/>
          <w:lang w:val="it-IT"/>
        </w:rPr>
        <w:t>MJEKËSIA SOCIALE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4"/>
        <w:gridCol w:w="1946"/>
        <w:gridCol w:w="2074"/>
        <w:gridCol w:w="2136"/>
      </w:tblGrid>
      <w:tr w:rsidR="000461EB" w:rsidRPr="00EE67DF" w:rsidTr="00B56B1D">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Informatat themelore për lëndën</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D7680D" w:rsidP="00B56B1D">
            <w:pPr>
              <w:pStyle w:val="NoSpacing"/>
              <w:rPr>
                <w:rFonts w:asciiTheme="minorHAnsi" w:eastAsiaTheme="minorHAnsi" w:hAnsiTheme="minorHAnsi" w:cstheme="minorHAnsi"/>
                <w:lang w:val="sq-AL"/>
              </w:rPr>
            </w:pPr>
            <w:r w:rsidRPr="00EE67DF">
              <w:rPr>
                <w:rFonts w:asciiTheme="minorHAnsi" w:hAnsiTheme="minorHAnsi" w:cstheme="minorHAnsi"/>
                <w:lang w:val="it-IT"/>
              </w:rPr>
              <w:t>Fakulteti i Mjekësisë</w:t>
            </w:r>
            <w:r w:rsidRPr="00EE67DF">
              <w:rPr>
                <w:rFonts w:asciiTheme="minorHAnsi" w:hAnsiTheme="minorHAnsi" w:cstheme="minorHAnsi"/>
                <w:lang w:val="nb-NO"/>
              </w:rPr>
              <w:t>/</w:t>
            </w:r>
            <w:r w:rsidRPr="00EE67DF">
              <w:rPr>
                <w:rFonts w:asciiTheme="minorHAnsi" w:hAnsiTheme="minorHAnsi" w:cstheme="minorHAnsi"/>
                <w:lang w:val="it-IT"/>
              </w:rPr>
              <w:t xml:space="preserve"> Dega:Mjekësi e Përgjithshme/Katedra e Mjekësisë sociale</w:t>
            </w:r>
            <w:r w:rsidR="000461EB" w:rsidRPr="00EE67DF">
              <w:rPr>
                <w:rFonts w:asciiTheme="minorHAnsi" w:eastAsiaTheme="minorHAnsi" w:hAnsiTheme="minorHAnsi" w:cstheme="minorHAnsi"/>
                <w:lang w:val="sq-AL"/>
              </w:rPr>
              <w:t xml:space="preserve"> </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27759A" w:rsidP="00B56B1D">
            <w:pPr>
              <w:pStyle w:val="NoSpacing"/>
              <w:rPr>
                <w:rFonts w:asciiTheme="minorHAnsi" w:eastAsiaTheme="minorHAnsi" w:hAnsiTheme="minorHAnsi" w:cstheme="minorHAnsi"/>
                <w:lang w:val="sq-AL"/>
              </w:rPr>
            </w:pPr>
            <w:r w:rsidRPr="00EE67DF">
              <w:rPr>
                <w:rFonts w:asciiTheme="minorHAnsi" w:hAnsiTheme="minorHAnsi" w:cstheme="minorHAnsi"/>
                <w:lang w:val="it-IT"/>
              </w:rPr>
              <w:t>Mjekësi Sociale</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3675F3" w:rsidP="00B56B1D">
            <w:pPr>
              <w:pStyle w:val="NoSpacing"/>
              <w:rPr>
                <w:rFonts w:asciiTheme="minorHAnsi" w:eastAsiaTheme="minorHAnsi" w:hAnsiTheme="minorHAnsi" w:cstheme="minorHAnsi"/>
                <w:lang w:val="sq-AL"/>
              </w:rPr>
            </w:pPr>
            <w:r w:rsidRPr="00EE67DF">
              <w:rPr>
                <w:rFonts w:asciiTheme="minorHAnsi" w:eastAsiaTheme="minorHAnsi" w:hAnsiTheme="minorHAnsi" w:cstheme="minorHAnsi"/>
                <w:lang w:val="sq-AL"/>
              </w:rPr>
              <w:t>Bachelor/</w:t>
            </w:r>
            <w:r w:rsidRPr="00EE67DF">
              <w:rPr>
                <w:rFonts w:asciiTheme="minorHAnsi" w:eastAsiaTheme="minorHAnsi" w:hAnsiTheme="minorHAnsi" w:cstheme="minorHAnsi"/>
                <w:highlight w:val="yellow"/>
                <w:lang w:val="sq-AL"/>
              </w:rPr>
              <w:t>Studime t</w:t>
            </w:r>
            <w:r w:rsidRPr="00EE67DF">
              <w:rPr>
                <w:rFonts w:asciiTheme="minorHAnsi" w:hAnsiTheme="minorHAnsi" w:cstheme="minorHAnsi"/>
                <w:highlight w:val="yellow"/>
                <w:lang w:val="it-IT"/>
              </w:rPr>
              <w:t>ë integruara</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772A04" w:rsidP="00B56B1D">
            <w:pPr>
              <w:pStyle w:val="NoSpacing"/>
              <w:rPr>
                <w:rFonts w:asciiTheme="minorHAnsi" w:eastAsiaTheme="minorHAnsi" w:hAnsiTheme="minorHAnsi" w:cstheme="minorHAnsi"/>
                <w:lang w:val="sq-AL"/>
              </w:rPr>
            </w:pPr>
            <w:r w:rsidRPr="00EE67DF">
              <w:rPr>
                <w:rFonts w:asciiTheme="minorHAnsi" w:eastAsiaTheme="minorHAnsi" w:hAnsiTheme="minorHAnsi" w:cstheme="minorHAnsi"/>
                <w:lang w:val="sq-AL"/>
              </w:rPr>
              <w:t>Obligative</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0461EB" w:rsidP="002F58E5">
            <w:pPr>
              <w:pStyle w:val="NoSpacing"/>
              <w:rPr>
                <w:rFonts w:asciiTheme="minorHAnsi" w:eastAsiaTheme="minorHAnsi" w:hAnsiTheme="minorHAnsi" w:cstheme="minorHAnsi"/>
                <w:lang w:val="sq-AL"/>
              </w:rPr>
            </w:pPr>
            <w:r w:rsidRPr="00EE67DF">
              <w:rPr>
                <w:rFonts w:asciiTheme="minorHAnsi" w:eastAsiaTheme="minorHAnsi" w:hAnsiTheme="minorHAnsi" w:cstheme="minorHAnsi"/>
                <w:lang w:val="sq-AL"/>
              </w:rPr>
              <w:t>Viti i I</w:t>
            </w:r>
            <w:r w:rsidR="002F58E5" w:rsidRPr="00EE67DF">
              <w:rPr>
                <w:rFonts w:asciiTheme="minorHAnsi" w:eastAsiaTheme="minorHAnsi" w:hAnsiTheme="minorHAnsi" w:cstheme="minorHAnsi"/>
                <w:lang w:val="sq-AL"/>
              </w:rPr>
              <w:t>V</w:t>
            </w:r>
            <w:r w:rsidRPr="00EE67DF">
              <w:rPr>
                <w:rFonts w:asciiTheme="minorHAnsi" w:eastAsiaTheme="minorHAnsi" w:hAnsiTheme="minorHAnsi" w:cstheme="minorHAnsi"/>
                <w:lang w:val="sq-AL"/>
              </w:rPr>
              <w:t>-</w:t>
            </w:r>
            <w:r w:rsidR="002F58E5" w:rsidRPr="00EE67DF">
              <w:rPr>
                <w:rFonts w:asciiTheme="minorHAnsi" w:eastAsiaTheme="minorHAnsi" w:hAnsiTheme="minorHAnsi" w:cstheme="minorHAnsi"/>
                <w:lang w:val="sq-AL"/>
              </w:rPr>
              <w:t>t</w:t>
            </w:r>
            <w:r w:rsidRPr="00EE67DF">
              <w:rPr>
                <w:rFonts w:asciiTheme="minorHAnsi" w:eastAsiaTheme="minorHAnsi" w:hAnsiTheme="minorHAnsi" w:cstheme="minorHAnsi"/>
                <w:lang w:val="sq-AL"/>
              </w:rPr>
              <w:t xml:space="preserve">ë | Semestri i </w:t>
            </w:r>
            <w:r w:rsidR="002F58E5" w:rsidRPr="00EE67DF">
              <w:rPr>
                <w:rFonts w:asciiTheme="minorHAnsi" w:eastAsiaTheme="minorHAnsi" w:hAnsiTheme="minorHAnsi" w:cstheme="minorHAnsi"/>
                <w:lang w:val="sq-AL"/>
              </w:rPr>
              <w:t>VIII</w:t>
            </w:r>
            <w:r w:rsidRPr="00EE67DF">
              <w:rPr>
                <w:rFonts w:asciiTheme="minorHAnsi" w:eastAsiaTheme="minorHAnsi" w:hAnsiTheme="minorHAnsi" w:cstheme="minorHAnsi"/>
                <w:lang w:val="sq-AL"/>
              </w:rPr>
              <w:t>-</w:t>
            </w:r>
            <w:r w:rsidR="002F58E5" w:rsidRPr="00EE67DF">
              <w:rPr>
                <w:rFonts w:asciiTheme="minorHAnsi" w:eastAsiaTheme="minorHAnsi" w:hAnsiTheme="minorHAnsi" w:cstheme="minorHAnsi"/>
                <w:lang w:val="sq-AL"/>
              </w:rPr>
              <w:t>t</w:t>
            </w:r>
            <w:r w:rsidRPr="00EE67DF">
              <w:rPr>
                <w:rFonts w:asciiTheme="minorHAnsi" w:eastAsiaTheme="minorHAnsi" w:hAnsiTheme="minorHAnsi" w:cstheme="minorHAnsi"/>
                <w:lang w:val="sq-AL"/>
              </w:rPr>
              <w:t>ë</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2F58E5" w:rsidP="002F58E5">
            <w:pPr>
              <w:pStyle w:val="NoSpacing"/>
              <w:rPr>
                <w:rFonts w:asciiTheme="minorHAnsi" w:eastAsiaTheme="minorHAnsi" w:hAnsiTheme="minorHAnsi" w:cstheme="minorHAnsi"/>
                <w:lang w:val="sq-AL"/>
              </w:rPr>
            </w:pPr>
            <w:r w:rsidRPr="00EE67DF">
              <w:rPr>
                <w:rFonts w:asciiTheme="minorHAnsi" w:eastAsiaTheme="minorHAnsi" w:hAnsiTheme="minorHAnsi" w:cstheme="minorHAnsi"/>
                <w:lang w:val="sq-AL"/>
              </w:rPr>
              <w:t>2</w:t>
            </w:r>
            <w:r w:rsidR="000461EB" w:rsidRPr="00EE67DF">
              <w:rPr>
                <w:rFonts w:asciiTheme="minorHAnsi" w:eastAsiaTheme="minorHAnsi" w:hAnsiTheme="minorHAnsi" w:cstheme="minorHAnsi"/>
                <w:lang w:val="sq-AL"/>
              </w:rPr>
              <w:t>+</w:t>
            </w:r>
            <w:r w:rsidRPr="00EE67DF">
              <w:rPr>
                <w:rFonts w:asciiTheme="minorHAnsi" w:eastAsiaTheme="minorHAnsi" w:hAnsiTheme="minorHAnsi" w:cstheme="minorHAnsi"/>
                <w:lang w:val="sq-AL"/>
              </w:rPr>
              <w:t>2</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2F58E5" w:rsidP="00B56B1D">
            <w:pPr>
              <w:pStyle w:val="NoSpacing"/>
              <w:rPr>
                <w:rFonts w:asciiTheme="minorHAnsi" w:eastAsiaTheme="minorHAnsi" w:hAnsiTheme="minorHAnsi" w:cstheme="minorHAnsi"/>
                <w:lang w:val="sq-AL"/>
              </w:rPr>
            </w:pPr>
            <w:r w:rsidRPr="00EE67DF">
              <w:rPr>
                <w:rFonts w:asciiTheme="minorHAnsi" w:eastAsiaTheme="minorHAnsi" w:hAnsiTheme="minorHAnsi" w:cstheme="minorHAnsi"/>
                <w:lang w:val="sq-AL"/>
              </w:rPr>
              <w:t>4</w:t>
            </w:r>
            <w:r w:rsidR="000461EB" w:rsidRPr="00EE67DF">
              <w:rPr>
                <w:rFonts w:asciiTheme="minorHAnsi" w:eastAsiaTheme="minorHAnsi" w:hAnsiTheme="minorHAnsi" w:cstheme="minorHAnsi"/>
                <w:lang w:val="sq-AL"/>
              </w:rPr>
              <w:t xml:space="preserve"> ECTS</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2F58E5" w:rsidP="00B56B1D">
            <w:pPr>
              <w:pStyle w:val="NoSpacing"/>
              <w:rPr>
                <w:rFonts w:asciiTheme="minorHAnsi" w:eastAsiaTheme="minorHAnsi" w:hAnsiTheme="minorHAnsi" w:cstheme="minorHAnsi"/>
                <w:lang w:val="sq-AL"/>
              </w:rPr>
            </w:pPr>
            <w:r w:rsidRPr="00EE67DF">
              <w:rPr>
                <w:rFonts w:asciiTheme="minorHAnsi" w:hAnsiTheme="minorHAnsi" w:cstheme="minorHAnsi"/>
                <w:lang w:val="it-IT"/>
              </w:rPr>
              <w:t>Fakulteti i Mjekësisë</w:t>
            </w: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D95BDB" w:rsidP="00D95BDB">
            <w:pPr>
              <w:pStyle w:val="NoSpacing"/>
              <w:rPr>
                <w:rFonts w:asciiTheme="minorHAnsi" w:eastAsiaTheme="minorHAnsi" w:hAnsiTheme="minorHAnsi" w:cstheme="minorHAnsi"/>
                <w:lang w:val="sq-AL"/>
              </w:rPr>
            </w:pPr>
            <w:proofErr w:type="spellStart"/>
            <w:r w:rsidRPr="00EE67DF">
              <w:rPr>
                <w:rFonts w:asciiTheme="minorHAnsi" w:hAnsiTheme="minorHAnsi" w:cstheme="minorHAnsi"/>
              </w:rPr>
              <w:t>Prof.asoc.dr</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Merita</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Berisha</w:t>
            </w:r>
            <w:proofErr w:type="spellEnd"/>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rsidR="006E225D" w:rsidRPr="00EE67DF" w:rsidRDefault="00FB0095" w:rsidP="006E225D">
            <w:pPr>
              <w:pStyle w:val="NoSpacing"/>
              <w:rPr>
                <w:rFonts w:asciiTheme="minorHAnsi" w:hAnsiTheme="minorHAnsi" w:cstheme="minorHAnsi"/>
                <w:b/>
              </w:rPr>
            </w:pPr>
            <w:hyperlink r:id="rId5" w:history="1">
              <w:r w:rsidR="006E225D" w:rsidRPr="00EE67DF">
                <w:rPr>
                  <w:rStyle w:val="Hyperlink"/>
                  <w:rFonts w:asciiTheme="minorHAnsi" w:hAnsiTheme="minorHAnsi" w:cstheme="minorHAnsi"/>
                  <w:b/>
                </w:rPr>
                <w:t>merita.berisha@uni-pr.edu</w:t>
              </w:r>
            </w:hyperlink>
          </w:p>
          <w:p w:rsidR="006E225D" w:rsidRPr="00EE67DF" w:rsidRDefault="006E225D" w:rsidP="006E225D">
            <w:pPr>
              <w:pStyle w:val="NoSpacing"/>
              <w:rPr>
                <w:rFonts w:asciiTheme="minorHAnsi" w:hAnsiTheme="minorHAnsi" w:cstheme="minorHAnsi"/>
                <w:b/>
              </w:rPr>
            </w:pPr>
            <w:r w:rsidRPr="00EE67DF">
              <w:rPr>
                <w:rFonts w:asciiTheme="minorHAnsi" w:hAnsiTheme="minorHAnsi" w:cstheme="minorHAnsi"/>
                <w:b/>
              </w:rPr>
              <w:t>038 551 431 lok:1037</w:t>
            </w:r>
          </w:p>
          <w:p w:rsidR="000461EB" w:rsidRPr="00EE67DF" w:rsidRDefault="006E225D" w:rsidP="006E225D">
            <w:pPr>
              <w:pStyle w:val="NoSpacing"/>
              <w:rPr>
                <w:rFonts w:asciiTheme="minorHAnsi" w:eastAsiaTheme="minorHAnsi" w:hAnsiTheme="minorHAnsi" w:cstheme="minorHAnsi"/>
                <w:lang w:val="sq-AL"/>
              </w:rPr>
            </w:pPr>
            <w:r w:rsidRPr="00EE67DF">
              <w:rPr>
                <w:rFonts w:asciiTheme="minorHAnsi" w:hAnsiTheme="minorHAnsi" w:cstheme="minorHAnsi"/>
                <w:lang w:val="it-IT"/>
              </w:rPr>
              <w:t>Konsultimet: e Hëne në IKSHPK prej orës 8:00-9:00</w:t>
            </w:r>
          </w:p>
        </w:tc>
      </w:tr>
      <w:tr w:rsidR="000461EB" w:rsidRPr="00EE67DF" w:rsidTr="00B56B1D">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0461EB" w:rsidRPr="00EE67DF" w:rsidRDefault="000461EB" w:rsidP="00B56B1D">
            <w:pPr>
              <w:pStyle w:val="NoSpacing"/>
              <w:rPr>
                <w:rFonts w:asciiTheme="minorHAnsi" w:hAnsiTheme="minorHAnsi" w:cstheme="minorHAnsi"/>
                <w:lang w:val="sq-AL"/>
              </w:rPr>
            </w:pP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Përshkrimi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4D2DC3" w:rsidP="00B56B1D">
            <w:pPr>
              <w:pStyle w:val="NoSpacing"/>
              <w:spacing w:line="240" w:lineRule="exact"/>
              <w:rPr>
                <w:rFonts w:asciiTheme="minorHAnsi" w:hAnsiTheme="minorHAnsi" w:cstheme="minorHAnsi"/>
                <w:lang w:val="sq-AL"/>
              </w:rPr>
            </w:pPr>
            <w:r w:rsidRPr="00EE67DF">
              <w:rPr>
                <w:rFonts w:asciiTheme="minorHAnsi" w:hAnsiTheme="minorHAnsi" w:cstheme="minorHAnsi"/>
                <w:lang w:val="sq-AL"/>
              </w:rPr>
              <w:t>Ky modul njohton konceptet bazike të shëndetit  dhe mbrojtjes shëndetësore, zhvillimit të mbrojtjes shëndetësore në vendin tonë dhe në botë, metodologjinë e matjes së shëndetit</w:t>
            </w:r>
            <w:r w:rsidR="00347107">
              <w:rPr>
                <w:rFonts w:asciiTheme="minorHAnsi" w:hAnsiTheme="minorHAnsi" w:cstheme="minorHAnsi"/>
                <w:lang w:val="sq-AL"/>
              </w:rPr>
              <w:t>, masat e prevenc</w:t>
            </w:r>
            <w:r w:rsidR="00347107" w:rsidRPr="00EE67DF">
              <w:rPr>
                <w:rFonts w:asciiTheme="minorHAnsi" w:hAnsiTheme="minorHAnsi" w:cstheme="minorHAnsi"/>
                <w:lang w:val="sq-AL"/>
              </w:rPr>
              <w:t>ë</w:t>
            </w:r>
            <w:r w:rsidR="00347107">
              <w:rPr>
                <w:rFonts w:asciiTheme="minorHAnsi" w:hAnsiTheme="minorHAnsi" w:cstheme="minorHAnsi"/>
                <w:lang w:val="sq-AL"/>
              </w:rPr>
              <w:t>s</w:t>
            </w:r>
            <w:r w:rsidR="00A605E3">
              <w:rPr>
                <w:rFonts w:asciiTheme="minorHAnsi" w:hAnsiTheme="minorHAnsi" w:cstheme="minorHAnsi"/>
                <w:lang w:val="sq-AL"/>
              </w:rPr>
              <w:t xml:space="preserve">, </w:t>
            </w:r>
            <w:r w:rsidR="00A605E3" w:rsidRPr="00987DDD">
              <w:rPr>
                <w:lang w:val="sq-AL"/>
              </w:rPr>
              <w:t>strukturat dhe proceset e promovimit të shëndetit, parandalimit, diagnostikimit, terapisë kuruese, si dhe paliative, kujdesit dhe rehabilitimit nga sëmundjet akute në ato kronike</w:t>
            </w:r>
            <w:r w:rsidRPr="00EE67DF">
              <w:rPr>
                <w:rFonts w:asciiTheme="minorHAnsi" w:hAnsiTheme="minorHAnsi" w:cstheme="minorHAnsi"/>
                <w:lang w:val="sq-AL"/>
              </w:rPr>
              <w:t xml:space="preserve"> dhe faktorët më të rëndësishëm të cilët ndikojnë në shëndet, karakteristikat themelore të gjendjes shëndetësore të popullatës, pabarazite e gjendjes shendetesore, sëmundjet, gjendjet dhe grupacionet me rëndësi socialo mjekësore. Njohuri themelore për menaxhmentin në shëndetësi, sistemin e sigurimit shëndetësor dhe social, ekonomikën shëndetësore, sistemin e informimit shëndetësor, vendin dhe rolin e mjekësisë familjare në mbrojtjen shëndetësore të popullatës, promovimin dhe edukimin shëndetësor, bashkëpunimin ndërkombëtar në shëndetësi si dhe organizimin e mbrojtjes shëndetësore dhe shërbimit shëndetësor në rastet e jashtëzakonshme.</w:t>
            </w:r>
          </w:p>
          <w:p w:rsidR="000461EB" w:rsidRPr="00EE67DF" w:rsidRDefault="000461EB" w:rsidP="00B56B1D">
            <w:pPr>
              <w:pStyle w:val="NoSpacing"/>
              <w:spacing w:line="240" w:lineRule="exact"/>
              <w:rPr>
                <w:rFonts w:asciiTheme="minorHAnsi" w:hAnsiTheme="minorHAnsi" w:cstheme="minorHAnsi"/>
                <w:lang w:val="sq-AL"/>
              </w:rPr>
            </w:pPr>
          </w:p>
        </w:tc>
      </w:tr>
      <w:tr w:rsidR="000461EB" w:rsidRPr="00EE67DF" w:rsidTr="00B56B1D">
        <w:tc>
          <w:tcPr>
            <w:tcW w:w="3505"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0461EB" w:rsidRPr="00EE67DF" w:rsidRDefault="00BB0E8F" w:rsidP="00B56B1D">
            <w:pPr>
              <w:spacing w:after="0" w:line="240" w:lineRule="exact"/>
              <w:rPr>
                <w:rFonts w:cstheme="minorHAnsi"/>
                <w:sz w:val="24"/>
                <w:szCs w:val="24"/>
              </w:rPr>
            </w:pPr>
            <w:r w:rsidRPr="00EE67DF">
              <w:rPr>
                <w:rFonts w:cstheme="minorHAnsi"/>
                <w:sz w:val="24"/>
                <w:szCs w:val="24"/>
              </w:rPr>
              <w:t>Detyrat themelore të mësimit nga mjekësia sociale, lëndë që përmes teorisë dhe praktikës mundëson t’i njohtoj studentët me aspektet socialo mjekësore të shëndetit të individit dhe bashkësisë të cilët jetojnë në kushte të caktuara të rrethit të ndikuar nga faktorët socialo ekonomik, biologjik dhe fizik</w:t>
            </w:r>
            <w:r w:rsidR="000648C4">
              <w:rPr>
                <w:rFonts w:cstheme="minorHAnsi"/>
                <w:sz w:val="24"/>
                <w:szCs w:val="24"/>
              </w:rPr>
              <w:t>, metoden socialo mjekesore</w:t>
            </w:r>
            <w:r w:rsidRPr="00EE67DF">
              <w:rPr>
                <w:rFonts w:cstheme="minorHAnsi"/>
                <w:sz w:val="24"/>
                <w:szCs w:val="24"/>
              </w:rPr>
              <w:t xml:space="preserve"> </w:t>
            </w:r>
            <w:r w:rsidR="000648C4">
              <w:rPr>
                <w:rFonts w:cstheme="minorHAnsi"/>
                <w:sz w:val="24"/>
                <w:szCs w:val="24"/>
              </w:rPr>
              <w:t>me masat e prevences, primare, sekondare e terciare</w:t>
            </w:r>
            <w:r w:rsidR="000648C4" w:rsidRPr="00EE67DF">
              <w:rPr>
                <w:rFonts w:cstheme="minorHAnsi"/>
                <w:sz w:val="24"/>
                <w:szCs w:val="24"/>
              </w:rPr>
              <w:t xml:space="preserve"> </w:t>
            </w:r>
            <w:r w:rsidRPr="00EE67DF">
              <w:rPr>
                <w:rFonts w:cstheme="minorHAnsi"/>
                <w:sz w:val="24"/>
                <w:szCs w:val="24"/>
              </w:rPr>
              <w:t xml:space="preserve">si dhe organizimin e mbrojtjes </w:t>
            </w:r>
            <w:r w:rsidR="00083F29">
              <w:rPr>
                <w:rFonts w:cstheme="minorHAnsi"/>
                <w:sz w:val="24"/>
                <w:szCs w:val="24"/>
              </w:rPr>
              <w:t>dhe sistemit shendetesor</w:t>
            </w:r>
            <w:r w:rsidRPr="00EE67DF">
              <w:rPr>
                <w:rFonts w:cstheme="minorHAnsi"/>
                <w:sz w:val="24"/>
                <w:szCs w:val="24"/>
              </w:rPr>
              <w:t>.</w:t>
            </w:r>
          </w:p>
          <w:p w:rsidR="000461EB" w:rsidRPr="00EE67DF" w:rsidRDefault="000461EB" w:rsidP="00B56B1D">
            <w:pPr>
              <w:spacing w:after="0" w:line="240" w:lineRule="exact"/>
              <w:rPr>
                <w:rFonts w:cstheme="minorHAnsi"/>
                <w:i/>
                <w:sz w:val="24"/>
                <w:szCs w:val="24"/>
              </w:rPr>
            </w:pPr>
          </w:p>
        </w:tc>
      </w:tr>
      <w:tr w:rsidR="000461EB" w:rsidRPr="00EE67DF" w:rsidTr="00B56B1D">
        <w:tc>
          <w:tcPr>
            <w:tcW w:w="3505" w:type="dxa"/>
            <w:tcBorders>
              <w:top w:val="single" w:sz="4" w:space="0" w:color="000000"/>
              <w:left w:val="single" w:sz="4" w:space="0" w:color="000000"/>
              <w:bottom w:val="single" w:sz="4" w:space="0" w:color="FFFFFF" w:themeColor="background1"/>
              <w:right w:val="single" w:sz="4" w:space="0" w:color="000000"/>
            </w:tcBorders>
          </w:tcPr>
          <w:p w:rsidR="000461EB" w:rsidRPr="00EE67DF" w:rsidRDefault="000461EB" w:rsidP="00B56B1D">
            <w:pPr>
              <w:pStyle w:val="NoSpacing"/>
              <w:rPr>
                <w:rFonts w:asciiTheme="minorHAnsi" w:hAnsiTheme="minorHAnsi" w:cstheme="minorHAnsi"/>
                <w:b/>
                <w:lang w:val="sq-AL"/>
              </w:rPr>
            </w:pPr>
            <w:r w:rsidRPr="00EE67DF">
              <w:rPr>
                <w:rFonts w:asciiTheme="minorHAnsi" w:hAnsiTheme="minorHAnsi" w:cstheme="minorHAnsi"/>
                <w:b/>
                <w:lang w:val="sq-AL"/>
              </w:rPr>
              <w:lastRenderedPageBreak/>
              <w:t>Rezultatet e pritshme të nxënies: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4D55BA" w:rsidRPr="00EE67DF" w:rsidRDefault="004D55BA" w:rsidP="004D55BA">
            <w:pPr>
              <w:rPr>
                <w:rFonts w:cstheme="minorHAnsi"/>
                <w:sz w:val="24"/>
                <w:szCs w:val="24"/>
              </w:rPr>
            </w:pPr>
            <w:r w:rsidRPr="00EE67DF">
              <w:rPr>
                <w:rFonts w:cstheme="minorHAnsi"/>
                <w:sz w:val="24"/>
                <w:szCs w:val="24"/>
              </w:rPr>
              <w:t>Pas përfundimit të këtij moduli studenti do të jetë në gjendje që:</w:t>
            </w:r>
          </w:p>
          <w:p w:rsidR="00256F92" w:rsidRPr="00256F92" w:rsidRDefault="00256F92" w:rsidP="004D55BA">
            <w:pPr>
              <w:numPr>
                <w:ilvl w:val="0"/>
                <w:numId w:val="1"/>
              </w:numPr>
              <w:spacing w:after="0" w:line="240" w:lineRule="auto"/>
              <w:rPr>
                <w:rFonts w:cstheme="minorHAnsi"/>
                <w:color w:val="000000"/>
                <w:sz w:val="24"/>
                <w:szCs w:val="24"/>
              </w:rPr>
            </w:pPr>
            <w:r>
              <w:rPr>
                <w:rFonts w:ascii="Times New Roman" w:hAnsi="Times New Roman" w:cs="Times New Roman"/>
                <w:color w:val="000000"/>
                <w:sz w:val="24"/>
                <w:szCs w:val="24"/>
              </w:rPr>
              <w:t>t</w:t>
            </w:r>
            <w:r w:rsidRPr="00215C04">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kuptoj</w:t>
            </w:r>
            <w:r w:rsidRPr="00215C04">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sh</w:t>
            </w:r>
            <w:r w:rsidR="004D2D97" w:rsidRPr="00215C04">
              <w:rPr>
                <w:rFonts w:ascii="Times New Roman" w:hAnsi="Times New Roman" w:cs="Times New Roman"/>
                <w:color w:val="000000"/>
                <w:sz w:val="24"/>
                <w:szCs w:val="24"/>
              </w:rPr>
              <w:t>ë</w:t>
            </w:r>
            <w:r w:rsidRPr="00215C04">
              <w:rPr>
                <w:rFonts w:ascii="Times New Roman" w:hAnsi="Times New Roman" w:cs="Times New Roman"/>
                <w:color w:val="000000"/>
                <w:sz w:val="24"/>
                <w:szCs w:val="24"/>
              </w:rPr>
              <w:t>nd</w:t>
            </w:r>
            <w:r>
              <w:rPr>
                <w:rFonts w:ascii="Times New Roman" w:hAnsi="Times New Roman" w:cs="Times New Roman"/>
                <w:color w:val="000000"/>
                <w:sz w:val="24"/>
                <w:szCs w:val="24"/>
              </w:rPr>
              <w:t>etin, s</w:t>
            </w:r>
            <w:r w:rsidRPr="00215C04">
              <w:rPr>
                <w:rFonts w:ascii="Times New Roman" w:hAnsi="Times New Roman" w:cs="Times New Roman"/>
                <w:color w:val="000000"/>
                <w:sz w:val="24"/>
                <w:szCs w:val="24"/>
              </w:rPr>
              <w:t>ë</w:t>
            </w:r>
            <w:r>
              <w:rPr>
                <w:rFonts w:ascii="Times New Roman" w:hAnsi="Times New Roman" w:cs="Times New Roman"/>
                <w:color w:val="000000"/>
                <w:sz w:val="24"/>
                <w:szCs w:val="24"/>
              </w:rPr>
              <w:t>mundjen dhe modalitetet e s</w:t>
            </w:r>
            <w:r w:rsidRPr="00215C04">
              <w:rPr>
                <w:rFonts w:ascii="Times New Roman" w:hAnsi="Times New Roman" w:cs="Times New Roman"/>
                <w:color w:val="000000"/>
                <w:sz w:val="24"/>
                <w:szCs w:val="24"/>
              </w:rPr>
              <w:t>ë</w:t>
            </w:r>
            <w:r>
              <w:rPr>
                <w:rFonts w:ascii="Times New Roman" w:hAnsi="Times New Roman" w:cs="Times New Roman"/>
                <w:color w:val="000000"/>
                <w:sz w:val="24"/>
                <w:szCs w:val="24"/>
              </w:rPr>
              <w:t>mundjes, nd</w:t>
            </w:r>
            <w:r w:rsidRPr="00215C04">
              <w:rPr>
                <w:rFonts w:ascii="Times New Roman" w:hAnsi="Times New Roman" w:cs="Times New Roman"/>
                <w:color w:val="000000"/>
                <w:sz w:val="24"/>
                <w:szCs w:val="24"/>
              </w:rPr>
              <w:t>ërveprimi</w:t>
            </w:r>
            <w:r>
              <w:rPr>
                <w:rFonts w:ascii="Times New Roman" w:hAnsi="Times New Roman" w:cs="Times New Roman"/>
                <w:color w:val="000000"/>
                <w:sz w:val="24"/>
                <w:szCs w:val="24"/>
              </w:rPr>
              <w:t>n</w:t>
            </w:r>
            <w:r w:rsidRPr="00215C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215C04">
              <w:rPr>
                <w:rFonts w:ascii="Times New Roman" w:hAnsi="Times New Roman" w:cs="Times New Roman"/>
                <w:color w:val="000000"/>
                <w:sz w:val="24"/>
                <w:szCs w:val="24"/>
              </w:rPr>
              <w:t xml:space="preserve"> individit me shoqërinë dhe mjedisin</w:t>
            </w:r>
            <w:r w:rsidRPr="00EE67DF">
              <w:rPr>
                <w:rFonts w:cstheme="minorHAnsi"/>
                <w:sz w:val="24"/>
                <w:szCs w:val="24"/>
              </w:rPr>
              <w:t xml:space="preserve"> </w:t>
            </w:r>
          </w:p>
          <w:p w:rsidR="004D55BA" w:rsidRPr="00EE67DF" w:rsidRDefault="004D55BA" w:rsidP="004D55BA">
            <w:pPr>
              <w:numPr>
                <w:ilvl w:val="0"/>
                <w:numId w:val="1"/>
              </w:numPr>
              <w:spacing w:after="0" w:line="240" w:lineRule="auto"/>
              <w:rPr>
                <w:rFonts w:cstheme="minorHAnsi"/>
                <w:color w:val="000000"/>
                <w:sz w:val="24"/>
                <w:szCs w:val="24"/>
              </w:rPr>
            </w:pPr>
            <w:r w:rsidRPr="00EE67DF">
              <w:rPr>
                <w:rFonts w:cstheme="minorHAnsi"/>
                <w:sz w:val="24"/>
                <w:szCs w:val="24"/>
              </w:rPr>
              <w:t>t</w:t>
            </w:r>
            <w:r w:rsidR="00083F29" w:rsidRPr="00EE67DF">
              <w:rPr>
                <w:rFonts w:cstheme="minorHAnsi"/>
                <w:sz w:val="24"/>
                <w:szCs w:val="24"/>
              </w:rPr>
              <w:t>ë</w:t>
            </w:r>
            <w:r w:rsidRPr="00EE67DF">
              <w:rPr>
                <w:rFonts w:cstheme="minorHAnsi"/>
                <w:sz w:val="24"/>
                <w:szCs w:val="24"/>
              </w:rPr>
              <w:t xml:space="preserve"> vlerësojë dhe krahasojë gjendjen shëndetësore të popullatës dhe </w:t>
            </w:r>
            <w:r w:rsidRPr="00EE67DF">
              <w:rPr>
                <w:rFonts w:cstheme="minorHAnsi"/>
                <w:color w:val="000000"/>
                <w:sz w:val="24"/>
                <w:szCs w:val="24"/>
              </w:rPr>
              <w:t xml:space="preserve">faktorët që ndikojnë në te </w:t>
            </w:r>
            <w:r w:rsidRPr="00EE67DF">
              <w:rPr>
                <w:rFonts w:cstheme="minorHAnsi"/>
                <w:sz w:val="24"/>
                <w:szCs w:val="24"/>
              </w:rPr>
              <w:t>përmes indikatorëve të shëndetit</w:t>
            </w:r>
            <w:r w:rsidRPr="00EE67DF">
              <w:rPr>
                <w:rFonts w:cstheme="minorHAnsi"/>
                <w:color w:val="000000"/>
                <w:sz w:val="24"/>
                <w:szCs w:val="24"/>
              </w:rPr>
              <w:t xml:space="preserve">; </w:t>
            </w:r>
          </w:p>
          <w:p w:rsidR="004D55BA" w:rsidRPr="00EE67DF" w:rsidRDefault="004D55BA" w:rsidP="004D55BA">
            <w:pPr>
              <w:numPr>
                <w:ilvl w:val="0"/>
                <w:numId w:val="1"/>
              </w:numPr>
              <w:spacing w:after="0" w:line="240" w:lineRule="auto"/>
              <w:rPr>
                <w:rFonts w:cstheme="minorHAnsi"/>
                <w:sz w:val="24"/>
                <w:szCs w:val="24"/>
              </w:rPr>
            </w:pPr>
            <w:r w:rsidRPr="00EE67DF">
              <w:rPr>
                <w:rFonts w:cstheme="minorHAnsi"/>
                <w:sz w:val="24"/>
                <w:szCs w:val="24"/>
              </w:rPr>
              <w:t>t’i identifikojë problemet prioritare dhe të propozojë masat për përmirësimin e gjendjes shëndetësore;</w:t>
            </w:r>
          </w:p>
          <w:p w:rsidR="004D55BA" w:rsidRPr="00EE67DF" w:rsidRDefault="004D55BA" w:rsidP="004D55BA">
            <w:pPr>
              <w:numPr>
                <w:ilvl w:val="0"/>
                <w:numId w:val="1"/>
              </w:numPr>
              <w:spacing w:after="0" w:line="240" w:lineRule="auto"/>
              <w:rPr>
                <w:rFonts w:cstheme="minorHAnsi"/>
                <w:sz w:val="24"/>
                <w:szCs w:val="24"/>
              </w:rPr>
            </w:pPr>
            <w:r w:rsidRPr="00EE67DF">
              <w:rPr>
                <w:rFonts w:cstheme="minorHAnsi"/>
                <w:sz w:val="24"/>
                <w:szCs w:val="24"/>
              </w:rPr>
              <w:t>të formoj mendimin i cili do t’i mundësoj që në punën e tij të ardhshme ta vështroj bashkësinë si tërësi;</w:t>
            </w:r>
          </w:p>
          <w:p w:rsidR="004D55BA" w:rsidRDefault="004D55BA" w:rsidP="004D55BA">
            <w:pPr>
              <w:numPr>
                <w:ilvl w:val="0"/>
                <w:numId w:val="1"/>
              </w:numPr>
              <w:spacing w:after="0" w:line="240" w:lineRule="auto"/>
              <w:rPr>
                <w:rFonts w:cstheme="minorHAnsi"/>
                <w:sz w:val="24"/>
                <w:szCs w:val="24"/>
              </w:rPr>
            </w:pPr>
            <w:r w:rsidRPr="00EE67DF">
              <w:rPr>
                <w:rFonts w:cstheme="minorHAnsi"/>
                <w:sz w:val="24"/>
                <w:szCs w:val="24"/>
              </w:rPr>
              <w:t>të kontribuojë në drejtim të ruajtjes dhe përparimit të shëndetit</w:t>
            </w:r>
            <w:r w:rsidR="0026253A">
              <w:rPr>
                <w:rFonts w:cstheme="minorHAnsi"/>
                <w:sz w:val="24"/>
                <w:szCs w:val="24"/>
              </w:rPr>
              <w:t xml:space="preserve"> dhe </w:t>
            </w:r>
            <w:r w:rsidR="00C409D0">
              <w:rPr>
                <w:rFonts w:cstheme="minorHAnsi"/>
                <w:sz w:val="24"/>
                <w:szCs w:val="24"/>
              </w:rPr>
              <w:t xml:space="preserve">me sjelljen e vet </w:t>
            </w:r>
            <w:r w:rsidR="0026253A">
              <w:rPr>
                <w:rFonts w:cstheme="minorHAnsi"/>
                <w:sz w:val="24"/>
                <w:szCs w:val="24"/>
              </w:rPr>
              <w:t>t</w:t>
            </w:r>
            <w:r w:rsidR="0026253A" w:rsidRPr="00EE67DF">
              <w:rPr>
                <w:rFonts w:cstheme="minorHAnsi"/>
                <w:sz w:val="24"/>
                <w:szCs w:val="24"/>
              </w:rPr>
              <w:t>ë</w:t>
            </w:r>
            <w:r w:rsidR="0026253A">
              <w:rPr>
                <w:rFonts w:cstheme="minorHAnsi"/>
                <w:sz w:val="24"/>
                <w:szCs w:val="24"/>
              </w:rPr>
              <w:t xml:space="preserve"> </w:t>
            </w:r>
            <w:r w:rsidR="00C409D0">
              <w:rPr>
                <w:rFonts w:cstheme="minorHAnsi"/>
                <w:sz w:val="24"/>
                <w:szCs w:val="24"/>
              </w:rPr>
              <w:t>sh</w:t>
            </w:r>
            <w:r w:rsidR="00C409D0" w:rsidRPr="00EE67DF">
              <w:rPr>
                <w:rFonts w:cstheme="minorHAnsi"/>
                <w:sz w:val="24"/>
                <w:szCs w:val="24"/>
              </w:rPr>
              <w:t>ë</w:t>
            </w:r>
            <w:r w:rsidR="00C409D0">
              <w:rPr>
                <w:rFonts w:cstheme="minorHAnsi"/>
                <w:sz w:val="24"/>
                <w:szCs w:val="24"/>
              </w:rPr>
              <w:t>rbej</w:t>
            </w:r>
            <w:r w:rsidR="00C409D0" w:rsidRPr="00EE67DF">
              <w:rPr>
                <w:rFonts w:cstheme="minorHAnsi"/>
                <w:sz w:val="24"/>
                <w:szCs w:val="24"/>
              </w:rPr>
              <w:t>ë</w:t>
            </w:r>
            <w:r w:rsidR="00C409D0">
              <w:rPr>
                <w:rFonts w:cstheme="minorHAnsi"/>
                <w:sz w:val="24"/>
                <w:szCs w:val="24"/>
              </w:rPr>
              <w:t xml:space="preserve"> si shembull</w:t>
            </w:r>
            <w:r w:rsidRPr="00EE67DF">
              <w:rPr>
                <w:rFonts w:cstheme="minorHAnsi"/>
                <w:sz w:val="24"/>
                <w:szCs w:val="24"/>
              </w:rPr>
              <w:t>;</w:t>
            </w:r>
          </w:p>
          <w:p w:rsidR="00CB0F68" w:rsidRPr="00BC243B" w:rsidRDefault="00CB0F68" w:rsidP="00CB0F6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C243B">
              <w:rPr>
                <w:rFonts w:ascii="Times New Roman" w:hAnsi="Times New Roman" w:cs="Times New Roman"/>
                <w:sz w:val="24"/>
                <w:szCs w:val="24"/>
              </w:rPr>
              <w:t>ë</w:t>
            </w:r>
            <w:r>
              <w:rPr>
                <w:rFonts w:ascii="Times New Roman" w:hAnsi="Times New Roman" w:cs="Times New Roman"/>
                <w:sz w:val="24"/>
                <w:szCs w:val="24"/>
              </w:rPr>
              <w:t xml:space="preserve"> gjej</w:t>
            </w:r>
            <w:r w:rsidRPr="00BC243B">
              <w:rPr>
                <w:rFonts w:ascii="Times New Roman" w:hAnsi="Times New Roman" w:cs="Times New Roman"/>
                <w:sz w:val="24"/>
                <w:szCs w:val="24"/>
              </w:rPr>
              <w:t>ë</w:t>
            </w:r>
            <w:r w:rsidRPr="000C19E4">
              <w:rPr>
                <w:rFonts w:ascii="Times New Roman" w:eastAsia="Times New Roman" w:hAnsi="Times New Roman" w:cs="Times New Roman"/>
                <w:sz w:val="24"/>
                <w:szCs w:val="24"/>
              </w:rPr>
              <w:t xml:space="preserve"> informacionin përkatës, lidh</w:t>
            </w:r>
            <w:r w:rsidRPr="00BC243B">
              <w:rPr>
                <w:rFonts w:ascii="Times New Roman" w:hAnsi="Times New Roman" w:cs="Times New Roman"/>
                <w:sz w:val="24"/>
                <w:szCs w:val="24"/>
              </w:rPr>
              <w:t>ë</w:t>
            </w:r>
            <w:r w:rsidRPr="000C19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w:t>
            </w:r>
            <w:r w:rsidRPr="00BC243B">
              <w:rPr>
                <w:rFonts w:ascii="Times New Roman" w:hAnsi="Times New Roman" w:cs="Times New Roman"/>
                <w:sz w:val="24"/>
                <w:szCs w:val="24"/>
              </w:rPr>
              <w:t>ë</w:t>
            </w:r>
            <w:r>
              <w:rPr>
                <w:rFonts w:ascii="Times New Roman" w:hAnsi="Times New Roman" w:cs="Times New Roman"/>
                <w:sz w:val="24"/>
                <w:szCs w:val="24"/>
              </w:rPr>
              <w:t xml:space="preserve"> </w:t>
            </w:r>
            <w:r w:rsidRPr="000C19E4">
              <w:rPr>
                <w:rFonts w:ascii="Times New Roman" w:eastAsia="Times New Roman" w:hAnsi="Times New Roman" w:cs="Times New Roman"/>
                <w:sz w:val="24"/>
                <w:szCs w:val="24"/>
              </w:rPr>
              <w:t>me njohuritë nga fushat e tjera dhe zbaton në mënyrë krijuese këtë për të zgjidhur problemet</w:t>
            </w:r>
          </w:p>
          <w:p w:rsidR="000461EB" w:rsidRPr="00EE67DF" w:rsidRDefault="004D55BA" w:rsidP="004D55BA">
            <w:pPr>
              <w:numPr>
                <w:ilvl w:val="0"/>
                <w:numId w:val="1"/>
              </w:numPr>
              <w:spacing w:after="0" w:line="240" w:lineRule="auto"/>
              <w:rPr>
                <w:rFonts w:cstheme="minorHAnsi"/>
                <w:sz w:val="24"/>
                <w:szCs w:val="24"/>
              </w:rPr>
            </w:pPr>
            <w:r w:rsidRPr="00EE67DF">
              <w:rPr>
                <w:rFonts w:cstheme="minorHAnsi"/>
                <w:sz w:val="24"/>
                <w:szCs w:val="24"/>
              </w:rPr>
              <w:t>të kuptojë nevojën e qasjes multidisciplinare dhe punës në ekip.</w:t>
            </w:r>
            <w:r w:rsidR="000461EB" w:rsidRPr="00EE67DF">
              <w:rPr>
                <w:rFonts w:cstheme="minorHAnsi"/>
                <w:sz w:val="24"/>
                <w:szCs w:val="24"/>
              </w:rPr>
              <w:t xml:space="preserve"> </w:t>
            </w:r>
          </w:p>
          <w:p w:rsidR="000461EB" w:rsidRPr="00EE67DF" w:rsidRDefault="000461EB" w:rsidP="00B56B1D">
            <w:pPr>
              <w:spacing w:after="0" w:line="240" w:lineRule="exact"/>
              <w:rPr>
                <w:rFonts w:cstheme="minorHAnsi"/>
                <w:i/>
                <w:sz w:val="24"/>
                <w:szCs w:val="24"/>
              </w:rPr>
            </w:pPr>
          </w:p>
        </w:tc>
      </w:tr>
      <w:tr w:rsidR="000461EB" w:rsidRPr="00EE67DF" w:rsidTr="00B56B1D">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pStyle w:val="NoSpacing"/>
              <w:rPr>
                <w:rFonts w:asciiTheme="minorHAnsi" w:hAnsiTheme="minorHAnsi" w:cstheme="minorHAnsi"/>
                <w:i/>
                <w:lang w:val="sq-AL"/>
              </w:rPr>
            </w:pPr>
          </w:p>
        </w:tc>
      </w:tr>
      <w:tr w:rsidR="000461EB" w:rsidRPr="00EE67DF" w:rsidTr="00B56B1D">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pStyle w:val="NoSpacing"/>
              <w:jc w:val="center"/>
              <w:rPr>
                <w:rFonts w:asciiTheme="minorHAnsi" w:hAnsiTheme="minorHAnsi" w:cstheme="minorHAnsi"/>
                <w:b/>
                <w:lang w:val="sq-AL"/>
              </w:rPr>
            </w:pPr>
            <w:r w:rsidRPr="00EE67DF">
              <w:rPr>
                <w:rFonts w:asciiTheme="minorHAnsi" w:hAnsiTheme="minorHAnsi" w:cstheme="minorHAnsi"/>
                <w:b/>
                <w:lang w:val="sq-AL"/>
              </w:rPr>
              <w:t>Obligimet e studentit (duhet të jetë në përputhje me Rezultatet e Nxënies të studentit)</w:t>
            </w:r>
          </w:p>
        </w:tc>
      </w:tr>
      <w:tr w:rsidR="000461EB" w:rsidRPr="00EE67DF" w:rsidTr="00B56B1D">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t>Gjithsej</w:t>
            </w:r>
          </w:p>
        </w:tc>
      </w:tr>
      <w:tr w:rsidR="00666C69" w:rsidRPr="00EE67DF" w:rsidTr="00B56B1D">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1/15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30</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1/14</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28</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4C2281" w:rsidP="00666C69">
            <w:pPr>
              <w:jc w:val="both"/>
              <w:rPr>
                <w:rFonts w:cstheme="minorHAnsi"/>
                <w:color w:val="000000"/>
                <w:sz w:val="24"/>
                <w:szCs w:val="24"/>
              </w:rPr>
            </w:pPr>
            <w:r>
              <w:rPr>
                <w:rFonts w:cstheme="minorHAnsi"/>
                <w:color w:val="000000"/>
                <w:sz w:val="24"/>
                <w:szCs w:val="24"/>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DA214E" w:rsidP="00DA214E">
            <w:pPr>
              <w:jc w:val="both"/>
              <w:rPr>
                <w:rFonts w:cstheme="minorHAnsi"/>
                <w:color w:val="000000"/>
                <w:sz w:val="24"/>
                <w:szCs w:val="24"/>
              </w:rPr>
            </w:pPr>
            <w:r w:rsidRPr="00EE67DF">
              <w:rPr>
                <w:rFonts w:cstheme="minorHAnsi"/>
                <w:color w:val="000000"/>
                <w:sz w:val="24"/>
                <w:szCs w:val="24"/>
              </w:rPr>
              <w:t>1/1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DA214E" w:rsidP="00666C69">
            <w:pPr>
              <w:jc w:val="both"/>
              <w:rPr>
                <w:rFonts w:cstheme="minorHAnsi"/>
                <w:color w:val="000000"/>
                <w:sz w:val="24"/>
                <w:szCs w:val="24"/>
              </w:rPr>
            </w:pPr>
            <w:r>
              <w:rPr>
                <w:rFonts w:cstheme="minorHAnsi"/>
                <w:color w:val="000000"/>
                <w:sz w:val="24"/>
                <w:szCs w:val="24"/>
              </w:rPr>
              <w:t>1</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4</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½</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1B6971" w:rsidP="00666C69">
            <w:pPr>
              <w:jc w:val="both"/>
              <w:rPr>
                <w:rFonts w:cstheme="minorHAnsi"/>
                <w:color w:val="000000"/>
                <w:sz w:val="24"/>
                <w:szCs w:val="24"/>
              </w:rPr>
            </w:pPr>
            <w:r>
              <w:rPr>
                <w:rFonts w:cstheme="minorHAnsi"/>
                <w:color w:val="000000"/>
                <w:sz w:val="24"/>
                <w:szCs w:val="24"/>
              </w:rPr>
              <w:t>1</w:t>
            </w:r>
            <w:r w:rsidR="00666C69" w:rsidRPr="00EE67DF">
              <w:rPr>
                <w:rFonts w:cstheme="minorHAnsi"/>
                <w:color w:val="000000"/>
                <w:sz w:val="24"/>
                <w:szCs w:val="24"/>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20</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10</w:t>
            </w:r>
          </w:p>
        </w:tc>
      </w:tr>
      <w:tr w:rsidR="00666C69" w:rsidRPr="00EE67DF" w:rsidTr="00B56B1D">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3</w:t>
            </w:r>
          </w:p>
        </w:tc>
      </w:tr>
      <w:tr w:rsidR="00666C69" w:rsidRPr="00EE67DF" w:rsidTr="00B56B1D">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666C69" w:rsidRPr="00EE67DF" w:rsidRDefault="00666C69" w:rsidP="00666C69">
            <w:pPr>
              <w:spacing w:after="0" w:line="240" w:lineRule="exact"/>
              <w:rPr>
                <w:rFonts w:cstheme="minorHAnsi"/>
                <w:sz w:val="24"/>
                <w:szCs w:val="24"/>
              </w:rPr>
            </w:pPr>
            <w:r w:rsidRPr="00EE67DF">
              <w:rPr>
                <w:rFonts w:cstheme="minorHAnsi"/>
                <w:sz w:val="24"/>
                <w:szCs w:val="24"/>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666C69" w:rsidRPr="00EE67DF" w:rsidRDefault="00666C69" w:rsidP="00666C69">
            <w:pPr>
              <w:jc w:val="both"/>
              <w:rPr>
                <w:rFonts w:cstheme="minorHAnsi"/>
                <w:color w:val="000000"/>
                <w:sz w:val="24"/>
                <w:szCs w:val="24"/>
              </w:rPr>
            </w:pPr>
            <w:r w:rsidRPr="00EE67DF">
              <w:rPr>
                <w:rFonts w:cstheme="minorHAnsi"/>
                <w:color w:val="000000"/>
                <w:sz w:val="24"/>
                <w:szCs w:val="24"/>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666C69" w:rsidRPr="00EE67DF" w:rsidRDefault="00DA214E" w:rsidP="00666C69">
            <w:pPr>
              <w:jc w:val="both"/>
              <w:rPr>
                <w:rFonts w:cstheme="minorHAnsi"/>
                <w:color w:val="000000"/>
                <w:sz w:val="24"/>
                <w:szCs w:val="24"/>
              </w:rPr>
            </w:pPr>
            <w:r>
              <w:rPr>
                <w:rFonts w:cstheme="minorHAnsi"/>
                <w:color w:val="000000"/>
                <w:sz w:val="24"/>
                <w:szCs w:val="24"/>
              </w:rPr>
              <w:t>2</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666C69" w:rsidRPr="00EE67DF" w:rsidRDefault="00DA214E" w:rsidP="00666C69">
            <w:pPr>
              <w:jc w:val="both"/>
              <w:rPr>
                <w:rFonts w:cstheme="minorHAnsi"/>
                <w:color w:val="000000"/>
                <w:sz w:val="24"/>
                <w:szCs w:val="24"/>
              </w:rPr>
            </w:pPr>
            <w:r>
              <w:rPr>
                <w:rFonts w:cstheme="minorHAnsi"/>
                <w:color w:val="000000"/>
                <w:sz w:val="24"/>
                <w:szCs w:val="24"/>
              </w:rPr>
              <w:t>2</w:t>
            </w:r>
          </w:p>
        </w:tc>
      </w:tr>
      <w:tr w:rsidR="00666C69" w:rsidRPr="00EE67DF" w:rsidTr="00B56B1D">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66C69" w:rsidRPr="00EE67DF" w:rsidRDefault="00666C69" w:rsidP="00666C69">
            <w:pPr>
              <w:spacing w:after="0" w:line="240" w:lineRule="exact"/>
              <w:rPr>
                <w:rFonts w:cstheme="minorHAnsi"/>
                <w:b/>
                <w:sz w:val="24"/>
                <w:szCs w:val="24"/>
              </w:rPr>
            </w:pPr>
            <w:r w:rsidRPr="00EE67DF">
              <w:rPr>
                <w:rFonts w:cstheme="minorHAnsi"/>
                <w:b/>
                <w:sz w:val="24"/>
                <w:szCs w:val="24"/>
              </w:rPr>
              <w:lastRenderedPageBreak/>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66C69" w:rsidRPr="00EE67DF" w:rsidRDefault="00666C69" w:rsidP="00666C69">
            <w:pPr>
              <w:spacing w:after="0" w:line="240" w:lineRule="exact"/>
              <w:rPr>
                <w:rFonts w:cstheme="minorHAnsi"/>
                <w:b/>
                <w:sz w:val="24"/>
                <w:szCs w:val="24"/>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66C69" w:rsidRPr="00EE67DF" w:rsidRDefault="00666C69" w:rsidP="00666C69">
            <w:pPr>
              <w:spacing w:after="0" w:line="240" w:lineRule="exact"/>
              <w:rPr>
                <w:rFonts w:cstheme="minorHAnsi"/>
                <w:b/>
                <w:sz w:val="24"/>
                <w:szCs w:val="24"/>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66C69" w:rsidRPr="00EE67DF" w:rsidRDefault="00040425" w:rsidP="00666C69">
            <w:pPr>
              <w:spacing w:after="0" w:line="240" w:lineRule="exact"/>
              <w:jc w:val="center"/>
              <w:rPr>
                <w:rFonts w:cstheme="minorHAnsi"/>
                <w:b/>
                <w:sz w:val="24"/>
                <w:szCs w:val="24"/>
              </w:rPr>
            </w:pPr>
            <w:r w:rsidRPr="00EE67DF">
              <w:rPr>
                <w:rFonts w:cstheme="minorHAnsi"/>
                <w:b/>
                <w:sz w:val="24"/>
                <w:szCs w:val="24"/>
              </w:rPr>
              <w:t>100</w:t>
            </w:r>
          </w:p>
        </w:tc>
      </w:tr>
      <w:tr w:rsidR="00666C69" w:rsidRPr="00EE67DF" w:rsidTr="00B56B1D">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66C69" w:rsidRPr="00EE67DF" w:rsidRDefault="00666C69" w:rsidP="00666C69">
            <w:pPr>
              <w:spacing w:after="0"/>
              <w:rPr>
                <w:rFonts w:cstheme="minorHAnsi"/>
                <w:b/>
                <w:sz w:val="24"/>
                <w:szCs w:val="24"/>
              </w:rPr>
            </w:pPr>
          </w:p>
        </w:tc>
      </w:tr>
      <w:tr w:rsidR="00666C69" w:rsidRPr="00EE67DF" w:rsidTr="00B56B1D">
        <w:tc>
          <w:tcPr>
            <w:tcW w:w="3505" w:type="dxa"/>
            <w:tcBorders>
              <w:top w:val="single" w:sz="4" w:space="0" w:color="FFFFFF" w:themeColor="background1"/>
              <w:left w:val="single" w:sz="4" w:space="0" w:color="000000"/>
              <w:bottom w:val="single" w:sz="4" w:space="0" w:color="000000"/>
              <w:right w:val="single" w:sz="4" w:space="0" w:color="000000"/>
            </w:tcBorders>
          </w:tcPr>
          <w:p w:rsidR="00666C69" w:rsidRPr="00EE67DF" w:rsidRDefault="00666C69" w:rsidP="00666C69">
            <w:pPr>
              <w:pStyle w:val="NoSpacing"/>
              <w:rPr>
                <w:rFonts w:asciiTheme="minorHAnsi" w:hAnsiTheme="minorHAnsi" w:cstheme="minorHAnsi"/>
                <w:b/>
                <w:lang w:val="sq-AL"/>
              </w:rPr>
            </w:pPr>
            <w:r w:rsidRPr="00EE67DF">
              <w:rPr>
                <w:rFonts w:asciiTheme="minorHAnsi" w:hAnsiTheme="minorHAnsi" w:cstheme="minorHAns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666C69" w:rsidRPr="00EE67DF" w:rsidRDefault="00D5444C" w:rsidP="00666C69">
            <w:pPr>
              <w:pStyle w:val="NoSpacing"/>
              <w:jc w:val="both"/>
              <w:rPr>
                <w:rFonts w:asciiTheme="minorHAnsi" w:hAnsiTheme="minorHAnsi" w:cstheme="minorHAnsi"/>
                <w:i/>
                <w:lang w:val="sq-AL"/>
              </w:rPr>
            </w:pPr>
            <w:r w:rsidRPr="00EE67DF">
              <w:rPr>
                <w:rFonts w:asciiTheme="minorHAnsi" w:hAnsiTheme="minorHAnsi" w:cstheme="minorHAnsi"/>
                <w:i/>
                <w:lang w:val="sq-AL"/>
              </w:rPr>
              <w:t>Ligjerata, ushtrime përmes punës në grupe, seminare, mësimi i vetëdrejtuar</w:t>
            </w:r>
            <w:r w:rsidR="00666C69" w:rsidRPr="00EE67DF">
              <w:rPr>
                <w:rFonts w:asciiTheme="minorHAnsi" w:eastAsiaTheme="minorHAnsi" w:hAnsiTheme="minorHAnsi" w:cstheme="minorHAnsi"/>
                <w:lang w:val="sq-AL"/>
              </w:rPr>
              <w:t>.</w:t>
            </w:r>
          </w:p>
        </w:tc>
      </w:tr>
      <w:tr w:rsidR="00666C69" w:rsidRPr="00EE67DF" w:rsidTr="00B56B1D">
        <w:tc>
          <w:tcPr>
            <w:tcW w:w="3505" w:type="dxa"/>
            <w:tcBorders>
              <w:top w:val="single" w:sz="4" w:space="0" w:color="000000"/>
              <w:left w:val="single" w:sz="4" w:space="0" w:color="000000"/>
              <w:bottom w:val="single" w:sz="4" w:space="0" w:color="000000"/>
              <w:right w:val="single" w:sz="4" w:space="0" w:color="000000"/>
            </w:tcBorders>
          </w:tcPr>
          <w:p w:rsidR="00666C69" w:rsidRPr="00EE67DF" w:rsidRDefault="00666C69" w:rsidP="00666C69">
            <w:pPr>
              <w:pStyle w:val="NoSpacing"/>
              <w:spacing w:line="240" w:lineRule="exact"/>
              <w:rPr>
                <w:rFonts w:asciiTheme="minorHAnsi" w:hAnsiTheme="minorHAnsi" w:cstheme="minorHAnsi"/>
                <w:b/>
                <w:lang w:val="sq-AL"/>
              </w:rPr>
            </w:pPr>
            <w:r w:rsidRPr="00EE67DF">
              <w:rPr>
                <w:rFonts w:asciiTheme="minorHAnsi" w:hAnsiTheme="minorHAnsi" w:cstheme="minorHAns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rsidR="002A01ED" w:rsidRPr="00EE67DF" w:rsidRDefault="002A01ED" w:rsidP="002A01ED">
            <w:pPr>
              <w:jc w:val="both"/>
              <w:rPr>
                <w:rFonts w:cstheme="minorHAnsi"/>
                <w:sz w:val="24"/>
                <w:szCs w:val="24"/>
              </w:rPr>
            </w:pPr>
            <w:r w:rsidRPr="00EE67DF">
              <w:rPr>
                <w:rFonts w:cstheme="minorHAnsi"/>
                <w:sz w:val="24"/>
                <w:szCs w:val="24"/>
              </w:rPr>
              <w:t>Provimi final bëhet përmes provimit me test. Pragu i kalueshmërisë është 51%. Pyetjet mund të jenë me një ose më shumë përgjigje të sakta dhe pyetje ku studenti duhet me e përshkruar/plotësuar përgjegjen.</w:t>
            </w:r>
          </w:p>
          <w:p w:rsidR="00666C69" w:rsidRPr="00EE67DF" w:rsidRDefault="002A01ED" w:rsidP="00666C69">
            <w:pPr>
              <w:spacing w:after="0" w:line="240" w:lineRule="exact"/>
              <w:rPr>
                <w:rFonts w:cstheme="minorHAnsi"/>
                <w:sz w:val="24"/>
                <w:szCs w:val="24"/>
              </w:rPr>
            </w:pPr>
            <w:r w:rsidRPr="00EE67DF">
              <w:rPr>
                <w:rFonts w:cstheme="minorHAnsi"/>
                <w:sz w:val="24"/>
                <w:szCs w:val="24"/>
              </w:rPr>
              <w:t>Kohëzgjatja e provimit 1 orë. Studenti vlerësohet me notën përfundimtare e cila është rezultat i vlerësimit të përgjithshëm.</w:t>
            </w:r>
          </w:p>
        </w:tc>
      </w:tr>
      <w:tr w:rsidR="00666C69" w:rsidRPr="00EE67DF" w:rsidTr="00B56B1D">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666C69" w:rsidRPr="00EE67DF" w:rsidRDefault="00666C69" w:rsidP="00666C69">
            <w:pPr>
              <w:pStyle w:val="NoSpacing"/>
              <w:spacing w:line="240" w:lineRule="exact"/>
              <w:rPr>
                <w:rFonts w:asciiTheme="minorHAnsi" w:hAnsiTheme="minorHAnsi" w:cstheme="minorHAnsi"/>
                <w:b/>
                <w:lang w:val="sq-AL"/>
              </w:rPr>
            </w:pPr>
          </w:p>
        </w:tc>
      </w:tr>
      <w:tr w:rsidR="00666C69" w:rsidRPr="00EE67DF" w:rsidTr="00B56B1D">
        <w:trPr>
          <w:trHeight w:val="458"/>
        </w:trPr>
        <w:tc>
          <w:tcPr>
            <w:tcW w:w="3505" w:type="dxa"/>
            <w:tcBorders>
              <w:top w:val="single" w:sz="4" w:space="0" w:color="000000"/>
              <w:left w:val="single" w:sz="4" w:space="0" w:color="000000"/>
              <w:bottom w:val="single" w:sz="4" w:space="0" w:color="000000"/>
              <w:right w:val="single" w:sz="4" w:space="0" w:color="000000"/>
            </w:tcBorders>
          </w:tcPr>
          <w:p w:rsidR="00666C69" w:rsidRPr="00EE67DF" w:rsidRDefault="00666C69" w:rsidP="00666C69">
            <w:pPr>
              <w:pStyle w:val="NoSpacing"/>
              <w:spacing w:line="240" w:lineRule="exact"/>
              <w:rPr>
                <w:rFonts w:asciiTheme="minorHAnsi" w:hAnsiTheme="minorHAnsi" w:cstheme="minorHAnsi"/>
                <w:b/>
                <w:lang w:val="sq-AL"/>
              </w:rPr>
            </w:pPr>
            <w:r w:rsidRPr="00EE67DF">
              <w:rPr>
                <w:rFonts w:asciiTheme="minorHAnsi" w:hAnsiTheme="minorHAnsi" w:cstheme="minorHAns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rsidR="00C61711" w:rsidRPr="00EE67DF" w:rsidRDefault="00C61711" w:rsidP="00793E26">
            <w:pPr>
              <w:pStyle w:val="NormalWeb"/>
              <w:numPr>
                <w:ilvl w:val="0"/>
                <w:numId w:val="2"/>
              </w:numPr>
              <w:spacing w:before="0" w:beforeAutospacing="0" w:after="0" w:afterAutospacing="0"/>
              <w:ind w:left="360" w:right="227"/>
              <w:rPr>
                <w:rFonts w:asciiTheme="minorHAnsi" w:hAnsiTheme="minorHAnsi" w:cstheme="minorHAnsi"/>
              </w:rPr>
            </w:pPr>
            <w:proofErr w:type="spellStart"/>
            <w:r w:rsidRPr="00EE67DF">
              <w:rPr>
                <w:rFonts w:asciiTheme="minorHAnsi" w:hAnsiTheme="minorHAnsi" w:cstheme="minorHAnsi"/>
                <w:bCs/>
                <w:i/>
                <w:iCs/>
                <w:lang w:eastAsia="mk-MK"/>
              </w:rPr>
              <w:t>Ligjëratat</w:t>
            </w:r>
            <w:proofErr w:type="spellEnd"/>
            <w:r w:rsidRPr="00EE67DF">
              <w:rPr>
                <w:rFonts w:asciiTheme="minorHAnsi" w:hAnsiTheme="minorHAnsi" w:cstheme="minorHAnsi"/>
                <w:bCs/>
                <w:i/>
                <w:iCs/>
                <w:lang w:eastAsia="mk-MK"/>
              </w:rPr>
              <w:t xml:space="preserve"> </w:t>
            </w:r>
            <w:proofErr w:type="spellStart"/>
            <w:r w:rsidRPr="00EE67DF">
              <w:rPr>
                <w:rFonts w:asciiTheme="minorHAnsi" w:hAnsiTheme="minorHAnsi" w:cstheme="minorHAnsi"/>
                <w:bCs/>
                <w:i/>
                <w:iCs/>
                <w:lang w:eastAsia="mk-MK"/>
              </w:rPr>
              <w:t>të</w:t>
            </w:r>
            <w:proofErr w:type="spellEnd"/>
            <w:r w:rsidRPr="00EE67DF">
              <w:rPr>
                <w:rFonts w:asciiTheme="minorHAnsi" w:hAnsiTheme="minorHAnsi" w:cstheme="minorHAnsi"/>
                <w:bCs/>
                <w:i/>
                <w:iCs/>
                <w:lang w:eastAsia="mk-MK"/>
              </w:rPr>
              <w:t xml:space="preserve"> </w:t>
            </w:r>
            <w:proofErr w:type="spellStart"/>
            <w:r w:rsidRPr="00EE67DF">
              <w:rPr>
                <w:rFonts w:asciiTheme="minorHAnsi" w:hAnsiTheme="minorHAnsi" w:cstheme="minorHAnsi"/>
                <w:bCs/>
                <w:i/>
                <w:iCs/>
                <w:lang w:eastAsia="mk-MK"/>
              </w:rPr>
              <w:t>përgatitura</w:t>
            </w:r>
            <w:proofErr w:type="spellEnd"/>
            <w:r w:rsidRPr="00EE67DF">
              <w:rPr>
                <w:rFonts w:asciiTheme="minorHAnsi" w:hAnsiTheme="minorHAnsi" w:cstheme="minorHAnsi"/>
                <w:bCs/>
                <w:i/>
                <w:iCs/>
                <w:lang w:eastAsia="mk-MK"/>
              </w:rPr>
              <w:t xml:space="preserve"> </w:t>
            </w:r>
            <w:proofErr w:type="spellStart"/>
            <w:r w:rsidRPr="00EE67DF">
              <w:rPr>
                <w:rFonts w:asciiTheme="minorHAnsi" w:hAnsiTheme="minorHAnsi" w:cstheme="minorHAnsi"/>
                <w:bCs/>
                <w:i/>
                <w:iCs/>
                <w:lang w:eastAsia="mk-MK"/>
              </w:rPr>
              <w:t>nga</w:t>
            </w:r>
            <w:proofErr w:type="spellEnd"/>
            <w:r w:rsidRPr="00EE67DF">
              <w:rPr>
                <w:rFonts w:asciiTheme="minorHAnsi" w:hAnsiTheme="minorHAnsi" w:cstheme="minorHAnsi"/>
                <w:bCs/>
                <w:i/>
                <w:iCs/>
                <w:lang w:eastAsia="mk-MK"/>
              </w:rPr>
              <w:t xml:space="preserve"> </w:t>
            </w:r>
            <w:proofErr w:type="spellStart"/>
            <w:r w:rsidRPr="00EE67DF">
              <w:rPr>
                <w:rFonts w:asciiTheme="minorHAnsi" w:hAnsiTheme="minorHAnsi" w:cstheme="minorHAnsi"/>
                <w:bCs/>
                <w:i/>
                <w:iCs/>
                <w:lang w:eastAsia="mk-MK"/>
              </w:rPr>
              <w:t>Prof.asoc.dr</w:t>
            </w:r>
            <w:proofErr w:type="spellEnd"/>
            <w:r w:rsidRPr="00EE67DF">
              <w:rPr>
                <w:rFonts w:asciiTheme="minorHAnsi" w:hAnsiTheme="minorHAnsi" w:cstheme="minorHAnsi"/>
                <w:bCs/>
                <w:i/>
                <w:iCs/>
                <w:lang w:eastAsia="mk-MK"/>
              </w:rPr>
              <w:t xml:space="preserve"> </w:t>
            </w:r>
            <w:proofErr w:type="spellStart"/>
            <w:r w:rsidRPr="00EE67DF">
              <w:rPr>
                <w:rFonts w:asciiTheme="minorHAnsi" w:hAnsiTheme="minorHAnsi" w:cstheme="minorHAnsi"/>
                <w:bCs/>
                <w:i/>
                <w:iCs/>
                <w:lang w:eastAsia="mk-MK"/>
              </w:rPr>
              <w:t>Merita</w:t>
            </w:r>
            <w:proofErr w:type="spellEnd"/>
            <w:r w:rsidRPr="00EE67DF">
              <w:rPr>
                <w:rFonts w:asciiTheme="minorHAnsi" w:hAnsiTheme="minorHAnsi" w:cstheme="minorHAnsi"/>
                <w:bCs/>
                <w:i/>
                <w:iCs/>
                <w:lang w:eastAsia="mk-MK"/>
              </w:rPr>
              <w:t xml:space="preserve"> </w:t>
            </w:r>
            <w:proofErr w:type="spellStart"/>
            <w:r w:rsidRPr="00EE67DF">
              <w:rPr>
                <w:rFonts w:asciiTheme="minorHAnsi" w:hAnsiTheme="minorHAnsi" w:cstheme="minorHAnsi"/>
                <w:bCs/>
                <w:i/>
                <w:iCs/>
                <w:lang w:eastAsia="mk-MK"/>
              </w:rPr>
              <w:t>Berisha</w:t>
            </w:r>
            <w:proofErr w:type="spellEnd"/>
          </w:p>
          <w:p w:rsidR="00C61711" w:rsidRPr="00EE67DF" w:rsidRDefault="00C61711" w:rsidP="00793E26">
            <w:pPr>
              <w:pStyle w:val="NormalWeb"/>
              <w:numPr>
                <w:ilvl w:val="0"/>
                <w:numId w:val="2"/>
              </w:numPr>
              <w:spacing w:before="0" w:beforeAutospacing="0" w:after="0" w:afterAutospacing="0"/>
              <w:ind w:left="360" w:right="227"/>
              <w:rPr>
                <w:rFonts w:asciiTheme="minorHAnsi" w:hAnsiTheme="minorHAnsi" w:cstheme="minorHAnsi"/>
              </w:rPr>
            </w:pPr>
            <w:proofErr w:type="spellStart"/>
            <w:r w:rsidRPr="00EE67DF">
              <w:rPr>
                <w:rFonts w:asciiTheme="minorHAnsi" w:hAnsiTheme="minorHAnsi" w:cstheme="minorHAnsi"/>
              </w:rPr>
              <w:t>Sistemet</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Shëndetësore</w:t>
            </w:r>
            <w:proofErr w:type="spellEnd"/>
            <w:r w:rsidRPr="00EE67DF">
              <w:rPr>
                <w:rFonts w:asciiTheme="minorHAnsi" w:hAnsiTheme="minorHAnsi" w:cstheme="minorHAnsi"/>
              </w:rPr>
              <w:t>/Transition in Health and Health Care in Kosovo-</w:t>
            </w:r>
            <w:proofErr w:type="spellStart"/>
            <w:r w:rsidRPr="00EE67DF">
              <w:rPr>
                <w:rFonts w:asciiTheme="minorHAnsi" w:hAnsiTheme="minorHAnsi" w:cstheme="minorHAnsi"/>
              </w:rPr>
              <w:t>Prof.Ass.Dr.Merita</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Koçinaj</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Fatime</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Arënliu</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Qosaj</w:t>
            </w:r>
            <w:proofErr w:type="spellEnd"/>
            <w:r w:rsidRPr="00EE67DF">
              <w:rPr>
                <w:rFonts w:asciiTheme="minorHAnsi" w:hAnsiTheme="minorHAnsi" w:cstheme="minorHAnsi"/>
              </w:rPr>
              <w:t xml:space="preserve"> 2010</w:t>
            </w:r>
          </w:p>
          <w:p w:rsidR="00C61711" w:rsidRPr="00EE67DF" w:rsidRDefault="00C61711" w:rsidP="00793E26">
            <w:pPr>
              <w:pStyle w:val="NormalWeb"/>
              <w:numPr>
                <w:ilvl w:val="0"/>
                <w:numId w:val="2"/>
              </w:numPr>
              <w:spacing w:before="0" w:beforeAutospacing="0" w:after="0" w:afterAutospacing="0"/>
              <w:ind w:left="360" w:right="227"/>
              <w:rPr>
                <w:rFonts w:asciiTheme="minorHAnsi" w:hAnsiTheme="minorHAnsi" w:cstheme="minorHAnsi"/>
              </w:rPr>
            </w:pPr>
            <w:proofErr w:type="spellStart"/>
            <w:r w:rsidRPr="00EE67DF">
              <w:rPr>
                <w:rFonts w:asciiTheme="minorHAnsi" w:hAnsiTheme="minorHAnsi" w:cstheme="minorHAnsi"/>
              </w:rPr>
              <w:t>Konceptet</w:t>
            </w:r>
            <w:proofErr w:type="spellEnd"/>
            <w:r w:rsidRPr="00EE67DF">
              <w:rPr>
                <w:rFonts w:asciiTheme="minorHAnsi" w:hAnsiTheme="minorHAnsi" w:cstheme="minorHAnsi"/>
              </w:rPr>
              <w:t xml:space="preserve"> e </w:t>
            </w:r>
            <w:proofErr w:type="spellStart"/>
            <w:r w:rsidRPr="00EE67DF">
              <w:rPr>
                <w:rFonts w:asciiTheme="minorHAnsi" w:hAnsiTheme="minorHAnsi" w:cstheme="minorHAnsi"/>
              </w:rPr>
              <w:t>ligjerimeve</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libri</w:t>
            </w:r>
            <w:proofErr w:type="spellEnd"/>
            <w:r w:rsidRPr="00EE67DF">
              <w:rPr>
                <w:rFonts w:asciiTheme="minorHAnsi" w:hAnsiTheme="minorHAnsi" w:cstheme="minorHAnsi"/>
              </w:rPr>
              <w:t xml:space="preserve"> ne </w:t>
            </w:r>
            <w:proofErr w:type="spellStart"/>
            <w:r w:rsidRPr="00EE67DF">
              <w:rPr>
                <w:rFonts w:asciiTheme="minorHAnsi" w:hAnsiTheme="minorHAnsi" w:cstheme="minorHAnsi"/>
              </w:rPr>
              <w:t>dorëshkrim</w:t>
            </w:r>
            <w:proofErr w:type="spellEnd"/>
          </w:p>
          <w:p w:rsidR="00C61711" w:rsidRPr="00EE67DF" w:rsidRDefault="00C61711" w:rsidP="00793E26">
            <w:pPr>
              <w:pStyle w:val="NormalWeb"/>
              <w:numPr>
                <w:ilvl w:val="0"/>
                <w:numId w:val="2"/>
              </w:numPr>
              <w:spacing w:before="0" w:beforeAutospacing="0" w:after="0" w:afterAutospacing="0"/>
              <w:ind w:left="360" w:right="227"/>
              <w:rPr>
                <w:rFonts w:asciiTheme="minorHAnsi" w:hAnsiTheme="minorHAnsi" w:cstheme="minorHAnsi"/>
              </w:rPr>
            </w:pPr>
            <w:proofErr w:type="spellStart"/>
            <w:r w:rsidRPr="00EE67DF">
              <w:rPr>
                <w:rFonts w:asciiTheme="minorHAnsi" w:hAnsiTheme="minorHAnsi" w:cstheme="minorHAnsi"/>
              </w:rPr>
              <w:t>Edukimi</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Shëndetësor</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Ilir</w:t>
            </w:r>
            <w:proofErr w:type="spellEnd"/>
            <w:r w:rsidRPr="00EE67DF">
              <w:rPr>
                <w:rFonts w:asciiTheme="minorHAnsi" w:hAnsiTheme="minorHAnsi" w:cstheme="minorHAnsi"/>
              </w:rPr>
              <w:t xml:space="preserve"> </w:t>
            </w:r>
            <w:proofErr w:type="spellStart"/>
            <w:r w:rsidRPr="00EE67DF">
              <w:rPr>
                <w:rFonts w:asciiTheme="minorHAnsi" w:hAnsiTheme="minorHAnsi" w:cstheme="minorHAnsi"/>
              </w:rPr>
              <w:t>Begolli</w:t>
            </w:r>
            <w:proofErr w:type="spellEnd"/>
            <w:r w:rsidRPr="00EE67DF">
              <w:rPr>
                <w:rFonts w:asciiTheme="minorHAnsi" w:hAnsiTheme="minorHAnsi" w:cstheme="minorHAnsi"/>
              </w:rPr>
              <w:t xml:space="preserve"> 2001</w:t>
            </w:r>
          </w:p>
          <w:p w:rsidR="00793E26" w:rsidRDefault="00793E26" w:rsidP="00793E26">
            <w:pPr>
              <w:pStyle w:val="Default"/>
              <w:numPr>
                <w:ilvl w:val="0"/>
                <w:numId w:val="2"/>
              </w:numPr>
              <w:ind w:left="360"/>
              <w:rPr>
                <w:color w:val="auto"/>
                <w:sz w:val="22"/>
                <w:szCs w:val="22"/>
              </w:rPr>
            </w:pPr>
            <w:proofErr w:type="spellStart"/>
            <w:r w:rsidRPr="00A13D5C">
              <w:rPr>
                <w:color w:val="auto"/>
                <w:sz w:val="22"/>
                <w:szCs w:val="22"/>
              </w:rPr>
              <w:t>Th.H.Tulchinsky</w:t>
            </w:r>
            <w:proofErr w:type="spellEnd"/>
            <w:r w:rsidRPr="00A13D5C">
              <w:rPr>
                <w:color w:val="auto"/>
                <w:sz w:val="22"/>
                <w:szCs w:val="22"/>
              </w:rPr>
              <w:t xml:space="preserve">, E.A. </w:t>
            </w:r>
            <w:proofErr w:type="spellStart"/>
            <w:r w:rsidRPr="00A13D5C">
              <w:rPr>
                <w:color w:val="auto"/>
                <w:sz w:val="22"/>
                <w:szCs w:val="22"/>
              </w:rPr>
              <w:t>Varonikone</w:t>
            </w:r>
            <w:proofErr w:type="spellEnd"/>
            <w:r w:rsidRPr="00A13D5C">
              <w:rPr>
                <w:color w:val="auto"/>
                <w:sz w:val="22"/>
                <w:szCs w:val="22"/>
              </w:rPr>
              <w:t>. The New Public Health. Second Edition, 2014</w:t>
            </w:r>
          </w:p>
          <w:p w:rsidR="000B7600" w:rsidRDefault="000B7600" w:rsidP="00793E26">
            <w:pPr>
              <w:pStyle w:val="Default"/>
              <w:numPr>
                <w:ilvl w:val="0"/>
                <w:numId w:val="2"/>
              </w:numPr>
              <w:ind w:left="360"/>
              <w:rPr>
                <w:color w:val="auto"/>
                <w:sz w:val="22"/>
                <w:szCs w:val="22"/>
              </w:rPr>
            </w:pPr>
            <w:proofErr w:type="spellStart"/>
            <w:r>
              <w:rPr>
                <w:color w:val="auto"/>
                <w:sz w:val="22"/>
                <w:szCs w:val="22"/>
              </w:rPr>
              <w:t>V.Bijegovic</w:t>
            </w:r>
            <w:proofErr w:type="spellEnd"/>
            <w:r>
              <w:rPr>
                <w:color w:val="auto"/>
                <w:sz w:val="22"/>
                <w:szCs w:val="22"/>
              </w:rPr>
              <w:t xml:space="preserve">, </w:t>
            </w:r>
            <w:proofErr w:type="spellStart"/>
            <w:r>
              <w:rPr>
                <w:color w:val="auto"/>
                <w:sz w:val="22"/>
                <w:szCs w:val="22"/>
              </w:rPr>
              <w:t>D.DOnev</w:t>
            </w:r>
            <w:proofErr w:type="spellEnd"/>
            <w:r>
              <w:rPr>
                <w:color w:val="auto"/>
                <w:sz w:val="22"/>
                <w:szCs w:val="22"/>
              </w:rPr>
              <w:t>: “Health systems and their evidence based development”, 2004</w:t>
            </w:r>
          </w:p>
          <w:p w:rsidR="00B67A15" w:rsidRDefault="00B67A15" w:rsidP="00B67A15">
            <w:pPr>
              <w:pStyle w:val="Default"/>
              <w:rPr>
                <w:color w:val="auto"/>
                <w:sz w:val="22"/>
                <w:szCs w:val="22"/>
              </w:rPr>
            </w:pPr>
          </w:p>
          <w:p w:rsidR="00FE7B99" w:rsidRPr="00A13D5C" w:rsidRDefault="00FE7B99" w:rsidP="00793E26">
            <w:pPr>
              <w:pStyle w:val="Default"/>
              <w:numPr>
                <w:ilvl w:val="0"/>
                <w:numId w:val="2"/>
              </w:numPr>
              <w:ind w:left="360"/>
              <w:rPr>
                <w:color w:val="auto"/>
                <w:sz w:val="22"/>
                <w:szCs w:val="22"/>
              </w:rPr>
            </w:pPr>
            <w:r w:rsidRPr="00B271FB">
              <w:rPr>
                <w:rFonts w:ascii="Times New Roman" w:hAnsi="Times New Roman"/>
              </w:rPr>
              <w:t xml:space="preserve">G. </w:t>
            </w:r>
            <w:proofErr w:type="spellStart"/>
            <w:r w:rsidRPr="00B271FB">
              <w:rPr>
                <w:rFonts w:ascii="Times New Roman" w:hAnsi="Times New Roman"/>
              </w:rPr>
              <w:t>Pavlekovic</w:t>
            </w:r>
            <w:proofErr w:type="spellEnd"/>
            <w:r w:rsidRPr="00B271FB">
              <w:rPr>
                <w:rFonts w:ascii="Times New Roman" w:hAnsi="Times New Roman"/>
              </w:rPr>
              <w:t xml:space="preserve"> et all.: H</w:t>
            </w:r>
            <w:r w:rsidR="009968C0" w:rsidRPr="00B271FB">
              <w:rPr>
                <w:rFonts w:ascii="Times New Roman" w:hAnsi="Times New Roman"/>
              </w:rPr>
              <w:t>ealth promotion and disease prevention</w:t>
            </w:r>
            <w:r w:rsidRPr="00B271FB">
              <w:rPr>
                <w:rFonts w:ascii="Times New Roman" w:hAnsi="Times New Roman"/>
              </w:rPr>
              <w:t>, 2014</w:t>
            </w:r>
          </w:p>
          <w:p w:rsidR="00C61711" w:rsidRPr="009968C0" w:rsidRDefault="00FB0095" w:rsidP="00793E26">
            <w:pPr>
              <w:numPr>
                <w:ilvl w:val="0"/>
                <w:numId w:val="2"/>
              </w:numPr>
              <w:spacing w:after="0" w:line="240" w:lineRule="auto"/>
              <w:ind w:left="360"/>
              <w:rPr>
                <w:rFonts w:cstheme="minorHAnsi"/>
                <w:sz w:val="24"/>
                <w:szCs w:val="24"/>
              </w:rPr>
            </w:pPr>
            <w:hyperlink r:id="rId6" w:tgtFrame="_blank" w:history="1">
              <w:r w:rsidR="00C61711" w:rsidRPr="009968C0">
                <w:rPr>
                  <w:rFonts w:cstheme="minorHAnsi"/>
                  <w:bCs/>
                  <w:sz w:val="24"/>
                  <w:szCs w:val="24"/>
                </w:rPr>
                <w:t>Public health textbook</w:t>
              </w:r>
              <w:r w:rsidR="00C61711" w:rsidRPr="009968C0">
                <w:rPr>
                  <w:rFonts w:cstheme="minorHAnsi"/>
                  <w:sz w:val="24"/>
                  <w:szCs w:val="24"/>
                </w:rPr>
                <w:t> - HealthKnowledge</w:t>
              </w:r>
            </w:hyperlink>
          </w:p>
          <w:p w:rsidR="009968C0" w:rsidRDefault="00C61711" w:rsidP="009968C0">
            <w:pPr>
              <w:rPr>
                <w:rFonts w:cstheme="minorHAnsi"/>
                <w:sz w:val="24"/>
                <w:szCs w:val="24"/>
              </w:rPr>
            </w:pPr>
            <w:r w:rsidRPr="009968C0">
              <w:rPr>
                <w:rFonts w:cstheme="minorHAnsi"/>
                <w:sz w:val="24"/>
                <w:szCs w:val="24"/>
              </w:rPr>
              <w:t>UK : Department of Health, 2009</w:t>
            </w:r>
          </w:p>
          <w:p w:rsidR="00C61711" w:rsidRPr="009968C0" w:rsidRDefault="009968C0" w:rsidP="009968C0">
            <w:pPr>
              <w:rPr>
                <w:rFonts w:cstheme="minorHAnsi"/>
                <w:sz w:val="24"/>
                <w:szCs w:val="24"/>
              </w:rPr>
            </w:pPr>
            <w:r>
              <w:rPr>
                <w:rFonts w:cstheme="minorHAnsi"/>
                <w:sz w:val="24"/>
                <w:szCs w:val="24"/>
              </w:rPr>
              <w:t>9.</w:t>
            </w:r>
            <w:r w:rsidR="00C61711" w:rsidRPr="009968C0">
              <w:rPr>
                <w:rFonts w:cstheme="minorHAnsi"/>
                <w:sz w:val="24"/>
                <w:szCs w:val="24"/>
              </w:rPr>
              <w:t>Socijalna Medicina – Želimir Jakšić, Luka Kovaćić i suradnici 2000</w:t>
            </w:r>
          </w:p>
          <w:p w:rsidR="00666C69" w:rsidRPr="00EE67DF" w:rsidRDefault="00666C69" w:rsidP="00C61711">
            <w:pPr>
              <w:autoSpaceDE w:val="0"/>
              <w:autoSpaceDN w:val="0"/>
              <w:adjustRightInd w:val="0"/>
              <w:spacing w:after="0" w:line="240" w:lineRule="exact"/>
              <w:rPr>
                <w:rFonts w:cstheme="minorHAnsi"/>
                <w:bCs/>
                <w:sz w:val="24"/>
                <w:szCs w:val="24"/>
                <w:lang w:eastAsia="mk-MK"/>
              </w:rPr>
            </w:pPr>
          </w:p>
        </w:tc>
      </w:tr>
      <w:tr w:rsidR="00666C69" w:rsidRPr="00EE67DF" w:rsidTr="00B56B1D">
        <w:tc>
          <w:tcPr>
            <w:tcW w:w="3505" w:type="dxa"/>
            <w:tcBorders>
              <w:top w:val="single" w:sz="4" w:space="0" w:color="000000"/>
              <w:left w:val="single" w:sz="4" w:space="0" w:color="000000"/>
              <w:bottom w:val="single" w:sz="4" w:space="0" w:color="FFFFFF" w:themeColor="background1"/>
              <w:right w:val="single" w:sz="4" w:space="0" w:color="000000"/>
            </w:tcBorders>
          </w:tcPr>
          <w:p w:rsidR="00666C69" w:rsidRPr="00EE67DF" w:rsidRDefault="00666C69" w:rsidP="00666C69">
            <w:pPr>
              <w:pStyle w:val="NoSpacing"/>
              <w:spacing w:line="240" w:lineRule="exact"/>
              <w:rPr>
                <w:rFonts w:asciiTheme="minorHAnsi" w:hAnsiTheme="minorHAnsi" w:cstheme="minorHAnsi"/>
                <w:b/>
                <w:lang w:val="sq-AL"/>
              </w:rPr>
            </w:pPr>
            <w:r w:rsidRPr="00EE67DF">
              <w:rPr>
                <w:rFonts w:asciiTheme="minorHAnsi" w:hAnsiTheme="minorHAnsi" w:cstheme="minorHAns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5E3681" w:rsidRPr="00A13D5C" w:rsidRDefault="005E3681" w:rsidP="00FE7B99">
            <w:pPr>
              <w:pStyle w:val="ListParagraph"/>
              <w:numPr>
                <w:ilvl w:val="0"/>
                <w:numId w:val="4"/>
              </w:numPr>
              <w:autoSpaceDE w:val="0"/>
              <w:autoSpaceDN w:val="0"/>
              <w:adjustRightInd w:val="0"/>
              <w:spacing w:after="0" w:line="240" w:lineRule="auto"/>
              <w:rPr>
                <w:rFonts w:ascii="Times New Roman" w:hAnsi="Times New Roman"/>
              </w:rPr>
            </w:pPr>
            <w:r w:rsidRPr="00A13D5C">
              <w:rPr>
                <w:rFonts w:ascii="Times New Roman" w:hAnsi="Times New Roman"/>
              </w:rPr>
              <w:t xml:space="preserve">European Observatory on Health Systems and Policies </w:t>
            </w:r>
            <w:r>
              <w:fldChar w:fldCharType="begin"/>
            </w:r>
            <w:r>
              <w:instrText xml:space="preserve"> HYPERLINK "http://www.euro.who.int/observatory/Publications/20020522_2" </w:instrText>
            </w:r>
            <w:r>
              <w:fldChar w:fldCharType="separate"/>
            </w:r>
            <w:r w:rsidRPr="00A13D5C">
              <w:rPr>
                <w:rStyle w:val="Hyperlink"/>
                <w:rFonts w:ascii="Times New Roman" w:hAnsi="Times New Roman"/>
              </w:rPr>
              <w:t>http://www.euro.who.int/observatory/Publications/20020522_2</w:t>
            </w:r>
            <w:r>
              <w:rPr>
                <w:rStyle w:val="Hyperlink"/>
                <w:rFonts w:ascii="Times New Roman" w:hAnsi="Times New Roman"/>
              </w:rPr>
              <w:fldChar w:fldCharType="end"/>
            </w:r>
          </w:p>
          <w:p w:rsidR="005E3681" w:rsidRPr="00A13D5C" w:rsidRDefault="005E3681" w:rsidP="00FE7B99">
            <w:pPr>
              <w:pStyle w:val="ListParagraph"/>
              <w:numPr>
                <w:ilvl w:val="0"/>
                <w:numId w:val="4"/>
              </w:numPr>
              <w:autoSpaceDE w:val="0"/>
              <w:autoSpaceDN w:val="0"/>
              <w:adjustRightInd w:val="0"/>
              <w:spacing w:after="0" w:line="240" w:lineRule="auto"/>
              <w:rPr>
                <w:rFonts w:ascii="Times New Roman" w:hAnsi="Times New Roman"/>
              </w:rPr>
            </w:pPr>
            <w:r w:rsidRPr="00A13D5C">
              <w:rPr>
                <w:rFonts w:ascii="Times New Roman" w:hAnsi="Times New Roman"/>
              </w:rPr>
              <w:t xml:space="preserve">WHO, Regional Eu. </w:t>
            </w:r>
            <w:r>
              <w:fldChar w:fldCharType="begin"/>
            </w:r>
            <w:r>
              <w:instrText xml:space="preserve"> HYPERLINK "http://www.euro.who.int/en/about-us/regional-director/speeches-and-presentations-by-year/speeches-and-presentations?root_node_selection=145221" </w:instrText>
            </w:r>
            <w:r>
              <w:fldChar w:fldCharType="separate"/>
            </w:r>
            <w:r w:rsidRPr="00A13D5C">
              <w:rPr>
                <w:rStyle w:val="Hyperlink"/>
                <w:rFonts w:ascii="Times New Roman" w:hAnsi="Times New Roman"/>
              </w:rPr>
              <w:t>http://www.euro.who.int/en/about-us/regional-director/speeches-and-presentations-by-year/speeches-and-presentations?root_node_selection=145221</w:t>
            </w:r>
            <w:r>
              <w:rPr>
                <w:rStyle w:val="Hyperlink"/>
                <w:rFonts w:ascii="Times New Roman" w:hAnsi="Times New Roman"/>
              </w:rPr>
              <w:fldChar w:fldCharType="end"/>
            </w:r>
          </w:p>
          <w:p w:rsidR="005E3681" w:rsidRDefault="005E3681" w:rsidP="00FE7B99">
            <w:pPr>
              <w:pStyle w:val="ListParagraph"/>
              <w:numPr>
                <w:ilvl w:val="0"/>
                <w:numId w:val="4"/>
              </w:numPr>
              <w:autoSpaceDE w:val="0"/>
              <w:autoSpaceDN w:val="0"/>
              <w:adjustRightInd w:val="0"/>
              <w:spacing w:after="0" w:line="240" w:lineRule="auto"/>
              <w:rPr>
                <w:rFonts w:ascii="Times New Roman" w:hAnsi="Times New Roman"/>
              </w:rPr>
            </w:pPr>
            <w:r>
              <w:rPr>
                <w:rFonts w:ascii="Times New Roman" w:hAnsi="Times New Roman"/>
              </w:rPr>
              <w:t xml:space="preserve">EPHO, WHO.: </w:t>
            </w:r>
            <w:r>
              <w:fldChar w:fldCharType="begin"/>
            </w:r>
            <w:r>
              <w:instrText xml:space="preserve"> HYPERLINK "http://www.euro.who.int/en/health-topics/Health-systems/public-health-services/policy/the-10-essential-public-health-operations" </w:instrText>
            </w:r>
            <w:r>
              <w:fldChar w:fldCharType="separate"/>
            </w:r>
            <w:r w:rsidRPr="00C12982">
              <w:rPr>
                <w:rStyle w:val="Hyperlink"/>
                <w:rFonts w:ascii="Times New Roman" w:hAnsi="Times New Roman"/>
              </w:rPr>
              <w:t>http://www.euro.who.int/en/health-topics/Health-systems/public-health-services/policy/the-10-essential-public-health-operations</w:t>
            </w:r>
            <w:r>
              <w:rPr>
                <w:rStyle w:val="Hyperlink"/>
                <w:rFonts w:ascii="Times New Roman" w:hAnsi="Times New Roman"/>
              </w:rPr>
              <w:fldChar w:fldCharType="end"/>
            </w:r>
          </w:p>
          <w:p w:rsidR="005E3681" w:rsidRPr="009968C0" w:rsidRDefault="005E3681" w:rsidP="00FE7B99">
            <w:pPr>
              <w:pStyle w:val="ListParagraph"/>
              <w:numPr>
                <w:ilvl w:val="0"/>
                <w:numId w:val="4"/>
              </w:numPr>
              <w:autoSpaceDE w:val="0"/>
              <w:autoSpaceDN w:val="0"/>
              <w:adjustRightInd w:val="0"/>
              <w:spacing w:after="0" w:line="240" w:lineRule="auto"/>
              <w:rPr>
                <w:rFonts w:ascii="Times New Roman" w:hAnsi="Times New Roman"/>
              </w:rPr>
            </w:pPr>
            <w:r w:rsidRPr="00B271FB">
              <w:rPr>
                <w:rFonts w:ascii="Times New Roman" w:hAnsi="Times New Roman"/>
              </w:rPr>
              <w:t xml:space="preserve">Health Sectorial Strategy 2017-2021, Ministry of Health, </w:t>
            </w:r>
            <w:r w:rsidRPr="009968C0">
              <w:rPr>
                <w:rFonts w:ascii="Times New Roman" w:hAnsi="Times New Roman"/>
              </w:rPr>
              <w:t>Republic of Kosovo, 2017</w:t>
            </w:r>
          </w:p>
          <w:p w:rsidR="005E3681" w:rsidRPr="009968C0" w:rsidRDefault="00FE7B99" w:rsidP="002B23F7">
            <w:pPr>
              <w:numPr>
                <w:ilvl w:val="0"/>
                <w:numId w:val="4"/>
              </w:numPr>
              <w:autoSpaceDE w:val="0"/>
              <w:autoSpaceDN w:val="0"/>
              <w:adjustRightInd w:val="0"/>
              <w:spacing w:after="0" w:line="240" w:lineRule="auto"/>
              <w:rPr>
                <w:rFonts w:ascii="Times New Roman" w:hAnsi="Times New Roman"/>
              </w:rPr>
            </w:pPr>
            <w:r w:rsidRPr="009968C0">
              <w:rPr>
                <w:rFonts w:cstheme="minorHAnsi"/>
                <w:sz w:val="24"/>
                <w:szCs w:val="24"/>
              </w:rPr>
              <w:t>Promoting health –Linda Ewles Ina Simnett 2003Maidenhead : McGraw-Hill / Open University Press, 2007</w:t>
            </w:r>
          </w:p>
          <w:p w:rsidR="00666C69" w:rsidRPr="00EE67DF" w:rsidRDefault="00666C69" w:rsidP="00666C69">
            <w:pPr>
              <w:autoSpaceDE w:val="0"/>
              <w:autoSpaceDN w:val="0"/>
              <w:adjustRightInd w:val="0"/>
              <w:spacing w:after="0" w:line="240" w:lineRule="exact"/>
              <w:rPr>
                <w:rFonts w:cstheme="minorHAnsi"/>
                <w:sz w:val="24"/>
                <w:szCs w:val="24"/>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0461EB" w:rsidRPr="00EE67DF" w:rsidTr="00B56B1D">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lastRenderedPageBreak/>
              <w:t>Hartimi i planit mësimor</w:t>
            </w:r>
          </w:p>
        </w:tc>
      </w:tr>
      <w:tr w:rsidR="000461EB" w:rsidRPr="00EE67DF" w:rsidTr="00B56B1D">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0461EB" w:rsidRPr="00EE67DF" w:rsidRDefault="000461EB" w:rsidP="00B56B1D">
            <w:pPr>
              <w:spacing w:after="0" w:line="240" w:lineRule="exact"/>
              <w:rPr>
                <w:rFonts w:cstheme="minorHAnsi"/>
                <w:b/>
                <w:sz w:val="24"/>
                <w:szCs w:val="24"/>
              </w:rPr>
            </w:pPr>
            <w:r w:rsidRPr="00EE67DF">
              <w:rPr>
                <w:rFonts w:cstheme="minorHAnsi"/>
                <w:b/>
                <w:sz w:val="24"/>
                <w:szCs w:val="24"/>
              </w:rPr>
              <w:t xml:space="preserve">Titulli i ligjëratës </w:t>
            </w:r>
          </w:p>
        </w:tc>
      </w:tr>
      <w:tr w:rsidR="00C94745" w:rsidRPr="00EE67DF" w:rsidTr="00B56B1D">
        <w:tc>
          <w:tcPr>
            <w:tcW w:w="2718" w:type="dxa"/>
            <w:tcBorders>
              <w:top w:val="single" w:sz="4" w:space="0" w:color="FFFFFF" w:themeColor="background1"/>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Hyrja, njoftimi me lëndën ( prezentimi i Syllabusit )</w:t>
            </w:r>
          </w:p>
          <w:p w:rsidR="00C94745" w:rsidRPr="00EE67DF" w:rsidRDefault="00C94745" w:rsidP="00C94745">
            <w:pPr>
              <w:rPr>
                <w:rFonts w:cstheme="minorHAnsi"/>
                <w:sz w:val="24"/>
                <w:szCs w:val="24"/>
                <w:lang w:val="it-IT"/>
              </w:rPr>
            </w:pPr>
            <w:r w:rsidRPr="00EE67DF">
              <w:rPr>
                <w:rFonts w:cstheme="minorHAnsi"/>
                <w:sz w:val="24"/>
                <w:szCs w:val="24"/>
                <w:lang w:val="it-IT"/>
              </w:rPr>
              <w:t>Definicioni dhe lënda e studimit të mjekësisë sociale dhe shëndetit publik</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2:</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rPr>
            </w:pPr>
            <w:r w:rsidRPr="00EE67DF">
              <w:rPr>
                <w:rFonts w:cstheme="minorHAnsi"/>
                <w:sz w:val="24"/>
                <w:szCs w:val="24"/>
              </w:rPr>
              <w:t>Shëndeti dhe determinantat e tij, mbrojtja shëndetësore dhe zhvillimi i kujdesit shëndetësor në vendin tonë dhe në botë</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3</w:t>
            </w:r>
            <w:r w:rsidRPr="00EE67DF">
              <w:rPr>
                <w:rFonts w:cstheme="minorHAnsi"/>
                <w:b/>
                <w:sz w:val="24"/>
                <w:szCs w:val="24"/>
              </w:rPr>
              <w:t>:</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b/>
                <w:sz w:val="24"/>
                <w:szCs w:val="24"/>
                <w:lang w:val="sv-SE"/>
              </w:rPr>
            </w:pPr>
            <w:r w:rsidRPr="00EE67DF">
              <w:rPr>
                <w:rFonts w:cstheme="minorHAnsi"/>
                <w:sz w:val="24"/>
                <w:szCs w:val="24"/>
                <w:lang w:val="sv-SE"/>
              </w:rPr>
              <w:t>P</w:t>
            </w:r>
            <w:r w:rsidRPr="00EE67DF">
              <w:rPr>
                <w:rFonts w:cstheme="minorHAnsi"/>
                <w:sz w:val="24"/>
                <w:szCs w:val="24"/>
              </w:rPr>
              <w:t>abarazitë në gjendjen shëndetësore</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4:</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Karakteristikat e gjendjes shëndetësore në vendet e pazhvilluara dhe të zhvilluara, Shëndeti global</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5:</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Metodologjia e matjes së shëndetit të banorëve</w:t>
            </w:r>
          </w:p>
          <w:p w:rsidR="00C94745" w:rsidRPr="00EE67DF" w:rsidRDefault="00C94745" w:rsidP="00C94745">
            <w:pPr>
              <w:rPr>
                <w:rFonts w:cstheme="minorHAnsi"/>
                <w:sz w:val="24"/>
                <w:szCs w:val="24"/>
                <w:lang w:val="it-IT"/>
              </w:rPr>
            </w:pPr>
            <w:r w:rsidRPr="00EE67DF">
              <w:rPr>
                <w:rFonts w:cstheme="minorHAnsi"/>
                <w:sz w:val="24"/>
                <w:szCs w:val="24"/>
                <w:lang w:val="it-IT"/>
              </w:rPr>
              <w:t>Indikatorët e shëndetit</w:t>
            </w:r>
          </w:p>
          <w:p w:rsidR="00C94745" w:rsidRPr="00EE67DF" w:rsidRDefault="00C94745" w:rsidP="00C94745">
            <w:pPr>
              <w:rPr>
                <w:rFonts w:cstheme="minorHAnsi"/>
                <w:color w:val="003300"/>
                <w:sz w:val="24"/>
                <w:szCs w:val="24"/>
                <w:lang w:val="it-IT"/>
              </w:rPr>
            </w:pPr>
            <w:r w:rsidRPr="00EE67DF">
              <w:rPr>
                <w:rFonts w:cstheme="minorHAnsi"/>
                <w:sz w:val="24"/>
                <w:szCs w:val="24"/>
                <w:lang w:val="it-IT"/>
              </w:rPr>
              <w:t xml:space="preserve">Indikatorët demografik </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6</w:t>
            </w:r>
            <w:r w:rsidRPr="00EE67DF">
              <w:rPr>
                <w:rFonts w:cstheme="minorHAnsi"/>
                <w:b/>
                <w:sz w:val="24"/>
                <w:szCs w:val="24"/>
              </w:rPr>
              <w:t>:</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Indikatorët e morbiditetit</w:t>
            </w:r>
          </w:p>
          <w:p w:rsidR="00C94745" w:rsidRPr="00EE67DF" w:rsidRDefault="00C94745" w:rsidP="00C94745">
            <w:pPr>
              <w:rPr>
                <w:rFonts w:cstheme="minorHAnsi"/>
                <w:sz w:val="24"/>
                <w:szCs w:val="24"/>
                <w:lang w:val="it-IT"/>
              </w:rPr>
            </w:pPr>
            <w:r w:rsidRPr="00EE67DF">
              <w:rPr>
                <w:rFonts w:cstheme="minorHAnsi"/>
                <w:sz w:val="24"/>
                <w:szCs w:val="24"/>
                <w:lang w:val="it-IT"/>
              </w:rPr>
              <w:t xml:space="preserve">Indikatorët e ambientit të jashtëm </w:t>
            </w:r>
          </w:p>
          <w:p w:rsidR="00C94745" w:rsidRPr="00EE67DF" w:rsidRDefault="00C94745" w:rsidP="00C94745">
            <w:pPr>
              <w:rPr>
                <w:rFonts w:cstheme="minorHAnsi"/>
                <w:sz w:val="24"/>
                <w:szCs w:val="24"/>
                <w:lang w:val="it-IT"/>
              </w:rPr>
            </w:pPr>
            <w:r w:rsidRPr="00EE67DF">
              <w:rPr>
                <w:rFonts w:cstheme="minorHAnsi"/>
                <w:sz w:val="24"/>
                <w:szCs w:val="24"/>
                <w:lang w:val="it-IT"/>
              </w:rPr>
              <w:t>Indikatorët e veprimtarisë shëndetësore</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sz w:val="24"/>
                <w:szCs w:val="24"/>
              </w:rPr>
            </w:pPr>
            <w:r w:rsidRPr="00EE67DF">
              <w:rPr>
                <w:rFonts w:cstheme="minorHAnsi"/>
                <w:b/>
                <w:i/>
                <w:sz w:val="24"/>
                <w:szCs w:val="24"/>
              </w:rPr>
              <w:t>Java 7:</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 xml:space="preserve">Kriteriumet për vlerësimin e rëndësisë socialo mjekësore të çshtjeve shëndetësore </w:t>
            </w:r>
          </w:p>
          <w:p w:rsidR="00C94745" w:rsidRPr="00EE67DF" w:rsidRDefault="00C94745" w:rsidP="00C94745">
            <w:pPr>
              <w:rPr>
                <w:rFonts w:cstheme="minorHAnsi"/>
                <w:sz w:val="24"/>
                <w:szCs w:val="24"/>
                <w:lang w:val="it-IT"/>
              </w:rPr>
            </w:pPr>
            <w:r w:rsidRPr="00EE67DF">
              <w:rPr>
                <w:rFonts w:cstheme="minorHAnsi"/>
                <w:sz w:val="24"/>
                <w:szCs w:val="24"/>
                <w:lang w:val="it-IT"/>
              </w:rPr>
              <w:t>Metoda socialo mjekësore për përcjelljen, hulumtimin dhe analizimin e sëmundjeve, dukurive dhe grupacioneve te caktuara te popullatës.</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8:</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rPr>
            </w:pPr>
            <w:r w:rsidRPr="00EE67DF">
              <w:rPr>
                <w:rFonts w:cstheme="minorHAnsi"/>
                <w:sz w:val="24"/>
                <w:szCs w:val="24"/>
              </w:rPr>
              <w:t xml:space="preserve">Organizimi i mbrojtjes shëndetësore </w:t>
            </w:r>
          </w:p>
          <w:p w:rsidR="00C94745" w:rsidRPr="00EE67DF" w:rsidRDefault="00C94745" w:rsidP="00C94745">
            <w:pPr>
              <w:rPr>
                <w:rFonts w:cstheme="minorHAnsi"/>
                <w:sz w:val="24"/>
                <w:szCs w:val="24"/>
                <w:lang w:val="it-IT"/>
              </w:rPr>
            </w:pPr>
            <w:r w:rsidRPr="00EE67DF">
              <w:rPr>
                <w:rFonts w:cstheme="minorHAnsi"/>
                <w:sz w:val="24"/>
                <w:szCs w:val="24"/>
                <w:lang w:val="it-IT"/>
              </w:rPr>
              <w:t>Sistemi shëndetë</w:t>
            </w:r>
            <w:r w:rsidR="006C2A9B">
              <w:rPr>
                <w:rFonts w:cstheme="minorHAnsi"/>
                <w:sz w:val="24"/>
                <w:szCs w:val="24"/>
                <w:lang w:val="it-IT"/>
              </w:rPr>
              <w:t>s</w:t>
            </w:r>
            <w:r w:rsidRPr="00EE67DF">
              <w:rPr>
                <w:rFonts w:cstheme="minorHAnsi"/>
                <w:sz w:val="24"/>
                <w:szCs w:val="24"/>
                <w:lang w:val="it-IT"/>
              </w:rPr>
              <w:t xml:space="preserve">or dhe nënsistemet e tij </w:t>
            </w:r>
          </w:p>
          <w:p w:rsidR="00C94745" w:rsidRPr="00EE67DF" w:rsidRDefault="00C94745" w:rsidP="00C94745">
            <w:pPr>
              <w:rPr>
                <w:rFonts w:cstheme="minorHAnsi"/>
                <w:sz w:val="24"/>
                <w:szCs w:val="24"/>
                <w:lang w:val="it-IT"/>
              </w:rPr>
            </w:pPr>
            <w:r w:rsidRPr="00EE67DF">
              <w:rPr>
                <w:rFonts w:cstheme="minorHAnsi"/>
                <w:sz w:val="24"/>
                <w:szCs w:val="24"/>
                <w:lang w:val="it-IT"/>
              </w:rPr>
              <w:t>Principet themelore të organizimit të mbrojtjes shëndetësore</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9:</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 xml:space="preserve">Organizimi i mbrojtjes shëndetësore dhe shërbimit </w:t>
            </w:r>
          </w:p>
          <w:p w:rsidR="00C94745" w:rsidRPr="00EE67DF" w:rsidRDefault="00C94745" w:rsidP="00C94745">
            <w:pPr>
              <w:rPr>
                <w:rFonts w:cstheme="minorHAnsi"/>
                <w:sz w:val="24"/>
                <w:szCs w:val="24"/>
                <w:lang w:val="it-IT"/>
              </w:rPr>
            </w:pPr>
            <w:r w:rsidRPr="00EE67DF">
              <w:rPr>
                <w:rFonts w:cstheme="minorHAnsi"/>
                <w:sz w:val="24"/>
                <w:szCs w:val="24"/>
                <w:lang w:val="it-IT"/>
              </w:rPr>
              <w:t>Sistemi shëndetë</w:t>
            </w:r>
            <w:r w:rsidR="006C2A9B">
              <w:rPr>
                <w:rFonts w:cstheme="minorHAnsi"/>
                <w:sz w:val="24"/>
                <w:szCs w:val="24"/>
                <w:lang w:val="it-IT"/>
              </w:rPr>
              <w:t>s</w:t>
            </w:r>
            <w:r w:rsidRPr="00EE67DF">
              <w:rPr>
                <w:rFonts w:cstheme="minorHAnsi"/>
                <w:sz w:val="24"/>
                <w:szCs w:val="24"/>
                <w:lang w:val="it-IT"/>
              </w:rPr>
              <w:t xml:space="preserve">or dhe nënsistemet e tij </w:t>
            </w:r>
          </w:p>
          <w:p w:rsidR="00C94745" w:rsidRPr="00EE67DF" w:rsidRDefault="00C94745" w:rsidP="00C94745">
            <w:pPr>
              <w:rPr>
                <w:rFonts w:cstheme="minorHAnsi"/>
                <w:sz w:val="24"/>
                <w:szCs w:val="24"/>
                <w:lang w:val="it-IT"/>
              </w:rPr>
            </w:pPr>
            <w:r w:rsidRPr="00EE67DF">
              <w:rPr>
                <w:rFonts w:cstheme="minorHAnsi"/>
                <w:sz w:val="24"/>
                <w:szCs w:val="24"/>
                <w:lang w:val="it-IT"/>
              </w:rPr>
              <w:t xml:space="preserve">Nivelet e </w:t>
            </w:r>
            <w:r w:rsidR="00FB0095">
              <w:rPr>
                <w:rFonts w:cstheme="minorHAnsi"/>
                <w:sz w:val="24"/>
                <w:szCs w:val="24"/>
                <w:lang w:val="it-IT"/>
              </w:rPr>
              <w:t>ofrimit të kujdesit shëndetësor</w:t>
            </w:r>
            <w:bookmarkStart w:id="0" w:name="_GoBack"/>
            <w:bookmarkEnd w:id="0"/>
          </w:p>
          <w:p w:rsidR="00C94745" w:rsidRPr="00EE67DF" w:rsidRDefault="00C94745" w:rsidP="00C94745">
            <w:pPr>
              <w:rPr>
                <w:rFonts w:cstheme="minorHAnsi"/>
                <w:sz w:val="24"/>
                <w:szCs w:val="24"/>
                <w:lang w:val="it-IT"/>
              </w:rPr>
            </w:pPr>
            <w:r w:rsidRPr="00EE67DF">
              <w:rPr>
                <w:rFonts w:cstheme="minorHAnsi"/>
                <w:sz w:val="24"/>
                <w:szCs w:val="24"/>
                <w:lang w:val="it-IT"/>
              </w:rPr>
              <w:lastRenderedPageBreak/>
              <w:t>Koncepti i mjekësisë familjare në mbrojtjen shëndetësore të popullatës</w:t>
            </w:r>
          </w:p>
          <w:p w:rsidR="00C94745" w:rsidRPr="00EE67DF" w:rsidRDefault="00C94745" w:rsidP="00C94745">
            <w:pPr>
              <w:rPr>
                <w:rFonts w:cstheme="minorHAnsi"/>
                <w:sz w:val="24"/>
                <w:szCs w:val="24"/>
                <w:lang w:val="it-IT"/>
              </w:rPr>
            </w:pPr>
            <w:r w:rsidRPr="00EE67DF">
              <w:rPr>
                <w:rFonts w:cstheme="minorHAnsi"/>
                <w:sz w:val="24"/>
                <w:szCs w:val="24"/>
                <w:lang w:val="it-IT"/>
              </w:rPr>
              <w:t>Sistemi shëndetësor në rastet e jashtëzakonshme</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lastRenderedPageBreak/>
              <w:t>Java 10:</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nb-NO"/>
              </w:rPr>
            </w:pPr>
            <w:r w:rsidRPr="00EE67DF">
              <w:rPr>
                <w:rFonts w:cstheme="minorHAnsi"/>
                <w:sz w:val="24"/>
                <w:szCs w:val="24"/>
                <w:lang w:val="it-IT"/>
              </w:rPr>
              <w:t>Roli dhe rëndësia e spitaleve, llojet e tyre dhe mënyra e organizimit</w:t>
            </w:r>
            <w:r w:rsidRPr="00EE67DF">
              <w:rPr>
                <w:rFonts w:cstheme="minorHAnsi"/>
                <w:sz w:val="24"/>
                <w:szCs w:val="24"/>
                <w:lang w:val="nb-NO"/>
              </w:rPr>
              <w:t xml:space="preserve"> </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11</w:t>
            </w:r>
            <w:r w:rsidRPr="00EE67DF">
              <w:rPr>
                <w:rFonts w:cstheme="minorHAnsi"/>
                <w:b/>
                <w:sz w:val="24"/>
                <w:szCs w:val="24"/>
              </w:rPr>
              <w:t>:</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Burimet njerëzore në sistemin shëndetësor</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12</w:t>
            </w:r>
            <w:r w:rsidRPr="00EE67DF">
              <w:rPr>
                <w:rFonts w:cstheme="minorHAnsi"/>
                <w:b/>
                <w:sz w:val="24"/>
                <w:szCs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Menaxhmenti në shëndetësi, ekonomika shëndetësore</w:t>
            </w:r>
          </w:p>
          <w:p w:rsidR="00C94745" w:rsidRPr="00EE67DF" w:rsidRDefault="00C94745" w:rsidP="00C94745">
            <w:pPr>
              <w:rPr>
                <w:rFonts w:cstheme="minorHAnsi"/>
                <w:sz w:val="24"/>
                <w:szCs w:val="24"/>
                <w:lang w:val="it-IT"/>
              </w:rPr>
            </w:pPr>
            <w:r w:rsidRPr="00EE67DF">
              <w:rPr>
                <w:rFonts w:cstheme="minorHAnsi"/>
                <w:sz w:val="24"/>
                <w:szCs w:val="24"/>
                <w:lang w:val="it-IT"/>
              </w:rPr>
              <w:t>Organizimi i financimit dhe sigurimit shëndetësor</w:t>
            </w:r>
          </w:p>
          <w:p w:rsidR="00C94745" w:rsidRPr="00EE67DF" w:rsidRDefault="00C94745" w:rsidP="00C94745">
            <w:pPr>
              <w:rPr>
                <w:rFonts w:cstheme="minorHAnsi"/>
                <w:sz w:val="24"/>
                <w:szCs w:val="24"/>
                <w:lang w:val="it-IT"/>
              </w:rPr>
            </w:pPr>
            <w:r w:rsidRPr="00EE67DF">
              <w:rPr>
                <w:rFonts w:cstheme="minorHAnsi"/>
                <w:sz w:val="24"/>
                <w:szCs w:val="24"/>
                <w:lang w:val="it-IT"/>
              </w:rPr>
              <w:t>Sistemi i informimit shëndetësor</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13</w:t>
            </w:r>
            <w:r w:rsidRPr="00EE67DF">
              <w:rPr>
                <w:rFonts w:cstheme="minorHAnsi"/>
                <w:b/>
                <w:sz w:val="24"/>
                <w:szCs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Planifikim në shëndetësi</w:t>
            </w:r>
          </w:p>
          <w:p w:rsidR="00C94745" w:rsidRPr="00EE67DF" w:rsidRDefault="00C94745" w:rsidP="00C94745">
            <w:pPr>
              <w:rPr>
                <w:rFonts w:cstheme="minorHAnsi"/>
                <w:sz w:val="24"/>
                <w:szCs w:val="24"/>
                <w:lang w:val="nb-NO"/>
              </w:rPr>
            </w:pPr>
            <w:r w:rsidRPr="00EE67DF">
              <w:rPr>
                <w:rFonts w:cstheme="minorHAnsi"/>
                <w:sz w:val="24"/>
                <w:szCs w:val="24"/>
                <w:lang w:val="nb-NO"/>
              </w:rPr>
              <w:t>Zhvillimi dhe implementimi i planeve dhe programeve</w:t>
            </w:r>
          </w:p>
          <w:p w:rsidR="00C94745" w:rsidRPr="00EE67DF" w:rsidRDefault="00C94745" w:rsidP="00C94745">
            <w:pPr>
              <w:rPr>
                <w:rFonts w:cstheme="minorHAnsi"/>
                <w:sz w:val="24"/>
                <w:szCs w:val="24"/>
                <w:lang w:val="nb-NO"/>
              </w:rPr>
            </w:pPr>
            <w:r w:rsidRPr="00EE67DF">
              <w:rPr>
                <w:rFonts w:cstheme="minorHAnsi"/>
                <w:sz w:val="24"/>
                <w:szCs w:val="24"/>
                <w:lang w:val="nb-NO"/>
              </w:rPr>
              <w:t xml:space="preserve">Përcaktimi dhe vendosja e prioriteteve </w:t>
            </w:r>
          </w:p>
          <w:p w:rsidR="00C94745" w:rsidRPr="00EE67DF" w:rsidRDefault="00C94745" w:rsidP="00C94745">
            <w:pPr>
              <w:rPr>
                <w:rFonts w:cstheme="minorHAnsi"/>
                <w:sz w:val="24"/>
                <w:szCs w:val="24"/>
                <w:lang w:val="it-IT"/>
              </w:rPr>
            </w:pPr>
            <w:r w:rsidRPr="00EE67DF">
              <w:rPr>
                <w:rFonts w:cstheme="minorHAnsi"/>
                <w:sz w:val="24"/>
                <w:szCs w:val="24"/>
                <w:lang w:val="nb-NO"/>
              </w:rPr>
              <w:t>Llojet dhe fazat e planifikimit</w:t>
            </w:r>
            <w:r w:rsidRPr="00EE67DF">
              <w:rPr>
                <w:rFonts w:cstheme="minorHAnsi"/>
                <w:sz w:val="24"/>
                <w:szCs w:val="24"/>
                <w:lang w:val="it-IT"/>
              </w:rPr>
              <w:t xml:space="preserve"> </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14</w:t>
            </w:r>
            <w:r w:rsidRPr="00EE67DF">
              <w:rPr>
                <w:rFonts w:cstheme="minorHAnsi"/>
                <w:b/>
                <w:sz w:val="24"/>
                <w:szCs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rPr>
                <w:rFonts w:cstheme="minorHAnsi"/>
                <w:sz w:val="24"/>
                <w:szCs w:val="24"/>
                <w:lang w:val="it-IT"/>
              </w:rPr>
            </w:pPr>
            <w:r w:rsidRPr="00EE67DF">
              <w:rPr>
                <w:rFonts w:cstheme="minorHAnsi"/>
                <w:sz w:val="24"/>
                <w:szCs w:val="24"/>
                <w:lang w:val="it-IT"/>
              </w:rPr>
              <w:t xml:space="preserve">Koncepti dhe rëndësia e promovimit dhe edukimit shëndetësor </w:t>
            </w:r>
          </w:p>
          <w:p w:rsidR="00C94745" w:rsidRPr="00EE67DF" w:rsidRDefault="00C94745" w:rsidP="00C94745">
            <w:pPr>
              <w:rPr>
                <w:rFonts w:cstheme="minorHAnsi"/>
                <w:b/>
                <w:sz w:val="24"/>
                <w:szCs w:val="24"/>
              </w:rPr>
            </w:pPr>
            <w:r w:rsidRPr="00EE67DF">
              <w:rPr>
                <w:rFonts w:cstheme="minorHAnsi"/>
                <w:sz w:val="24"/>
                <w:szCs w:val="24"/>
                <w:lang w:val="it-IT"/>
              </w:rPr>
              <w:t>Metodat dhe mjetet edukativo shëndetësore</w:t>
            </w:r>
          </w:p>
        </w:tc>
      </w:tr>
      <w:tr w:rsidR="00C94745" w:rsidRPr="00EE67DF" w:rsidTr="00B56B1D">
        <w:tc>
          <w:tcPr>
            <w:tcW w:w="2718" w:type="dxa"/>
            <w:tcBorders>
              <w:top w:val="single" w:sz="4" w:space="0" w:color="000000"/>
              <w:left w:val="single" w:sz="4" w:space="0" w:color="000000"/>
              <w:bottom w:val="single" w:sz="4" w:space="0" w:color="000000"/>
              <w:right w:val="single" w:sz="4" w:space="0" w:color="000000"/>
            </w:tcBorders>
          </w:tcPr>
          <w:p w:rsidR="00C94745" w:rsidRPr="00EE67DF" w:rsidRDefault="00C94745" w:rsidP="00C94745">
            <w:pPr>
              <w:spacing w:after="0" w:line="240" w:lineRule="exact"/>
              <w:rPr>
                <w:rFonts w:cstheme="minorHAnsi"/>
                <w:b/>
                <w:i/>
                <w:sz w:val="24"/>
                <w:szCs w:val="24"/>
              </w:rPr>
            </w:pPr>
            <w:r w:rsidRPr="00EE67DF">
              <w:rPr>
                <w:rFonts w:cstheme="minorHAnsi"/>
                <w:b/>
                <w:i/>
                <w:sz w:val="24"/>
                <w:szCs w:val="24"/>
              </w:rPr>
              <w:t>Java 15</w:t>
            </w:r>
            <w:r w:rsidRPr="00EE67DF">
              <w:rPr>
                <w:rFonts w:cstheme="minorHAnsi"/>
                <w:b/>
                <w:sz w:val="24"/>
                <w:szCs w:val="24"/>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AC5048" w:rsidRPr="00EE67DF" w:rsidRDefault="00AC5048" w:rsidP="00C94745">
            <w:pPr>
              <w:autoSpaceDE w:val="0"/>
              <w:autoSpaceDN w:val="0"/>
              <w:adjustRightInd w:val="0"/>
              <w:spacing w:after="0" w:line="240" w:lineRule="exact"/>
              <w:rPr>
                <w:rFonts w:cstheme="minorHAnsi"/>
                <w:sz w:val="24"/>
                <w:szCs w:val="24"/>
                <w:lang w:val="it-IT"/>
              </w:rPr>
            </w:pPr>
            <w:r w:rsidRPr="00EE67DF">
              <w:rPr>
                <w:rFonts w:cstheme="minorHAnsi"/>
                <w:sz w:val="24"/>
                <w:szCs w:val="24"/>
                <w:lang w:val="it-IT"/>
              </w:rPr>
              <w:t>Rekapitulimi i lëndës dhe ligjerata përmbledhëse.</w:t>
            </w:r>
          </w:p>
          <w:p w:rsidR="00C94745" w:rsidRPr="00EE67DF" w:rsidRDefault="00C94745" w:rsidP="00C94745">
            <w:pPr>
              <w:autoSpaceDE w:val="0"/>
              <w:autoSpaceDN w:val="0"/>
              <w:adjustRightInd w:val="0"/>
              <w:spacing w:after="0" w:line="240" w:lineRule="exact"/>
              <w:rPr>
                <w:rFonts w:cstheme="minorHAnsi"/>
                <w:bCs/>
                <w:sz w:val="24"/>
                <w:szCs w:val="24"/>
                <w:lang w:eastAsia="mk-MK"/>
              </w:rPr>
            </w:pPr>
            <w:r w:rsidRPr="00EE67DF">
              <w:rPr>
                <w:rFonts w:cstheme="minorHAnsi"/>
                <w:bCs/>
                <w:sz w:val="24"/>
                <w:szCs w:val="24"/>
                <w:lang w:eastAsia="mk-MK"/>
              </w:rPr>
              <w:t xml:space="preserve">Vlerësimi dhe diskutimi lidhur me detyrat në klasë dhe në shtëpi gjatë semestrit dhe përgatitja për provimin final. </w:t>
            </w:r>
          </w:p>
        </w:tc>
      </w:tr>
    </w:tbl>
    <w:p w:rsidR="000461EB" w:rsidRPr="00EE67DF" w:rsidRDefault="000461EB" w:rsidP="000461EB">
      <w:pPr>
        <w:pStyle w:val="NoSpacing"/>
        <w:rPr>
          <w:rFonts w:asciiTheme="minorHAnsi" w:hAnsiTheme="minorHAnsi" w:cstheme="minorHAnsi"/>
          <w:lang w:val="sq-AL"/>
        </w:rPr>
      </w:pPr>
    </w:p>
    <w:p w:rsidR="000461EB" w:rsidRPr="00EE67DF" w:rsidRDefault="000461EB" w:rsidP="000461EB">
      <w:pPr>
        <w:pStyle w:val="NoSpacing"/>
        <w:rPr>
          <w:rFonts w:asciiTheme="minorHAnsi" w:hAnsiTheme="minorHAnsi" w:cstheme="minorHAnsi"/>
          <w:lang w:val="sq-AL"/>
        </w:rPr>
      </w:pPr>
    </w:p>
    <w:p w:rsidR="000461EB" w:rsidRPr="00EE67DF" w:rsidRDefault="000461EB" w:rsidP="000461EB">
      <w:pPr>
        <w:pStyle w:val="NoSpacing"/>
        <w:rPr>
          <w:rFonts w:asciiTheme="minorHAnsi" w:hAnsiTheme="minorHAnsi" w:cstheme="minorHAnsi"/>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0461EB" w:rsidRPr="00EE67DF" w:rsidTr="00B56B1D">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0461EB" w:rsidRPr="00EE67DF" w:rsidRDefault="000461EB" w:rsidP="00B56B1D">
            <w:pPr>
              <w:spacing w:after="0" w:line="240" w:lineRule="exact"/>
              <w:jc w:val="center"/>
              <w:rPr>
                <w:rFonts w:cstheme="minorHAnsi"/>
                <w:b/>
                <w:sz w:val="24"/>
                <w:szCs w:val="24"/>
              </w:rPr>
            </w:pPr>
            <w:bookmarkStart w:id="1" w:name="_Hlk505257718"/>
            <w:r w:rsidRPr="00EE67DF">
              <w:rPr>
                <w:rFonts w:cstheme="minorHAnsi"/>
                <w:b/>
                <w:sz w:val="24"/>
                <w:szCs w:val="24"/>
              </w:rPr>
              <w:t>Politikat akademike dhe Kodi i Sjelljes</w:t>
            </w:r>
            <w:bookmarkEnd w:id="1"/>
          </w:p>
        </w:tc>
      </w:tr>
      <w:tr w:rsidR="000461EB" w:rsidRPr="00EE67DF" w:rsidTr="00B56B1D">
        <w:trPr>
          <w:trHeight w:val="1088"/>
        </w:trPr>
        <w:tc>
          <w:tcPr>
            <w:tcW w:w="8856" w:type="dxa"/>
            <w:tcBorders>
              <w:top w:val="single" w:sz="4" w:space="0" w:color="000000"/>
              <w:left w:val="single" w:sz="4" w:space="0" w:color="000000"/>
              <w:bottom w:val="single" w:sz="4" w:space="0" w:color="000000"/>
              <w:right w:val="single" w:sz="4" w:space="0" w:color="000000"/>
            </w:tcBorders>
          </w:tcPr>
          <w:p w:rsidR="000461EB" w:rsidRPr="00EE67DF" w:rsidRDefault="000461EB" w:rsidP="00B56B1D">
            <w:pPr>
              <w:pStyle w:val="ListParagraph"/>
              <w:spacing w:after="0" w:line="240" w:lineRule="exact"/>
              <w:jc w:val="both"/>
              <w:rPr>
                <w:rFonts w:cstheme="minorHAnsi"/>
                <w:i/>
                <w:sz w:val="24"/>
                <w:szCs w:val="24"/>
              </w:rPr>
            </w:pPr>
          </w:p>
          <w:p w:rsidR="000461EB" w:rsidRPr="00EE67DF" w:rsidRDefault="00A9392F" w:rsidP="00B56B1D">
            <w:pPr>
              <w:spacing w:after="0" w:line="240" w:lineRule="exact"/>
              <w:contextualSpacing/>
              <w:jc w:val="both"/>
              <w:rPr>
                <w:rFonts w:cstheme="minorHAnsi"/>
                <w:i/>
                <w:sz w:val="24"/>
                <w:szCs w:val="24"/>
              </w:rPr>
            </w:pPr>
            <w:proofErr w:type="spellStart"/>
            <w:r w:rsidRPr="00EE67DF">
              <w:rPr>
                <w:rFonts w:cstheme="minorHAnsi"/>
                <w:sz w:val="24"/>
                <w:szCs w:val="24"/>
                <w:lang w:val="es-ES"/>
              </w:rPr>
              <w:t>Ligjeratat</w:t>
            </w:r>
            <w:proofErr w:type="spellEnd"/>
            <w:r w:rsidRPr="00EE67DF">
              <w:rPr>
                <w:rFonts w:cstheme="minorHAnsi"/>
                <w:sz w:val="24"/>
                <w:szCs w:val="24"/>
                <w:lang w:val="es-ES"/>
              </w:rPr>
              <w:t xml:space="preserve"> </w:t>
            </w:r>
            <w:proofErr w:type="spellStart"/>
            <w:r w:rsidRPr="00EE67DF">
              <w:rPr>
                <w:rFonts w:cstheme="minorHAnsi"/>
                <w:sz w:val="24"/>
                <w:szCs w:val="24"/>
                <w:lang w:val="es-ES"/>
              </w:rPr>
              <w:t>duhet</w:t>
            </w:r>
            <w:proofErr w:type="spellEnd"/>
            <w:r w:rsidRPr="00EE67DF">
              <w:rPr>
                <w:rFonts w:cstheme="minorHAnsi"/>
                <w:sz w:val="24"/>
                <w:szCs w:val="24"/>
                <w:lang w:val="es-ES"/>
              </w:rPr>
              <w:t xml:space="preserve"> </w:t>
            </w:r>
            <w:proofErr w:type="spellStart"/>
            <w:r w:rsidRPr="00EE67DF">
              <w:rPr>
                <w:rFonts w:cstheme="minorHAnsi"/>
                <w:sz w:val="24"/>
                <w:szCs w:val="24"/>
                <w:lang w:val="es-ES"/>
              </w:rPr>
              <w:t>të</w:t>
            </w:r>
            <w:proofErr w:type="spellEnd"/>
            <w:r w:rsidRPr="00EE67DF">
              <w:rPr>
                <w:rFonts w:cstheme="minorHAnsi"/>
                <w:sz w:val="24"/>
                <w:szCs w:val="24"/>
                <w:lang w:val="es-ES"/>
              </w:rPr>
              <w:t xml:space="preserve"> </w:t>
            </w:r>
            <w:proofErr w:type="spellStart"/>
            <w:r w:rsidRPr="00EE67DF">
              <w:rPr>
                <w:rFonts w:cstheme="minorHAnsi"/>
                <w:sz w:val="24"/>
                <w:szCs w:val="24"/>
                <w:lang w:val="es-ES"/>
              </w:rPr>
              <w:t>vijohen</w:t>
            </w:r>
            <w:proofErr w:type="spellEnd"/>
            <w:r w:rsidRPr="00EE67DF">
              <w:rPr>
                <w:rFonts w:cstheme="minorHAnsi"/>
                <w:sz w:val="24"/>
                <w:szCs w:val="24"/>
                <w:lang w:val="es-ES"/>
              </w:rPr>
              <w:t xml:space="preserve"> </w:t>
            </w:r>
            <w:proofErr w:type="spellStart"/>
            <w:r w:rsidRPr="00EE67DF">
              <w:rPr>
                <w:rFonts w:cstheme="minorHAnsi"/>
                <w:sz w:val="24"/>
                <w:szCs w:val="24"/>
                <w:lang w:val="es-ES"/>
              </w:rPr>
              <w:t>së</w:t>
            </w:r>
            <w:proofErr w:type="spellEnd"/>
            <w:r w:rsidRPr="00EE67DF">
              <w:rPr>
                <w:rFonts w:cstheme="minorHAnsi"/>
                <w:sz w:val="24"/>
                <w:szCs w:val="24"/>
                <w:lang w:val="es-ES"/>
              </w:rPr>
              <w:t xml:space="preserve"> </w:t>
            </w:r>
            <w:proofErr w:type="spellStart"/>
            <w:r w:rsidRPr="00EE67DF">
              <w:rPr>
                <w:rFonts w:cstheme="minorHAnsi"/>
                <w:sz w:val="24"/>
                <w:szCs w:val="24"/>
                <w:lang w:val="es-ES"/>
              </w:rPr>
              <w:t>paku</w:t>
            </w:r>
            <w:proofErr w:type="spellEnd"/>
            <w:r w:rsidRPr="00EE67DF">
              <w:rPr>
                <w:rFonts w:cstheme="minorHAnsi"/>
                <w:sz w:val="24"/>
                <w:szCs w:val="24"/>
                <w:lang w:val="es-ES"/>
              </w:rPr>
              <w:t xml:space="preserve"> 75%. </w:t>
            </w:r>
            <w:proofErr w:type="spellStart"/>
            <w:r w:rsidRPr="00EE67DF">
              <w:rPr>
                <w:rFonts w:cstheme="minorHAnsi"/>
                <w:sz w:val="24"/>
                <w:szCs w:val="24"/>
                <w:lang w:val="es-ES"/>
              </w:rPr>
              <w:t>Nëse</w:t>
            </w:r>
            <w:proofErr w:type="spellEnd"/>
            <w:r w:rsidRPr="00EE67DF">
              <w:rPr>
                <w:rFonts w:cstheme="minorHAnsi"/>
                <w:sz w:val="24"/>
                <w:szCs w:val="24"/>
                <w:lang w:val="es-ES"/>
              </w:rPr>
              <w:t xml:space="preserve"> </w:t>
            </w:r>
            <w:proofErr w:type="spellStart"/>
            <w:r w:rsidRPr="00EE67DF">
              <w:rPr>
                <w:rFonts w:cstheme="minorHAnsi"/>
                <w:sz w:val="24"/>
                <w:szCs w:val="24"/>
                <w:lang w:val="es-ES"/>
              </w:rPr>
              <w:t>studenti</w:t>
            </w:r>
            <w:proofErr w:type="spellEnd"/>
            <w:r w:rsidRPr="00EE67DF">
              <w:rPr>
                <w:rFonts w:cstheme="minorHAnsi"/>
                <w:sz w:val="24"/>
                <w:szCs w:val="24"/>
                <w:lang w:val="es-ES"/>
              </w:rPr>
              <w:t xml:space="preserve"> </w:t>
            </w:r>
            <w:proofErr w:type="spellStart"/>
            <w:r w:rsidRPr="00EE67DF">
              <w:rPr>
                <w:rFonts w:cstheme="minorHAnsi"/>
                <w:sz w:val="24"/>
                <w:szCs w:val="24"/>
                <w:lang w:val="es-ES"/>
              </w:rPr>
              <w:t>mungon</w:t>
            </w:r>
            <w:proofErr w:type="spellEnd"/>
            <w:r w:rsidRPr="00EE67DF">
              <w:rPr>
                <w:rFonts w:cstheme="minorHAnsi"/>
                <w:sz w:val="24"/>
                <w:szCs w:val="24"/>
                <w:lang w:val="es-ES"/>
              </w:rPr>
              <w:t xml:space="preserve"> </w:t>
            </w:r>
            <w:proofErr w:type="spellStart"/>
            <w:r w:rsidRPr="00EE67DF">
              <w:rPr>
                <w:rFonts w:cstheme="minorHAnsi"/>
                <w:sz w:val="24"/>
                <w:szCs w:val="24"/>
                <w:lang w:val="es-ES"/>
              </w:rPr>
              <w:t>më</w:t>
            </w:r>
            <w:proofErr w:type="spellEnd"/>
            <w:r w:rsidRPr="00EE67DF">
              <w:rPr>
                <w:rFonts w:cstheme="minorHAnsi"/>
                <w:sz w:val="24"/>
                <w:szCs w:val="24"/>
                <w:lang w:val="es-ES"/>
              </w:rPr>
              <w:t xml:space="preserve"> </w:t>
            </w:r>
            <w:proofErr w:type="spellStart"/>
            <w:r w:rsidRPr="00EE67DF">
              <w:rPr>
                <w:rFonts w:cstheme="minorHAnsi"/>
                <w:sz w:val="24"/>
                <w:szCs w:val="24"/>
                <w:lang w:val="es-ES"/>
              </w:rPr>
              <w:t>tepër</w:t>
            </w:r>
            <w:proofErr w:type="spellEnd"/>
            <w:r w:rsidRPr="00EE67DF">
              <w:rPr>
                <w:rFonts w:cstheme="minorHAnsi"/>
                <w:sz w:val="24"/>
                <w:szCs w:val="24"/>
                <w:lang w:val="es-ES"/>
              </w:rPr>
              <w:t xml:space="preserve"> se </w:t>
            </w:r>
            <w:proofErr w:type="spellStart"/>
            <w:r w:rsidRPr="00EE67DF">
              <w:rPr>
                <w:rFonts w:cstheme="minorHAnsi"/>
                <w:sz w:val="24"/>
                <w:szCs w:val="24"/>
                <w:lang w:val="es-ES"/>
              </w:rPr>
              <w:t>dy</w:t>
            </w:r>
            <w:proofErr w:type="spellEnd"/>
            <w:r w:rsidRPr="00EE67DF">
              <w:rPr>
                <w:rFonts w:cstheme="minorHAnsi"/>
                <w:sz w:val="24"/>
                <w:szCs w:val="24"/>
                <w:lang w:val="es-ES"/>
              </w:rPr>
              <w:t xml:space="preserve"> </w:t>
            </w:r>
            <w:proofErr w:type="spellStart"/>
            <w:r w:rsidRPr="00EE67DF">
              <w:rPr>
                <w:rFonts w:cstheme="minorHAnsi"/>
                <w:sz w:val="24"/>
                <w:szCs w:val="24"/>
                <w:lang w:val="es-ES"/>
              </w:rPr>
              <w:t>ushtrime</w:t>
            </w:r>
            <w:proofErr w:type="spellEnd"/>
            <w:r w:rsidRPr="00EE67DF">
              <w:rPr>
                <w:rFonts w:cstheme="minorHAnsi"/>
                <w:sz w:val="24"/>
                <w:szCs w:val="24"/>
                <w:lang w:val="es-ES"/>
              </w:rPr>
              <w:t xml:space="preserve">, </w:t>
            </w:r>
            <w:proofErr w:type="spellStart"/>
            <w:r w:rsidRPr="00EE67DF">
              <w:rPr>
                <w:rFonts w:cstheme="minorHAnsi"/>
                <w:sz w:val="24"/>
                <w:szCs w:val="24"/>
                <w:lang w:val="es-ES"/>
              </w:rPr>
              <w:t>seminare</w:t>
            </w:r>
            <w:proofErr w:type="spellEnd"/>
            <w:r w:rsidRPr="00EE67DF">
              <w:rPr>
                <w:rFonts w:cstheme="minorHAnsi"/>
                <w:sz w:val="24"/>
                <w:szCs w:val="24"/>
                <w:lang w:val="es-ES"/>
              </w:rPr>
              <w:t xml:space="preserve"> ose </w:t>
            </w:r>
            <w:proofErr w:type="spellStart"/>
            <w:r w:rsidRPr="00EE67DF">
              <w:rPr>
                <w:rFonts w:cstheme="minorHAnsi"/>
                <w:sz w:val="24"/>
                <w:szCs w:val="24"/>
                <w:lang w:val="es-ES"/>
              </w:rPr>
              <w:t>nuk</w:t>
            </w:r>
            <w:proofErr w:type="spellEnd"/>
            <w:r w:rsidRPr="00EE67DF">
              <w:rPr>
                <w:rFonts w:cstheme="minorHAnsi"/>
                <w:sz w:val="24"/>
                <w:szCs w:val="24"/>
                <w:lang w:val="es-ES"/>
              </w:rPr>
              <w:t xml:space="preserve"> </w:t>
            </w:r>
            <w:proofErr w:type="spellStart"/>
            <w:r w:rsidRPr="00EE67DF">
              <w:rPr>
                <w:rFonts w:cstheme="minorHAnsi"/>
                <w:sz w:val="24"/>
                <w:szCs w:val="24"/>
                <w:lang w:val="es-ES"/>
              </w:rPr>
              <w:t>është</w:t>
            </w:r>
            <w:proofErr w:type="spellEnd"/>
            <w:r w:rsidRPr="00EE67DF">
              <w:rPr>
                <w:rFonts w:cstheme="minorHAnsi"/>
                <w:sz w:val="24"/>
                <w:szCs w:val="24"/>
                <w:lang w:val="es-ES"/>
              </w:rPr>
              <w:t xml:space="preserve"> </w:t>
            </w:r>
            <w:proofErr w:type="spellStart"/>
            <w:r w:rsidRPr="00EE67DF">
              <w:rPr>
                <w:rFonts w:cstheme="minorHAnsi"/>
                <w:sz w:val="24"/>
                <w:szCs w:val="24"/>
                <w:lang w:val="es-ES"/>
              </w:rPr>
              <w:t>aktiv</w:t>
            </w:r>
            <w:proofErr w:type="spellEnd"/>
            <w:r w:rsidRPr="00EE67DF">
              <w:rPr>
                <w:rFonts w:cstheme="minorHAnsi"/>
                <w:sz w:val="24"/>
                <w:szCs w:val="24"/>
                <w:lang w:val="es-ES"/>
              </w:rPr>
              <w:t xml:space="preserve"> </w:t>
            </w:r>
            <w:proofErr w:type="spellStart"/>
            <w:r w:rsidRPr="00EE67DF">
              <w:rPr>
                <w:rFonts w:cstheme="minorHAnsi"/>
                <w:sz w:val="24"/>
                <w:szCs w:val="24"/>
                <w:lang w:val="es-ES"/>
              </w:rPr>
              <w:t>gjatë</w:t>
            </w:r>
            <w:proofErr w:type="spellEnd"/>
            <w:r w:rsidRPr="00EE67DF">
              <w:rPr>
                <w:rFonts w:cstheme="minorHAnsi"/>
                <w:sz w:val="24"/>
                <w:szCs w:val="24"/>
                <w:lang w:val="es-ES"/>
              </w:rPr>
              <w:t xml:space="preserve"> </w:t>
            </w:r>
            <w:proofErr w:type="spellStart"/>
            <w:r w:rsidRPr="00EE67DF">
              <w:rPr>
                <w:rFonts w:cstheme="minorHAnsi"/>
                <w:sz w:val="24"/>
                <w:szCs w:val="24"/>
                <w:lang w:val="es-ES"/>
              </w:rPr>
              <w:t>mësimit</w:t>
            </w:r>
            <w:proofErr w:type="spellEnd"/>
            <w:r w:rsidRPr="00EE67DF">
              <w:rPr>
                <w:rFonts w:cstheme="minorHAnsi"/>
                <w:sz w:val="24"/>
                <w:szCs w:val="24"/>
                <w:lang w:val="es-ES"/>
              </w:rPr>
              <w:t xml:space="preserve">, </w:t>
            </w:r>
            <w:proofErr w:type="spellStart"/>
            <w:r w:rsidRPr="00EE67DF">
              <w:rPr>
                <w:rFonts w:cstheme="minorHAnsi"/>
                <w:sz w:val="24"/>
                <w:szCs w:val="24"/>
                <w:lang w:val="es-ES"/>
              </w:rPr>
              <w:t>duhet</w:t>
            </w:r>
            <w:proofErr w:type="spellEnd"/>
            <w:r w:rsidRPr="00EE67DF">
              <w:rPr>
                <w:rFonts w:cstheme="minorHAnsi"/>
                <w:sz w:val="24"/>
                <w:szCs w:val="24"/>
                <w:lang w:val="es-ES"/>
              </w:rPr>
              <w:t xml:space="preserve"> </w:t>
            </w:r>
            <w:proofErr w:type="spellStart"/>
            <w:r w:rsidRPr="00EE67DF">
              <w:rPr>
                <w:rFonts w:cstheme="minorHAnsi"/>
                <w:sz w:val="24"/>
                <w:szCs w:val="24"/>
                <w:lang w:val="es-ES"/>
              </w:rPr>
              <w:t>të</w:t>
            </w:r>
            <w:proofErr w:type="spellEnd"/>
            <w:r w:rsidRPr="00EE67DF">
              <w:rPr>
                <w:rFonts w:cstheme="minorHAnsi"/>
                <w:sz w:val="24"/>
                <w:szCs w:val="24"/>
                <w:lang w:val="es-ES"/>
              </w:rPr>
              <w:t xml:space="preserve"> </w:t>
            </w:r>
            <w:proofErr w:type="spellStart"/>
            <w:r w:rsidRPr="00EE67DF">
              <w:rPr>
                <w:rFonts w:cstheme="minorHAnsi"/>
                <w:sz w:val="24"/>
                <w:szCs w:val="24"/>
                <w:lang w:val="es-ES"/>
              </w:rPr>
              <w:t>hyj</w:t>
            </w:r>
            <w:proofErr w:type="spellEnd"/>
            <w:r w:rsidRPr="00EE67DF">
              <w:rPr>
                <w:rFonts w:cstheme="minorHAnsi"/>
                <w:sz w:val="24"/>
                <w:szCs w:val="24"/>
                <w:lang w:val="es-ES"/>
              </w:rPr>
              <w:t xml:space="preserve"> </w:t>
            </w:r>
            <w:proofErr w:type="spellStart"/>
            <w:r w:rsidRPr="00EE67DF">
              <w:rPr>
                <w:rFonts w:cstheme="minorHAnsi"/>
                <w:sz w:val="24"/>
                <w:szCs w:val="24"/>
                <w:lang w:val="es-ES"/>
              </w:rPr>
              <w:t>në</w:t>
            </w:r>
            <w:proofErr w:type="spellEnd"/>
            <w:r w:rsidRPr="00EE67DF">
              <w:rPr>
                <w:rFonts w:cstheme="minorHAnsi"/>
                <w:sz w:val="24"/>
                <w:szCs w:val="24"/>
                <w:lang w:val="es-ES"/>
              </w:rPr>
              <w:t xml:space="preserve"> </w:t>
            </w:r>
            <w:proofErr w:type="spellStart"/>
            <w:r w:rsidRPr="00EE67DF">
              <w:rPr>
                <w:rFonts w:cstheme="minorHAnsi"/>
                <w:sz w:val="24"/>
                <w:szCs w:val="24"/>
                <w:lang w:val="es-ES"/>
              </w:rPr>
              <w:t>kolokvium</w:t>
            </w:r>
            <w:proofErr w:type="spellEnd"/>
            <w:r w:rsidRPr="00EE67DF">
              <w:rPr>
                <w:rFonts w:cstheme="minorHAnsi"/>
                <w:sz w:val="24"/>
                <w:szCs w:val="24"/>
                <w:lang w:val="es-ES"/>
              </w:rPr>
              <w:t xml:space="preserve">. </w:t>
            </w:r>
            <w:proofErr w:type="spellStart"/>
            <w:r w:rsidRPr="00EE67DF">
              <w:rPr>
                <w:rFonts w:cstheme="minorHAnsi"/>
                <w:sz w:val="24"/>
                <w:szCs w:val="24"/>
                <w:lang w:val="es-ES"/>
              </w:rPr>
              <w:t>Mbrojtja</w:t>
            </w:r>
            <w:proofErr w:type="spellEnd"/>
            <w:r w:rsidRPr="00EE67DF">
              <w:rPr>
                <w:rFonts w:cstheme="minorHAnsi"/>
                <w:sz w:val="24"/>
                <w:szCs w:val="24"/>
                <w:lang w:val="es-ES"/>
              </w:rPr>
              <w:t xml:space="preserve"> e </w:t>
            </w:r>
            <w:proofErr w:type="spellStart"/>
            <w:r w:rsidRPr="00EE67DF">
              <w:rPr>
                <w:rFonts w:cstheme="minorHAnsi"/>
                <w:sz w:val="24"/>
                <w:szCs w:val="24"/>
                <w:lang w:val="es-ES"/>
              </w:rPr>
              <w:t>seminarit</w:t>
            </w:r>
            <w:proofErr w:type="spellEnd"/>
            <w:r w:rsidRPr="00EE67DF">
              <w:rPr>
                <w:rFonts w:cstheme="minorHAnsi"/>
                <w:sz w:val="24"/>
                <w:szCs w:val="24"/>
                <w:lang w:val="es-ES"/>
              </w:rPr>
              <w:t xml:space="preserve"> </w:t>
            </w:r>
            <w:proofErr w:type="spellStart"/>
            <w:r w:rsidRPr="00EE67DF">
              <w:rPr>
                <w:rFonts w:cstheme="minorHAnsi"/>
                <w:sz w:val="24"/>
                <w:szCs w:val="24"/>
                <w:lang w:val="es-ES"/>
              </w:rPr>
              <w:t>është</w:t>
            </w:r>
            <w:proofErr w:type="spellEnd"/>
            <w:r w:rsidRPr="00EE67DF">
              <w:rPr>
                <w:rFonts w:cstheme="minorHAnsi"/>
                <w:sz w:val="24"/>
                <w:szCs w:val="24"/>
                <w:lang w:val="es-ES"/>
              </w:rPr>
              <w:t xml:space="preserve"> </w:t>
            </w:r>
            <w:proofErr w:type="spellStart"/>
            <w:r w:rsidRPr="00EE67DF">
              <w:rPr>
                <w:rFonts w:cstheme="minorHAnsi"/>
                <w:sz w:val="24"/>
                <w:szCs w:val="24"/>
                <w:lang w:val="es-ES"/>
              </w:rPr>
              <w:t>kusht</w:t>
            </w:r>
            <w:proofErr w:type="spellEnd"/>
            <w:r w:rsidRPr="00EE67DF">
              <w:rPr>
                <w:rFonts w:cstheme="minorHAnsi"/>
                <w:sz w:val="24"/>
                <w:szCs w:val="24"/>
                <w:lang w:val="es-ES"/>
              </w:rPr>
              <w:t xml:space="preserve"> </w:t>
            </w:r>
            <w:proofErr w:type="spellStart"/>
            <w:r w:rsidRPr="00EE67DF">
              <w:rPr>
                <w:rFonts w:cstheme="minorHAnsi"/>
                <w:sz w:val="24"/>
                <w:szCs w:val="24"/>
                <w:lang w:val="es-ES"/>
              </w:rPr>
              <w:t>për</w:t>
            </w:r>
            <w:proofErr w:type="spellEnd"/>
            <w:r w:rsidRPr="00EE67DF">
              <w:rPr>
                <w:rFonts w:cstheme="minorHAnsi"/>
                <w:sz w:val="24"/>
                <w:szCs w:val="24"/>
                <w:lang w:val="es-ES"/>
              </w:rPr>
              <w:t xml:space="preserve"> </w:t>
            </w:r>
            <w:proofErr w:type="spellStart"/>
            <w:r w:rsidRPr="00EE67DF">
              <w:rPr>
                <w:rFonts w:cstheme="minorHAnsi"/>
                <w:sz w:val="24"/>
                <w:szCs w:val="24"/>
                <w:lang w:val="es-ES"/>
              </w:rPr>
              <w:t>hyrje</w:t>
            </w:r>
            <w:proofErr w:type="spellEnd"/>
            <w:r w:rsidRPr="00EE67DF">
              <w:rPr>
                <w:rFonts w:cstheme="minorHAnsi"/>
                <w:sz w:val="24"/>
                <w:szCs w:val="24"/>
                <w:lang w:val="es-ES"/>
              </w:rPr>
              <w:t xml:space="preserve"> </w:t>
            </w:r>
            <w:proofErr w:type="spellStart"/>
            <w:r w:rsidRPr="00EE67DF">
              <w:rPr>
                <w:rFonts w:cstheme="minorHAnsi"/>
                <w:sz w:val="24"/>
                <w:szCs w:val="24"/>
                <w:lang w:val="es-ES"/>
              </w:rPr>
              <w:t>në</w:t>
            </w:r>
            <w:proofErr w:type="spellEnd"/>
            <w:r w:rsidRPr="00EE67DF">
              <w:rPr>
                <w:rFonts w:cstheme="minorHAnsi"/>
                <w:sz w:val="24"/>
                <w:szCs w:val="24"/>
                <w:lang w:val="es-ES"/>
              </w:rPr>
              <w:t xml:space="preserve"> </w:t>
            </w:r>
            <w:proofErr w:type="spellStart"/>
            <w:r w:rsidRPr="00EE67DF">
              <w:rPr>
                <w:rFonts w:cstheme="minorHAnsi"/>
                <w:sz w:val="24"/>
                <w:szCs w:val="24"/>
                <w:lang w:val="es-ES"/>
              </w:rPr>
              <w:t>provim</w:t>
            </w:r>
            <w:proofErr w:type="spellEnd"/>
            <w:r w:rsidRPr="00EE67DF">
              <w:rPr>
                <w:rFonts w:cstheme="minorHAnsi"/>
                <w:sz w:val="24"/>
                <w:szCs w:val="24"/>
                <w:lang w:val="es-ES"/>
              </w:rPr>
              <w:t xml:space="preserve">. </w:t>
            </w:r>
            <w:proofErr w:type="spellStart"/>
            <w:r w:rsidRPr="00EE67DF">
              <w:rPr>
                <w:rFonts w:cstheme="minorHAnsi"/>
                <w:sz w:val="24"/>
                <w:szCs w:val="24"/>
                <w:lang w:val="es-ES"/>
              </w:rPr>
              <w:t>Studenti</w:t>
            </w:r>
            <w:proofErr w:type="spellEnd"/>
            <w:r w:rsidRPr="00EE67DF">
              <w:rPr>
                <w:rFonts w:cstheme="minorHAnsi"/>
                <w:sz w:val="24"/>
                <w:szCs w:val="24"/>
                <w:lang w:val="es-ES"/>
              </w:rPr>
              <w:t xml:space="preserve"> </w:t>
            </w:r>
            <w:proofErr w:type="spellStart"/>
            <w:r w:rsidRPr="00EE67DF">
              <w:rPr>
                <w:rFonts w:cstheme="minorHAnsi"/>
                <w:sz w:val="24"/>
                <w:szCs w:val="24"/>
                <w:lang w:val="es-ES"/>
              </w:rPr>
              <w:t>nuk</w:t>
            </w:r>
            <w:proofErr w:type="spellEnd"/>
            <w:r w:rsidRPr="00EE67DF">
              <w:rPr>
                <w:rFonts w:cstheme="minorHAnsi"/>
                <w:sz w:val="24"/>
                <w:szCs w:val="24"/>
                <w:lang w:val="es-ES"/>
              </w:rPr>
              <w:t xml:space="preserve"> </w:t>
            </w:r>
            <w:proofErr w:type="spellStart"/>
            <w:r w:rsidRPr="00EE67DF">
              <w:rPr>
                <w:rFonts w:cstheme="minorHAnsi"/>
                <w:sz w:val="24"/>
                <w:szCs w:val="24"/>
                <w:lang w:val="es-ES"/>
              </w:rPr>
              <w:t>pranohet</w:t>
            </w:r>
            <w:proofErr w:type="spellEnd"/>
            <w:r w:rsidRPr="00EE67DF">
              <w:rPr>
                <w:rFonts w:cstheme="minorHAnsi"/>
                <w:sz w:val="24"/>
                <w:szCs w:val="24"/>
                <w:lang w:val="es-ES"/>
              </w:rPr>
              <w:t xml:space="preserve"> </w:t>
            </w:r>
            <w:proofErr w:type="spellStart"/>
            <w:r w:rsidRPr="00EE67DF">
              <w:rPr>
                <w:rFonts w:cstheme="minorHAnsi"/>
                <w:sz w:val="24"/>
                <w:szCs w:val="24"/>
                <w:lang w:val="es-ES"/>
              </w:rPr>
              <w:t>në</w:t>
            </w:r>
            <w:proofErr w:type="spellEnd"/>
            <w:r w:rsidRPr="00EE67DF">
              <w:rPr>
                <w:rFonts w:cstheme="minorHAnsi"/>
                <w:sz w:val="24"/>
                <w:szCs w:val="24"/>
                <w:lang w:val="es-ES"/>
              </w:rPr>
              <w:t xml:space="preserve"> </w:t>
            </w:r>
            <w:proofErr w:type="spellStart"/>
            <w:r w:rsidRPr="00EE67DF">
              <w:rPr>
                <w:rFonts w:cstheme="minorHAnsi"/>
                <w:sz w:val="24"/>
                <w:szCs w:val="24"/>
                <w:lang w:val="es-ES"/>
              </w:rPr>
              <w:t>provim</w:t>
            </w:r>
            <w:proofErr w:type="spellEnd"/>
            <w:r w:rsidRPr="00EE67DF">
              <w:rPr>
                <w:rFonts w:cstheme="minorHAnsi"/>
                <w:sz w:val="24"/>
                <w:szCs w:val="24"/>
                <w:lang w:val="es-ES"/>
              </w:rPr>
              <w:t xml:space="preserve"> </w:t>
            </w:r>
            <w:proofErr w:type="spellStart"/>
            <w:r w:rsidRPr="00EE67DF">
              <w:rPr>
                <w:rFonts w:cstheme="minorHAnsi"/>
                <w:sz w:val="24"/>
                <w:szCs w:val="24"/>
                <w:lang w:val="es-ES"/>
              </w:rPr>
              <w:t>pa</w:t>
            </w:r>
            <w:proofErr w:type="spellEnd"/>
            <w:r w:rsidRPr="00EE67DF">
              <w:rPr>
                <w:rFonts w:cstheme="minorHAnsi"/>
                <w:sz w:val="24"/>
                <w:szCs w:val="24"/>
                <w:lang w:val="es-ES"/>
              </w:rPr>
              <w:t xml:space="preserve"> ID.</w:t>
            </w:r>
          </w:p>
          <w:p w:rsidR="000461EB" w:rsidRPr="00EE67DF" w:rsidRDefault="000461EB" w:rsidP="00B56B1D">
            <w:pPr>
              <w:spacing w:after="0" w:line="240" w:lineRule="exact"/>
              <w:contextualSpacing/>
              <w:jc w:val="both"/>
              <w:rPr>
                <w:rFonts w:cstheme="minorHAnsi"/>
                <w:i/>
                <w:sz w:val="24"/>
                <w:szCs w:val="24"/>
              </w:rPr>
            </w:pPr>
            <w:r w:rsidRPr="00EE67DF">
              <w:rPr>
                <w:rFonts w:cstheme="minorHAnsi"/>
                <w:i/>
                <w:sz w:val="24"/>
                <w:szCs w:val="24"/>
              </w:rPr>
              <w:t xml:space="preserve">Ora mësimore fillon dhe përfundon me kohë. </w:t>
            </w:r>
          </w:p>
          <w:p w:rsidR="000461EB" w:rsidRPr="00EE67DF" w:rsidRDefault="000461EB" w:rsidP="00B56B1D">
            <w:pPr>
              <w:spacing w:after="0" w:line="240" w:lineRule="exact"/>
              <w:contextualSpacing/>
              <w:jc w:val="both"/>
              <w:rPr>
                <w:rFonts w:cstheme="minorHAnsi"/>
                <w:i/>
                <w:sz w:val="24"/>
                <w:szCs w:val="24"/>
              </w:rPr>
            </w:pPr>
            <w:r w:rsidRPr="00EE67DF">
              <w:rPr>
                <w:rFonts w:cstheme="minorHAnsi"/>
                <w:i/>
                <w:sz w:val="24"/>
                <w:szCs w:val="24"/>
              </w:rPr>
              <w:t xml:space="preserve">Telefonat mobil/të mençur dhe pajisjet tjera elektronike (p.sh. iPod-ët) duhet të fikën (apo të kurdisen në vibrim) dhe të mos ekspozohen gjatë orëve të mësimit. </w:t>
            </w:r>
          </w:p>
          <w:p w:rsidR="000461EB" w:rsidRPr="00EE67DF" w:rsidRDefault="000461EB" w:rsidP="00B56B1D">
            <w:pPr>
              <w:spacing w:after="0" w:line="240" w:lineRule="exact"/>
              <w:contextualSpacing/>
              <w:jc w:val="both"/>
              <w:rPr>
                <w:rFonts w:cstheme="minorHAnsi"/>
                <w:i/>
                <w:sz w:val="24"/>
                <w:szCs w:val="24"/>
              </w:rPr>
            </w:pPr>
          </w:p>
          <w:p w:rsidR="000461EB" w:rsidRPr="00EE67DF" w:rsidRDefault="000461EB" w:rsidP="00B56B1D">
            <w:pPr>
              <w:spacing w:after="0" w:line="240" w:lineRule="exact"/>
              <w:contextualSpacing/>
              <w:jc w:val="both"/>
              <w:rPr>
                <w:rFonts w:cstheme="minorHAnsi"/>
                <w:i/>
                <w:sz w:val="24"/>
                <w:szCs w:val="24"/>
              </w:rPr>
            </w:pPr>
          </w:p>
        </w:tc>
      </w:tr>
    </w:tbl>
    <w:p w:rsidR="000461EB" w:rsidRPr="00EE67DF" w:rsidRDefault="000461EB" w:rsidP="000461EB">
      <w:pPr>
        <w:jc w:val="both"/>
        <w:rPr>
          <w:rFonts w:cstheme="minorHAnsi"/>
          <w:b/>
          <w:sz w:val="24"/>
          <w:szCs w:val="24"/>
        </w:rPr>
      </w:pPr>
    </w:p>
    <w:p w:rsidR="000461EB" w:rsidRPr="00EE67DF" w:rsidRDefault="000461EB" w:rsidP="000461EB">
      <w:pPr>
        <w:rPr>
          <w:rFonts w:cstheme="minorHAnsi"/>
          <w:sz w:val="24"/>
          <w:szCs w:val="24"/>
        </w:rPr>
      </w:pPr>
    </w:p>
    <w:p w:rsidR="00562024" w:rsidRPr="00EE67DF" w:rsidRDefault="00562024">
      <w:pPr>
        <w:rPr>
          <w:rFonts w:cstheme="minorHAnsi"/>
          <w:sz w:val="24"/>
          <w:szCs w:val="24"/>
        </w:rPr>
      </w:pPr>
    </w:p>
    <w:sectPr w:rsidR="00562024" w:rsidRPr="00EE67DF"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357"/>
    <w:multiLevelType w:val="hybridMultilevel"/>
    <w:tmpl w:val="4CFCE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5F1DBD"/>
    <w:multiLevelType w:val="hybridMultilevel"/>
    <w:tmpl w:val="1FD2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234161"/>
    <w:multiLevelType w:val="hybridMultilevel"/>
    <w:tmpl w:val="E4B0C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B002B"/>
    <w:multiLevelType w:val="hybridMultilevel"/>
    <w:tmpl w:val="E8CC9E08"/>
    <w:lvl w:ilvl="0" w:tplc="0409000F">
      <w:start w:val="1"/>
      <w:numFmt w:val="decimal"/>
      <w:lvlText w:val="%1."/>
      <w:lvlJc w:val="left"/>
      <w:pPr>
        <w:ind w:left="502" w:hanging="360"/>
      </w:pPr>
    </w:lvl>
    <w:lvl w:ilvl="1" w:tplc="2F5068F8">
      <w:start w:val="1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FD"/>
    <w:rsid w:val="00026150"/>
    <w:rsid w:val="00040425"/>
    <w:rsid w:val="000461EB"/>
    <w:rsid w:val="000648C4"/>
    <w:rsid w:val="00083F29"/>
    <w:rsid w:val="000B7600"/>
    <w:rsid w:val="000F0309"/>
    <w:rsid w:val="001B6971"/>
    <w:rsid w:val="001F316C"/>
    <w:rsid w:val="00256F92"/>
    <w:rsid w:val="0026253A"/>
    <w:rsid w:val="0027759A"/>
    <w:rsid w:val="00282A58"/>
    <w:rsid w:val="002832AD"/>
    <w:rsid w:val="002A01ED"/>
    <w:rsid w:val="002C4B60"/>
    <w:rsid w:val="002C5F85"/>
    <w:rsid w:val="002F58E5"/>
    <w:rsid w:val="00332EF6"/>
    <w:rsid w:val="00347107"/>
    <w:rsid w:val="003675F3"/>
    <w:rsid w:val="00385E95"/>
    <w:rsid w:val="004B35F9"/>
    <w:rsid w:val="004C2281"/>
    <w:rsid w:val="004D2D97"/>
    <w:rsid w:val="004D2DC3"/>
    <w:rsid w:val="004D55BA"/>
    <w:rsid w:val="005344DB"/>
    <w:rsid w:val="00562024"/>
    <w:rsid w:val="005E28ED"/>
    <w:rsid w:val="005E3681"/>
    <w:rsid w:val="00651EC4"/>
    <w:rsid w:val="00666C69"/>
    <w:rsid w:val="00696F71"/>
    <w:rsid w:val="006C2A9B"/>
    <w:rsid w:val="006D1695"/>
    <w:rsid w:val="006E225D"/>
    <w:rsid w:val="00757F47"/>
    <w:rsid w:val="00772A04"/>
    <w:rsid w:val="00793E26"/>
    <w:rsid w:val="007962E1"/>
    <w:rsid w:val="008C06FD"/>
    <w:rsid w:val="0096685F"/>
    <w:rsid w:val="009968C0"/>
    <w:rsid w:val="009C06B6"/>
    <w:rsid w:val="00A605E3"/>
    <w:rsid w:val="00A9392F"/>
    <w:rsid w:val="00AC5048"/>
    <w:rsid w:val="00B6549C"/>
    <w:rsid w:val="00B67A15"/>
    <w:rsid w:val="00B76D00"/>
    <w:rsid w:val="00BB0E8F"/>
    <w:rsid w:val="00BC1954"/>
    <w:rsid w:val="00BD37A0"/>
    <w:rsid w:val="00BD525D"/>
    <w:rsid w:val="00C17DAD"/>
    <w:rsid w:val="00C409D0"/>
    <w:rsid w:val="00C61711"/>
    <w:rsid w:val="00C72854"/>
    <w:rsid w:val="00C94745"/>
    <w:rsid w:val="00CB0F68"/>
    <w:rsid w:val="00D33E47"/>
    <w:rsid w:val="00D5444C"/>
    <w:rsid w:val="00D7680D"/>
    <w:rsid w:val="00D95BDB"/>
    <w:rsid w:val="00DA214E"/>
    <w:rsid w:val="00E73F30"/>
    <w:rsid w:val="00E82A4E"/>
    <w:rsid w:val="00E948DB"/>
    <w:rsid w:val="00EE67DF"/>
    <w:rsid w:val="00FB0095"/>
    <w:rsid w:val="00FE3C8D"/>
    <w:rsid w:val="00FE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18AA"/>
  <w15:chartTrackingRefBased/>
  <w15:docId w15:val="{747B1DDD-18AB-4AF6-820D-424F4905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1EB"/>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link w:val="ListParagraphChar"/>
    <w:uiPriority w:val="34"/>
    <w:qFormat/>
    <w:rsid w:val="000461EB"/>
    <w:pPr>
      <w:ind w:left="720"/>
      <w:contextualSpacing/>
    </w:pPr>
  </w:style>
  <w:style w:type="paragraph" w:styleId="NoSpacing">
    <w:name w:val="No Spacing"/>
    <w:link w:val="NoSpacingChar"/>
    <w:qFormat/>
    <w:rsid w:val="000461EB"/>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
    <w:link w:val="ListParagraph"/>
    <w:uiPriority w:val="34"/>
    <w:rsid w:val="000461EB"/>
    <w:rPr>
      <w:lang w:val="sq-AL"/>
    </w:rPr>
  </w:style>
  <w:style w:type="paragraph" w:styleId="Footer">
    <w:name w:val="footer"/>
    <w:basedOn w:val="Normal"/>
    <w:link w:val="FooterChar"/>
    <w:rsid w:val="006E225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6E225D"/>
    <w:rPr>
      <w:rFonts w:ascii="Times New Roman" w:eastAsia="Times New Roman" w:hAnsi="Times New Roman" w:cs="Times New Roman"/>
      <w:sz w:val="24"/>
      <w:szCs w:val="24"/>
    </w:rPr>
  </w:style>
  <w:style w:type="character" w:customStyle="1" w:styleId="NoSpacingChar">
    <w:name w:val="No Spacing Char"/>
    <w:link w:val="NoSpacing"/>
    <w:rsid w:val="006E225D"/>
    <w:rPr>
      <w:rFonts w:ascii="Times New Roman" w:eastAsia="Times New Roman" w:hAnsi="Times New Roman" w:cs="Times New Roman"/>
      <w:sz w:val="24"/>
      <w:szCs w:val="24"/>
    </w:rPr>
  </w:style>
  <w:style w:type="character" w:styleId="Hyperlink">
    <w:name w:val="Hyperlink"/>
    <w:rsid w:val="006E225D"/>
    <w:rPr>
      <w:color w:val="0000FF"/>
      <w:u w:val="single"/>
    </w:rPr>
  </w:style>
  <w:style w:type="paragraph" w:styleId="NormalWeb">
    <w:name w:val="Normal (Web)"/>
    <w:basedOn w:val="Normal"/>
    <w:rsid w:val="00C61711"/>
    <w:pPr>
      <w:spacing w:before="100" w:beforeAutospacing="1" w:after="100" w:afterAutospacing="1" w:line="240" w:lineRule="auto"/>
      <w:jc w:val="both"/>
    </w:pPr>
    <w:rPr>
      <w:rFonts w:ascii="Arial Unicode MS" w:eastAsia="Arial Unicode MS" w:hAnsi="Arial Unicode MS" w:cs="Arial Unicode MS"/>
      <w:sz w:val="24"/>
      <w:szCs w:val="24"/>
      <w:lang w:val="en-US"/>
    </w:rPr>
  </w:style>
  <w:style w:type="paragraph" w:customStyle="1" w:styleId="Default">
    <w:name w:val="Default"/>
    <w:link w:val="DefaultChar"/>
    <w:rsid w:val="00793E26"/>
    <w:pPr>
      <w:autoSpaceDE w:val="0"/>
      <w:autoSpaceDN w:val="0"/>
      <w:adjustRightInd w:val="0"/>
      <w:spacing w:after="0" w:line="240" w:lineRule="auto"/>
    </w:pPr>
    <w:rPr>
      <w:rFonts w:ascii="Book Antiqua" w:eastAsia="Calibri" w:hAnsi="Book Antiqua" w:cs="Book Antiqua"/>
      <w:color w:val="000000"/>
      <w:sz w:val="24"/>
      <w:szCs w:val="24"/>
      <w:lang w:val="en-GB"/>
    </w:rPr>
  </w:style>
  <w:style w:type="character" w:customStyle="1" w:styleId="DefaultChar">
    <w:name w:val="Default Char"/>
    <w:link w:val="Default"/>
    <w:locked/>
    <w:rsid w:val="00793E26"/>
    <w:rPr>
      <w:rFonts w:ascii="Book Antiqua" w:eastAsia="Calibri" w:hAnsi="Book Antiqua" w:cs="Book Antiqu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knowledge.org.uk/public-health-textbook" TargetMode="External"/><Relationship Id="rId5" Type="http://schemas.openxmlformats.org/officeDocument/2006/relationships/hyperlink" Target="mailto:merita.berisha@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72</cp:revision>
  <dcterms:created xsi:type="dcterms:W3CDTF">2021-02-11T17:53:00Z</dcterms:created>
  <dcterms:modified xsi:type="dcterms:W3CDTF">2021-02-16T10:41:00Z</dcterms:modified>
</cp:coreProperties>
</file>