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15" w:rsidRPr="00EA5D05" w:rsidRDefault="00781805" w:rsidP="00AF2A15">
      <w:pPr>
        <w:rPr>
          <w:b/>
          <w:u w:val="single"/>
        </w:rPr>
      </w:pPr>
      <w:r w:rsidRPr="00EA5D05">
        <w:rPr>
          <w:b/>
          <w:u w:val="single"/>
        </w:rPr>
        <w:t xml:space="preserve"> </w:t>
      </w:r>
      <w:r w:rsidR="00AF2A15" w:rsidRPr="00EA5D05">
        <w:rPr>
          <w:b/>
          <w:u w:val="single"/>
        </w:rPr>
        <w:t>SYLL</w:t>
      </w:r>
      <w:r w:rsidR="00C5027F">
        <w:rPr>
          <w:b/>
          <w:u w:val="single"/>
        </w:rPr>
        <w:t>ABUS për lendën FARMAKOTERAPI (</w:t>
      </w:r>
      <w:r w:rsidR="00FA75D1">
        <w:rPr>
          <w:b/>
          <w:u w:val="single"/>
        </w:rPr>
        <w:t>sem V ose VI</w:t>
      </w:r>
      <w:r w:rsidR="00AF2A15" w:rsidRPr="00EA5D05">
        <w:rPr>
          <w:b/>
          <w:u w:val="single"/>
        </w:rPr>
        <w:t>)</w:t>
      </w:r>
    </w:p>
    <w:p w:rsidR="00CF116F" w:rsidRPr="00EA5D05" w:rsidRDefault="00CF116F"/>
    <w:tbl>
      <w:tblPr>
        <w:tblpPr w:leftFromText="180" w:rightFromText="180" w:vertAnchor="text" w:tblpY="1"/>
        <w:tblOverlap w:val="never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91"/>
        <w:gridCol w:w="2091"/>
        <w:gridCol w:w="1869"/>
        <w:gridCol w:w="2610"/>
      </w:tblGrid>
      <w:tr w:rsidR="00CF116F" w:rsidRPr="00EA5D05" w:rsidTr="00E16060">
        <w:tc>
          <w:tcPr>
            <w:tcW w:w="9738" w:type="dxa"/>
            <w:gridSpan w:val="5"/>
            <w:shd w:val="clear" w:color="auto" w:fill="B8CCE4"/>
          </w:tcPr>
          <w:p w:rsidR="00CF116F" w:rsidRPr="00EA5D05" w:rsidRDefault="002C0A14" w:rsidP="00DD5A15">
            <w:pPr>
              <w:pStyle w:val="NoSpacing"/>
              <w:rPr>
                <w:b/>
              </w:rPr>
            </w:pPr>
            <w:proofErr w:type="spellStart"/>
            <w:r w:rsidRPr="004E770E">
              <w:rPr>
                <w:b/>
              </w:rPr>
              <w:t>Të</w:t>
            </w:r>
            <w:proofErr w:type="spellEnd"/>
            <w:r w:rsidRPr="004E770E">
              <w:rPr>
                <w:b/>
              </w:rPr>
              <w:t xml:space="preserve"> </w:t>
            </w:r>
            <w:proofErr w:type="spellStart"/>
            <w:r w:rsidRPr="004E770E">
              <w:rPr>
                <w:b/>
              </w:rPr>
              <w:t>dhëna</w:t>
            </w:r>
            <w:proofErr w:type="spellEnd"/>
            <w:r w:rsidRPr="004E770E">
              <w:rPr>
                <w:b/>
              </w:rPr>
              <w:t xml:space="preserve"> </w:t>
            </w:r>
            <w:proofErr w:type="spellStart"/>
            <w:r w:rsidRPr="004E770E">
              <w:rPr>
                <w:b/>
              </w:rPr>
              <w:t>bazike</w:t>
            </w:r>
            <w:proofErr w:type="spellEnd"/>
            <w:r w:rsidRPr="004E770E">
              <w:rPr>
                <w:b/>
              </w:rPr>
              <w:t xml:space="preserve"> </w:t>
            </w:r>
            <w:proofErr w:type="spellStart"/>
            <w:r w:rsidRPr="004E770E">
              <w:rPr>
                <w:b/>
              </w:rPr>
              <w:t>të</w:t>
            </w:r>
            <w:proofErr w:type="spellEnd"/>
            <w:r w:rsidRPr="004E770E">
              <w:rPr>
                <w:b/>
              </w:rPr>
              <w:t xml:space="preserve"> lëndës</w:t>
            </w:r>
          </w:p>
        </w:tc>
      </w:tr>
      <w:tr w:rsidR="00AF2A15" w:rsidRPr="00EA5D05" w:rsidTr="00E16060">
        <w:tc>
          <w:tcPr>
            <w:tcW w:w="2377" w:type="dxa"/>
          </w:tcPr>
          <w:p w:rsidR="00AF2A15" w:rsidRPr="00EA5D05" w:rsidRDefault="00AF2A15" w:rsidP="00C74F27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Njësia</w:t>
            </w:r>
            <w:proofErr w:type="spellEnd"/>
            <w:r w:rsidRPr="00EA5D05">
              <w:rPr>
                <w:b/>
              </w:rPr>
              <w:t xml:space="preserve"> </w:t>
            </w:r>
            <w:proofErr w:type="spellStart"/>
            <w:r w:rsidRPr="00EA5D05">
              <w:rPr>
                <w:b/>
              </w:rPr>
              <w:t>akademike</w:t>
            </w:r>
            <w:proofErr w:type="spellEnd"/>
            <w:r w:rsidRPr="00EA5D05">
              <w:rPr>
                <w:b/>
              </w:rPr>
              <w:t xml:space="preserve">: </w:t>
            </w:r>
          </w:p>
        </w:tc>
        <w:tc>
          <w:tcPr>
            <w:tcW w:w="7361" w:type="dxa"/>
            <w:gridSpan w:val="4"/>
          </w:tcPr>
          <w:p w:rsidR="00C872B1" w:rsidRPr="004E770E" w:rsidRDefault="00C872B1" w:rsidP="00C872B1">
            <w:pPr>
              <w:pStyle w:val="NoSpacing"/>
            </w:pPr>
            <w:proofErr w:type="spellStart"/>
            <w:r w:rsidRPr="004E770E">
              <w:t>Universiteti</w:t>
            </w:r>
            <w:proofErr w:type="spellEnd"/>
            <w:r w:rsidRPr="004E770E">
              <w:t xml:space="preserve"> i </w:t>
            </w:r>
            <w:proofErr w:type="spellStart"/>
            <w:r w:rsidRPr="004E770E">
              <w:t>Prishtinës</w:t>
            </w:r>
            <w:proofErr w:type="spellEnd"/>
            <w:r>
              <w:t xml:space="preserve"> “</w:t>
            </w:r>
            <w:proofErr w:type="spellStart"/>
            <w:r>
              <w:t>Hasan</w:t>
            </w:r>
            <w:proofErr w:type="spellEnd"/>
            <w:r>
              <w:t xml:space="preserve"> </w:t>
            </w:r>
            <w:proofErr w:type="spellStart"/>
            <w:r>
              <w:t>Prishtina</w:t>
            </w:r>
            <w:proofErr w:type="spellEnd"/>
            <w:r>
              <w:t>”</w:t>
            </w:r>
            <w:r w:rsidRPr="004E770E">
              <w:t xml:space="preserve">, </w:t>
            </w:r>
          </w:p>
          <w:p w:rsidR="00AF2A15" w:rsidRPr="00EA5D05" w:rsidRDefault="00C872B1" w:rsidP="00C872B1">
            <w:pPr>
              <w:pStyle w:val="NoSpacing"/>
              <w:rPr>
                <w:b/>
              </w:rPr>
            </w:pPr>
            <w:proofErr w:type="spellStart"/>
            <w:r w:rsidRPr="004E770E">
              <w:t>Fakulteti</w:t>
            </w:r>
            <w:proofErr w:type="spellEnd"/>
            <w:r w:rsidRPr="004E770E">
              <w:t xml:space="preserve"> i </w:t>
            </w:r>
            <w:proofErr w:type="spellStart"/>
            <w:r w:rsidRPr="004E770E">
              <w:t>Bujqësisë</w:t>
            </w:r>
            <w:proofErr w:type="spellEnd"/>
            <w:r w:rsidRPr="004E770E">
              <w:t xml:space="preserve"> </w:t>
            </w:r>
            <w:proofErr w:type="spellStart"/>
            <w:r w:rsidRPr="004E770E">
              <w:t>dhe</w:t>
            </w:r>
            <w:proofErr w:type="spellEnd"/>
            <w:r w:rsidRPr="004E770E">
              <w:t xml:space="preserve"> </w:t>
            </w:r>
            <w:proofErr w:type="spellStart"/>
            <w:r w:rsidRPr="004E770E">
              <w:t>Veterinarisë</w:t>
            </w:r>
            <w:proofErr w:type="spellEnd"/>
            <w:r w:rsidRPr="004E770E">
              <w:t xml:space="preserve">   </w:t>
            </w:r>
          </w:p>
        </w:tc>
      </w:tr>
      <w:tr w:rsidR="00AF2A15" w:rsidRPr="00EA5D05" w:rsidTr="00E16060">
        <w:tc>
          <w:tcPr>
            <w:tcW w:w="2377" w:type="dxa"/>
          </w:tcPr>
          <w:p w:rsidR="00AF2A15" w:rsidRPr="00EA5D05" w:rsidRDefault="00AF2A15" w:rsidP="00C74F27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Titulli</w:t>
            </w:r>
            <w:proofErr w:type="spellEnd"/>
            <w:r w:rsidRPr="00EA5D05">
              <w:rPr>
                <w:b/>
              </w:rPr>
              <w:t xml:space="preserve"> i </w:t>
            </w:r>
            <w:proofErr w:type="spellStart"/>
            <w:r w:rsidRPr="00EA5D05">
              <w:rPr>
                <w:b/>
              </w:rPr>
              <w:t>lëndës</w:t>
            </w:r>
            <w:proofErr w:type="spellEnd"/>
            <w:r w:rsidRPr="00EA5D05">
              <w:rPr>
                <w:b/>
              </w:rPr>
              <w:t>:</w:t>
            </w:r>
          </w:p>
        </w:tc>
        <w:tc>
          <w:tcPr>
            <w:tcW w:w="7361" w:type="dxa"/>
            <w:gridSpan w:val="4"/>
          </w:tcPr>
          <w:p w:rsidR="00AF2A15" w:rsidRPr="00EA5D05" w:rsidRDefault="00AF2A15" w:rsidP="00961FE2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Farmako</w:t>
            </w:r>
            <w:r w:rsidR="00961FE2" w:rsidRPr="00EA5D05">
              <w:rPr>
                <w:b/>
              </w:rPr>
              <w:t>terap</w:t>
            </w:r>
            <w:r w:rsidR="00C872B1">
              <w:rPr>
                <w:b/>
              </w:rPr>
              <w:t>eutikët</w:t>
            </w:r>
            <w:proofErr w:type="spellEnd"/>
          </w:p>
        </w:tc>
      </w:tr>
      <w:tr w:rsidR="00AF2A15" w:rsidRPr="00EA5D05" w:rsidTr="00E16060">
        <w:tc>
          <w:tcPr>
            <w:tcW w:w="2377" w:type="dxa"/>
          </w:tcPr>
          <w:p w:rsidR="00AF2A15" w:rsidRPr="00EA5D05" w:rsidRDefault="00AF2A15" w:rsidP="00C74F27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Niveli</w:t>
            </w:r>
            <w:proofErr w:type="spellEnd"/>
            <w:r w:rsidRPr="00EA5D05">
              <w:rPr>
                <w:b/>
              </w:rPr>
              <w:t>:</w:t>
            </w:r>
          </w:p>
        </w:tc>
        <w:tc>
          <w:tcPr>
            <w:tcW w:w="7361" w:type="dxa"/>
            <w:gridSpan w:val="4"/>
          </w:tcPr>
          <w:p w:rsidR="00AF2A15" w:rsidRPr="00EA5D05" w:rsidRDefault="002C0A14" w:rsidP="00C74F27">
            <w:pPr>
              <w:pStyle w:val="NoSpacing"/>
              <w:rPr>
                <w:b/>
              </w:rPr>
            </w:pPr>
            <w:proofErr w:type="spellStart"/>
            <w:r>
              <w:t>Bsc</w:t>
            </w:r>
            <w:proofErr w:type="spellEnd"/>
            <w:r>
              <w:t xml:space="preserve">. </w:t>
            </w:r>
            <w:proofErr w:type="spellStart"/>
            <w:r w:rsidR="00AF2A15" w:rsidRPr="00EA5D05">
              <w:t>Mjekësi</w:t>
            </w:r>
            <w:proofErr w:type="spellEnd"/>
            <w:r w:rsidR="00AF2A15" w:rsidRPr="00EA5D05">
              <w:t xml:space="preserve"> </w:t>
            </w:r>
            <w:proofErr w:type="spellStart"/>
            <w:r w:rsidR="00AF2A15" w:rsidRPr="00EA5D05">
              <w:t>Veterinare</w:t>
            </w:r>
            <w:proofErr w:type="spellEnd"/>
          </w:p>
        </w:tc>
      </w:tr>
      <w:tr w:rsidR="00AF2A15" w:rsidRPr="00EA5D05" w:rsidTr="00E16060">
        <w:tc>
          <w:tcPr>
            <w:tcW w:w="2377" w:type="dxa"/>
          </w:tcPr>
          <w:p w:rsidR="00AF2A15" w:rsidRPr="00EA5D05" w:rsidRDefault="00AF2A15" w:rsidP="00C74F27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Statusi</w:t>
            </w:r>
            <w:proofErr w:type="spellEnd"/>
            <w:r w:rsidRPr="00EA5D05">
              <w:rPr>
                <w:b/>
              </w:rPr>
              <w:t xml:space="preserve"> </w:t>
            </w:r>
            <w:proofErr w:type="spellStart"/>
            <w:r w:rsidRPr="00EA5D05">
              <w:rPr>
                <w:b/>
              </w:rPr>
              <w:t>lëndës</w:t>
            </w:r>
            <w:proofErr w:type="spellEnd"/>
            <w:r w:rsidRPr="00EA5D05">
              <w:rPr>
                <w:b/>
              </w:rPr>
              <w:t>:</w:t>
            </w:r>
          </w:p>
        </w:tc>
        <w:tc>
          <w:tcPr>
            <w:tcW w:w="7361" w:type="dxa"/>
            <w:gridSpan w:val="4"/>
          </w:tcPr>
          <w:p w:rsidR="00AF2A15" w:rsidRPr="00EA5D05" w:rsidRDefault="00C872B1" w:rsidP="0053773F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Zgjedhore</w:t>
            </w:r>
            <w:proofErr w:type="spellEnd"/>
          </w:p>
        </w:tc>
      </w:tr>
      <w:tr w:rsidR="00AF2A15" w:rsidRPr="00EA5D05" w:rsidTr="00E16060">
        <w:tc>
          <w:tcPr>
            <w:tcW w:w="2377" w:type="dxa"/>
          </w:tcPr>
          <w:p w:rsidR="00AF2A15" w:rsidRPr="00EA5D05" w:rsidRDefault="00AF2A15" w:rsidP="00C74F27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Viti</w:t>
            </w:r>
            <w:proofErr w:type="spellEnd"/>
            <w:r w:rsidRPr="00EA5D05">
              <w:rPr>
                <w:b/>
              </w:rPr>
              <w:t xml:space="preserve"> i </w:t>
            </w:r>
            <w:proofErr w:type="spellStart"/>
            <w:r w:rsidRPr="00EA5D05">
              <w:rPr>
                <w:b/>
              </w:rPr>
              <w:t>studimeve</w:t>
            </w:r>
            <w:proofErr w:type="spellEnd"/>
            <w:r w:rsidRPr="00EA5D05">
              <w:rPr>
                <w:b/>
              </w:rPr>
              <w:t>:</w:t>
            </w:r>
          </w:p>
        </w:tc>
        <w:tc>
          <w:tcPr>
            <w:tcW w:w="7361" w:type="dxa"/>
            <w:gridSpan w:val="4"/>
          </w:tcPr>
          <w:p w:rsidR="00AF2A15" w:rsidRPr="00C872B1" w:rsidRDefault="00AF2A15" w:rsidP="009A0F8E">
            <w:pPr>
              <w:pStyle w:val="NoSpacing"/>
            </w:pPr>
            <w:proofErr w:type="spellStart"/>
            <w:r w:rsidRPr="00C872B1">
              <w:t>Viti</w:t>
            </w:r>
            <w:proofErr w:type="spellEnd"/>
            <w:r w:rsidRPr="00C872B1">
              <w:t xml:space="preserve"> </w:t>
            </w:r>
            <w:r w:rsidR="00961FE2" w:rsidRPr="00C872B1">
              <w:t>I</w:t>
            </w:r>
            <w:r w:rsidR="009A0F8E">
              <w:t>II</w:t>
            </w:r>
            <w:r w:rsidR="00C872B1" w:rsidRPr="00C872B1">
              <w:t xml:space="preserve">, </w:t>
            </w:r>
            <w:proofErr w:type="spellStart"/>
            <w:r w:rsidR="00C872B1" w:rsidRPr="00C872B1">
              <w:t>sem</w:t>
            </w:r>
            <w:proofErr w:type="spellEnd"/>
            <w:r w:rsidR="00C872B1" w:rsidRPr="00C872B1">
              <w:t xml:space="preserve"> V</w:t>
            </w:r>
            <w:r w:rsidR="00FA75D1">
              <w:t xml:space="preserve"> </w:t>
            </w:r>
            <w:proofErr w:type="spellStart"/>
            <w:r w:rsidR="00FA75D1">
              <w:t>ose</w:t>
            </w:r>
            <w:proofErr w:type="spellEnd"/>
            <w:r w:rsidR="00FA75D1">
              <w:t xml:space="preserve"> </w:t>
            </w:r>
            <w:proofErr w:type="spellStart"/>
            <w:r w:rsidR="00FA75D1">
              <w:t>sem</w:t>
            </w:r>
            <w:proofErr w:type="spellEnd"/>
            <w:r w:rsidR="00FA75D1">
              <w:t xml:space="preserve"> VI</w:t>
            </w:r>
          </w:p>
        </w:tc>
      </w:tr>
      <w:tr w:rsidR="00AF2A15" w:rsidRPr="00EA5D05" w:rsidTr="00E16060">
        <w:tc>
          <w:tcPr>
            <w:tcW w:w="2377" w:type="dxa"/>
          </w:tcPr>
          <w:p w:rsidR="00AF2A15" w:rsidRPr="00EA5D05" w:rsidRDefault="00AF2A15" w:rsidP="00C74F27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Numri</w:t>
            </w:r>
            <w:proofErr w:type="spellEnd"/>
            <w:r w:rsidRPr="00EA5D05">
              <w:rPr>
                <w:b/>
              </w:rPr>
              <w:t xml:space="preserve"> i </w:t>
            </w:r>
            <w:proofErr w:type="spellStart"/>
            <w:r w:rsidRPr="00EA5D05">
              <w:rPr>
                <w:b/>
              </w:rPr>
              <w:t>orëve</w:t>
            </w:r>
            <w:proofErr w:type="spellEnd"/>
            <w:r w:rsidRPr="00EA5D05">
              <w:rPr>
                <w:b/>
              </w:rPr>
              <w:t xml:space="preserve"> </w:t>
            </w:r>
            <w:proofErr w:type="spellStart"/>
            <w:r w:rsidRPr="00EA5D05">
              <w:rPr>
                <w:b/>
              </w:rPr>
              <w:t>në</w:t>
            </w:r>
            <w:proofErr w:type="spellEnd"/>
            <w:r w:rsidRPr="00EA5D05">
              <w:rPr>
                <w:b/>
              </w:rPr>
              <w:t xml:space="preserve"> </w:t>
            </w:r>
            <w:proofErr w:type="spellStart"/>
            <w:r w:rsidRPr="00EA5D05">
              <w:rPr>
                <w:b/>
              </w:rPr>
              <w:t>javë</w:t>
            </w:r>
            <w:proofErr w:type="spellEnd"/>
            <w:r w:rsidRPr="00EA5D05">
              <w:rPr>
                <w:b/>
              </w:rPr>
              <w:t>:</w:t>
            </w:r>
          </w:p>
        </w:tc>
        <w:tc>
          <w:tcPr>
            <w:tcW w:w="7361" w:type="dxa"/>
            <w:gridSpan w:val="4"/>
          </w:tcPr>
          <w:p w:rsidR="00AF2A15" w:rsidRPr="00C872B1" w:rsidRDefault="00C872B1" w:rsidP="00A6691C">
            <w:pPr>
              <w:pStyle w:val="NoSpacing"/>
            </w:pPr>
            <w:r w:rsidRPr="00C872B1">
              <w:t>1</w:t>
            </w:r>
            <w:bookmarkStart w:id="0" w:name="_GoBack"/>
            <w:bookmarkEnd w:id="0"/>
            <w:r w:rsidR="00AF2A15" w:rsidRPr="00C872B1">
              <w:t>+</w:t>
            </w:r>
            <w:r w:rsidR="006A0D19" w:rsidRPr="00C872B1">
              <w:t>1</w:t>
            </w:r>
            <w:r w:rsidRPr="00C872B1">
              <w:t>(15</w:t>
            </w:r>
            <w:r w:rsidR="00AF2A15" w:rsidRPr="00C872B1">
              <w:t>/</w:t>
            </w:r>
            <w:r w:rsidR="006A0D19" w:rsidRPr="00C872B1">
              <w:t>1</w:t>
            </w:r>
            <w:r w:rsidR="00A6691C" w:rsidRPr="00C872B1">
              <w:t>5</w:t>
            </w:r>
            <w:r w:rsidR="00AF2A15" w:rsidRPr="00C872B1">
              <w:t xml:space="preserve">) </w:t>
            </w:r>
          </w:p>
        </w:tc>
      </w:tr>
      <w:tr w:rsidR="00AF2A15" w:rsidRPr="00EA5D05" w:rsidTr="00E16060">
        <w:tc>
          <w:tcPr>
            <w:tcW w:w="2377" w:type="dxa"/>
          </w:tcPr>
          <w:p w:rsidR="00AF2A15" w:rsidRPr="00EA5D05" w:rsidRDefault="00AF2A15" w:rsidP="00C74F27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Vlera</w:t>
            </w:r>
            <w:proofErr w:type="spellEnd"/>
            <w:r w:rsidRPr="00EA5D05">
              <w:rPr>
                <w:b/>
              </w:rPr>
              <w:t xml:space="preserve"> </w:t>
            </w:r>
            <w:proofErr w:type="spellStart"/>
            <w:r w:rsidRPr="00EA5D05">
              <w:rPr>
                <w:b/>
              </w:rPr>
              <w:t>në</w:t>
            </w:r>
            <w:proofErr w:type="spellEnd"/>
            <w:r w:rsidRPr="00EA5D05">
              <w:rPr>
                <w:b/>
              </w:rPr>
              <w:t xml:space="preserve"> </w:t>
            </w:r>
            <w:proofErr w:type="spellStart"/>
            <w:r w:rsidRPr="00EA5D05">
              <w:rPr>
                <w:b/>
              </w:rPr>
              <w:t>kredi</w:t>
            </w:r>
            <w:proofErr w:type="spellEnd"/>
            <w:r w:rsidRPr="00EA5D05">
              <w:rPr>
                <w:b/>
              </w:rPr>
              <w:t xml:space="preserve"> – ECTS:</w:t>
            </w:r>
          </w:p>
        </w:tc>
        <w:tc>
          <w:tcPr>
            <w:tcW w:w="7361" w:type="dxa"/>
            <w:gridSpan w:val="4"/>
          </w:tcPr>
          <w:p w:rsidR="00AF2A15" w:rsidRPr="00C872B1" w:rsidRDefault="00C872B1" w:rsidP="00C74F27">
            <w:pPr>
              <w:pStyle w:val="NoSpacing"/>
            </w:pPr>
            <w:r w:rsidRPr="00C872B1">
              <w:t>2</w:t>
            </w:r>
          </w:p>
        </w:tc>
      </w:tr>
      <w:tr w:rsidR="00AF2A15" w:rsidRPr="00EA5D05" w:rsidTr="00E16060">
        <w:tc>
          <w:tcPr>
            <w:tcW w:w="2377" w:type="dxa"/>
          </w:tcPr>
          <w:p w:rsidR="00AF2A15" w:rsidRPr="00EA5D05" w:rsidRDefault="00AF2A15" w:rsidP="00C74F27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Koha</w:t>
            </w:r>
            <w:proofErr w:type="spellEnd"/>
            <w:r w:rsidRPr="00EA5D05">
              <w:rPr>
                <w:b/>
              </w:rPr>
              <w:t xml:space="preserve"> / </w:t>
            </w:r>
            <w:proofErr w:type="spellStart"/>
            <w:r w:rsidRPr="00EA5D05">
              <w:rPr>
                <w:b/>
              </w:rPr>
              <w:t>lokacioni</w:t>
            </w:r>
            <w:proofErr w:type="spellEnd"/>
            <w:r w:rsidRPr="00EA5D05">
              <w:rPr>
                <w:b/>
              </w:rPr>
              <w:t>:</w:t>
            </w:r>
          </w:p>
        </w:tc>
        <w:tc>
          <w:tcPr>
            <w:tcW w:w="7361" w:type="dxa"/>
            <w:gridSpan w:val="4"/>
          </w:tcPr>
          <w:p w:rsidR="00AF2A15" w:rsidRDefault="00AF2A15" w:rsidP="00C74F27">
            <w:pPr>
              <w:pStyle w:val="NoSpacing"/>
            </w:pPr>
            <w:proofErr w:type="spellStart"/>
            <w:r w:rsidRPr="00EA5D05">
              <w:t>Fakulteti</w:t>
            </w:r>
            <w:proofErr w:type="spellEnd"/>
            <w:r w:rsidRPr="00EA5D05">
              <w:t xml:space="preserve"> i </w:t>
            </w:r>
            <w:proofErr w:type="spellStart"/>
            <w:r w:rsidRPr="00EA5D05">
              <w:t>Bujqësisë</w:t>
            </w:r>
            <w:proofErr w:type="spellEnd"/>
            <w:r w:rsidRPr="00EA5D05">
              <w:t xml:space="preserve"> </w:t>
            </w:r>
            <w:proofErr w:type="spellStart"/>
            <w:r w:rsidRPr="00EA5D05">
              <w:t>dhe</w:t>
            </w:r>
            <w:proofErr w:type="spellEnd"/>
            <w:r w:rsidRPr="00EA5D05">
              <w:t xml:space="preserve"> </w:t>
            </w:r>
            <w:proofErr w:type="spellStart"/>
            <w:r w:rsidRPr="00EA5D05">
              <w:t>Veterinarisë</w:t>
            </w:r>
            <w:proofErr w:type="spellEnd"/>
            <w:r w:rsidR="0019192B">
              <w:t>,</w:t>
            </w:r>
          </w:p>
          <w:p w:rsidR="0019192B" w:rsidRPr="0019192B" w:rsidRDefault="0019192B" w:rsidP="00C74F27">
            <w:pPr>
              <w:pStyle w:val="NoSpacing"/>
            </w:pPr>
            <w:proofErr w:type="spellStart"/>
            <w:r>
              <w:t>Departamenti</w:t>
            </w:r>
            <w:proofErr w:type="spellEnd"/>
            <w:r>
              <w:t xml:space="preserve"> </w:t>
            </w:r>
            <w:proofErr w:type="spellStart"/>
            <w:r>
              <w:t>Mjekësisë</w:t>
            </w:r>
            <w:proofErr w:type="spellEnd"/>
            <w:r>
              <w:t xml:space="preserve"> </w:t>
            </w:r>
            <w:proofErr w:type="spellStart"/>
            <w:r>
              <w:t>Veterinare</w:t>
            </w:r>
            <w:proofErr w:type="spellEnd"/>
            <w:r>
              <w:t xml:space="preserve">. </w:t>
            </w:r>
          </w:p>
        </w:tc>
      </w:tr>
      <w:tr w:rsidR="00C872B1" w:rsidRPr="00EA5D05" w:rsidTr="00E16060">
        <w:tc>
          <w:tcPr>
            <w:tcW w:w="2377" w:type="dxa"/>
          </w:tcPr>
          <w:p w:rsidR="00C872B1" w:rsidRPr="00EA5D05" w:rsidRDefault="00C872B1" w:rsidP="00C74F27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Mësimëdhënësi</w:t>
            </w:r>
            <w:proofErr w:type="spellEnd"/>
            <w:r w:rsidRPr="00EA5D05">
              <w:rPr>
                <w:b/>
              </w:rPr>
              <w:t xml:space="preserve"> i </w:t>
            </w:r>
            <w:proofErr w:type="spellStart"/>
            <w:r w:rsidRPr="00EA5D05">
              <w:rPr>
                <w:b/>
              </w:rPr>
              <w:t>lëndës</w:t>
            </w:r>
            <w:proofErr w:type="spellEnd"/>
            <w:r w:rsidRPr="00EA5D05">
              <w:rPr>
                <w:b/>
              </w:rPr>
              <w:t>:</w:t>
            </w:r>
          </w:p>
        </w:tc>
        <w:tc>
          <w:tcPr>
            <w:tcW w:w="7361" w:type="dxa"/>
            <w:gridSpan w:val="4"/>
          </w:tcPr>
          <w:p w:rsidR="00C872B1" w:rsidRPr="004E770E" w:rsidRDefault="00C872B1" w:rsidP="00386C71">
            <w:pPr>
              <w:pStyle w:val="NoSpacing"/>
              <w:rPr>
                <w:b/>
              </w:rPr>
            </w:pPr>
            <w:r w:rsidRPr="004E770E">
              <w:rPr>
                <w:b/>
              </w:rPr>
              <w:t xml:space="preserve">Dr.sc </w:t>
            </w:r>
            <w:r>
              <w:rPr>
                <w:b/>
              </w:rPr>
              <w:t>Mentor Alishani</w:t>
            </w:r>
            <w:r w:rsidRPr="004E770E">
              <w:rPr>
                <w:b/>
              </w:rPr>
              <w:t xml:space="preserve">, </w:t>
            </w:r>
            <w:proofErr w:type="spellStart"/>
            <w:r w:rsidRPr="004E770E">
              <w:rPr>
                <w:b/>
              </w:rPr>
              <w:t>Prof.ass</w:t>
            </w:r>
            <w:proofErr w:type="spellEnd"/>
          </w:p>
        </w:tc>
      </w:tr>
      <w:tr w:rsidR="00C872B1" w:rsidRPr="00EA5D05" w:rsidTr="00E16060">
        <w:tc>
          <w:tcPr>
            <w:tcW w:w="2377" w:type="dxa"/>
          </w:tcPr>
          <w:p w:rsidR="00C872B1" w:rsidRPr="00EA5D05" w:rsidRDefault="00C872B1" w:rsidP="00C74F27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Detajet</w:t>
            </w:r>
            <w:proofErr w:type="spellEnd"/>
            <w:r w:rsidRPr="00EA5D05">
              <w:rPr>
                <w:b/>
              </w:rPr>
              <w:t xml:space="preserve"> </w:t>
            </w:r>
            <w:proofErr w:type="spellStart"/>
            <w:r w:rsidRPr="00EA5D05">
              <w:rPr>
                <w:b/>
              </w:rPr>
              <w:t>kontaktuese</w:t>
            </w:r>
            <w:proofErr w:type="spellEnd"/>
            <w:r w:rsidRPr="00EA5D05">
              <w:rPr>
                <w:b/>
              </w:rPr>
              <w:t xml:space="preserve">: </w:t>
            </w:r>
          </w:p>
        </w:tc>
        <w:tc>
          <w:tcPr>
            <w:tcW w:w="7361" w:type="dxa"/>
            <w:gridSpan w:val="4"/>
          </w:tcPr>
          <w:p w:rsidR="00C872B1" w:rsidRPr="004E770E" w:rsidRDefault="00C872B1" w:rsidP="00386C71">
            <w:pPr>
              <w:pStyle w:val="NoSpacing"/>
            </w:pPr>
            <w:proofErr w:type="spellStart"/>
            <w:r w:rsidRPr="004E770E">
              <w:t>Universiteti</w:t>
            </w:r>
            <w:proofErr w:type="spellEnd"/>
            <w:r w:rsidRPr="004E770E">
              <w:t xml:space="preserve"> i </w:t>
            </w:r>
            <w:proofErr w:type="spellStart"/>
            <w:r w:rsidRPr="004E770E">
              <w:t>Prishtinës</w:t>
            </w:r>
            <w:proofErr w:type="spellEnd"/>
            <w:r>
              <w:t xml:space="preserve"> “</w:t>
            </w:r>
            <w:proofErr w:type="spellStart"/>
            <w:r>
              <w:t>Hasan</w:t>
            </w:r>
            <w:proofErr w:type="spellEnd"/>
            <w:r>
              <w:t xml:space="preserve"> </w:t>
            </w:r>
            <w:proofErr w:type="spellStart"/>
            <w:r>
              <w:t>Prishtina</w:t>
            </w:r>
            <w:proofErr w:type="spellEnd"/>
            <w:r>
              <w:t xml:space="preserve">”, </w:t>
            </w:r>
          </w:p>
          <w:p w:rsidR="00C872B1" w:rsidRPr="004E770E" w:rsidRDefault="00C872B1" w:rsidP="00386C71">
            <w:pPr>
              <w:pStyle w:val="NoSpacing"/>
            </w:pPr>
            <w:proofErr w:type="spellStart"/>
            <w:r w:rsidRPr="004E770E">
              <w:t>Fakulteti</w:t>
            </w:r>
            <w:proofErr w:type="spellEnd"/>
            <w:r w:rsidRPr="004E770E">
              <w:t xml:space="preserve"> i </w:t>
            </w:r>
            <w:proofErr w:type="spellStart"/>
            <w:r w:rsidRPr="004E770E">
              <w:t>Bujqësisë</w:t>
            </w:r>
            <w:proofErr w:type="spellEnd"/>
            <w:r w:rsidRPr="004E770E">
              <w:t xml:space="preserve"> </w:t>
            </w:r>
            <w:proofErr w:type="spellStart"/>
            <w:r w:rsidRPr="004E770E">
              <w:t>dhe</w:t>
            </w:r>
            <w:proofErr w:type="spellEnd"/>
            <w:r w:rsidRPr="004E770E">
              <w:t xml:space="preserve"> </w:t>
            </w:r>
            <w:proofErr w:type="spellStart"/>
            <w:r w:rsidRPr="004E770E">
              <w:t>Veterinarisë</w:t>
            </w:r>
            <w:proofErr w:type="spellEnd"/>
            <w:r w:rsidRPr="004E770E">
              <w:t xml:space="preserve">  </w:t>
            </w:r>
          </w:p>
          <w:p w:rsidR="00C872B1" w:rsidRPr="004E770E" w:rsidRDefault="00C872B1" w:rsidP="00386C71">
            <w:pPr>
              <w:pStyle w:val="NoSpacing"/>
            </w:pPr>
            <w:r w:rsidRPr="004E770E">
              <w:t xml:space="preserve">e-mail: </w:t>
            </w:r>
            <w:hyperlink r:id="rId9" w:history="1">
              <w:r w:rsidRPr="00B36362">
                <w:rPr>
                  <w:rStyle w:val="Hyperlink"/>
                </w:rPr>
                <w:t>mentor.alishani@uni-pr.edu</w:t>
              </w:r>
            </w:hyperlink>
            <w:r>
              <w:t xml:space="preserve"> </w:t>
            </w:r>
          </w:p>
          <w:p w:rsidR="00C872B1" w:rsidRPr="004E770E" w:rsidRDefault="00C872B1" w:rsidP="00386C71">
            <w:pPr>
              <w:pStyle w:val="NoSpacing"/>
              <w:rPr>
                <w:b/>
              </w:rPr>
            </w:pPr>
            <w:r>
              <w:t xml:space="preserve">Tel: 00 383 44 161 060 </w:t>
            </w:r>
          </w:p>
        </w:tc>
      </w:tr>
      <w:tr w:rsidR="00FB050B" w:rsidRPr="00EA5D05" w:rsidTr="00E16060">
        <w:tc>
          <w:tcPr>
            <w:tcW w:w="9738" w:type="dxa"/>
            <w:gridSpan w:val="5"/>
            <w:shd w:val="clear" w:color="auto" w:fill="B8CCE4"/>
          </w:tcPr>
          <w:p w:rsidR="00FB050B" w:rsidRPr="00EA5D05" w:rsidRDefault="00FB050B" w:rsidP="00DD5A15">
            <w:pPr>
              <w:pStyle w:val="NoSpacing"/>
            </w:pPr>
          </w:p>
        </w:tc>
      </w:tr>
      <w:tr w:rsidR="00CF116F" w:rsidRPr="00EA5D05" w:rsidTr="00E16060">
        <w:tc>
          <w:tcPr>
            <w:tcW w:w="2377" w:type="dxa"/>
          </w:tcPr>
          <w:p w:rsidR="00AF2A15" w:rsidRPr="00EA5D05" w:rsidRDefault="00AF2A15" w:rsidP="00AF2A15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Përshkrimi</w:t>
            </w:r>
            <w:proofErr w:type="spellEnd"/>
            <w:r w:rsidRPr="00EA5D05">
              <w:rPr>
                <w:b/>
              </w:rPr>
              <w:t xml:space="preserve"> i </w:t>
            </w:r>
            <w:proofErr w:type="spellStart"/>
            <w:r w:rsidRPr="00EA5D05">
              <w:rPr>
                <w:b/>
              </w:rPr>
              <w:t>lëndës</w:t>
            </w:r>
            <w:proofErr w:type="spellEnd"/>
          </w:p>
          <w:p w:rsidR="00E16060" w:rsidRPr="00EA5D05" w:rsidRDefault="00E16060" w:rsidP="00BE2F4E">
            <w:pPr>
              <w:rPr>
                <w:b/>
                <w:bCs/>
              </w:rPr>
            </w:pPr>
          </w:p>
          <w:p w:rsidR="00070A5C" w:rsidRPr="00EA5D05" w:rsidRDefault="00070A5C" w:rsidP="00DD5A15">
            <w:pPr>
              <w:spacing w:line="290" w:lineRule="atLeast"/>
              <w:jc w:val="both"/>
              <w:textAlignment w:val="baseline"/>
              <w:rPr>
                <w:b/>
              </w:rPr>
            </w:pPr>
          </w:p>
        </w:tc>
        <w:tc>
          <w:tcPr>
            <w:tcW w:w="7361" w:type="dxa"/>
            <w:gridSpan w:val="4"/>
          </w:tcPr>
          <w:p w:rsidR="00EF742E" w:rsidRPr="00EA5D05" w:rsidRDefault="00FA75D1" w:rsidP="00FA75D1">
            <w:pPr>
              <w:jc w:val="both"/>
            </w:pPr>
            <w:r>
              <w:t>Lënda Farmakoteraputikët</w:t>
            </w:r>
            <w:r w:rsidR="00EF742E" w:rsidRPr="006368DF">
              <w:t xml:space="preserve"> është i dizajnuar që të siguroi kornizën didaktike për menaxhment terapeutik për një numër të sëmundjeve të përbashkëta, përfshirë sëmundjet </w:t>
            </w:r>
            <w:r>
              <w:t xml:space="preserve">mykotike, parazitare, bakteriale dhe virale. </w:t>
            </w:r>
            <w:r w:rsidR="00EF742E" w:rsidRPr="006368DF">
              <w:rPr>
                <w:bCs/>
              </w:rPr>
              <w:t>Kjo lëndë është e strukturuar për të siguruar studentët e veterinarisë me njohuri të nevojshme për të qenë në mundësi të përgatitin dhe japin përshkrimet dhe të ofrojnë këshill</w:t>
            </w:r>
            <w:r w:rsidR="00EF742E">
              <w:rPr>
                <w:bCs/>
              </w:rPr>
              <w:t>a</w:t>
            </w:r>
            <w:r w:rsidR="00EF742E" w:rsidRPr="006368DF">
              <w:rPr>
                <w:bCs/>
              </w:rPr>
              <w:t xml:space="preserve"> pronarëve të kafshëve në lidhje me përdorimin e barnave.</w:t>
            </w:r>
          </w:p>
        </w:tc>
      </w:tr>
      <w:tr w:rsidR="00577475" w:rsidRPr="00EA5D05" w:rsidTr="00E16060">
        <w:tc>
          <w:tcPr>
            <w:tcW w:w="2377" w:type="dxa"/>
          </w:tcPr>
          <w:p w:rsidR="00AF2A15" w:rsidRPr="00EA5D05" w:rsidRDefault="00AF2A15" w:rsidP="00AF2A15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Qëllimet</w:t>
            </w:r>
            <w:proofErr w:type="spellEnd"/>
            <w:r w:rsidRPr="00EA5D05">
              <w:rPr>
                <w:b/>
              </w:rPr>
              <w:t xml:space="preserve"> e </w:t>
            </w:r>
            <w:proofErr w:type="spellStart"/>
            <w:r w:rsidRPr="00EA5D05">
              <w:rPr>
                <w:b/>
              </w:rPr>
              <w:t>lëndës</w:t>
            </w:r>
            <w:proofErr w:type="spellEnd"/>
            <w:r w:rsidRPr="00EA5D05">
              <w:rPr>
                <w:b/>
              </w:rPr>
              <w:t>:</w:t>
            </w:r>
          </w:p>
          <w:p w:rsidR="00BE2F4E" w:rsidRPr="00EA5D05" w:rsidRDefault="00BE2F4E" w:rsidP="00BE2F4E"/>
        </w:tc>
        <w:tc>
          <w:tcPr>
            <w:tcW w:w="7361" w:type="dxa"/>
            <w:gridSpan w:val="4"/>
          </w:tcPr>
          <w:p w:rsidR="00EF742E" w:rsidRPr="009C045A" w:rsidRDefault="00EF742E" w:rsidP="00FA75D1">
            <w:pPr>
              <w:jc w:val="both"/>
            </w:pPr>
            <w:r w:rsidRPr="006368DF">
              <w:rPr>
                <w:lang w:val="sv-SE"/>
              </w:rPr>
              <w:t xml:space="preserve">Qëllimi i kursit është që të </w:t>
            </w:r>
            <w:r w:rsidRPr="006368DF">
              <w:t>përgatit</w:t>
            </w:r>
            <w:r w:rsidR="00FA75D1">
              <w:t xml:space="preserve"> studentët për të u kujdesur ndaj</w:t>
            </w:r>
            <w:r w:rsidRPr="006368DF">
              <w:t xml:space="preserve"> pacient</w:t>
            </w:r>
            <w:r w:rsidR="00FA75D1">
              <w:t>ëve</w:t>
            </w:r>
            <w:r w:rsidRPr="006368DF">
              <w:t>. Studentët mësojnë se si të mbledhin dhe interpretojnë të dhënat, dizajnojnë, rekomandojnë, kryejnë, monitorojnë, dhe ndryshojnë farmakoterapinë specifike të pacientit varësisht nga rastet reale që paraqiten në praktikën veterinare.</w:t>
            </w:r>
          </w:p>
        </w:tc>
      </w:tr>
      <w:tr w:rsidR="00577475" w:rsidRPr="00EA5D05" w:rsidTr="00E16060">
        <w:tc>
          <w:tcPr>
            <w:tcW w:w="2377" w:type="dxa"/>
          </w:tcPr>
          <w:p w:rsidR="00AF2A15" w:rsidRPr="00EA5D05" w:rsidRDefault="00AF2A15" w:rsidP="00AF2A15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Rezultatet</w:t>
            </w:r>
            <w:proofErr w:type="spellEnd"/>
            <w:r w:rsidRPr="00EA5D05">
              <w:rPr>
                <w:b/>
              </w:rPr>
              <w:t xml:space="preserve"> e </w:t>
            </w:r>
            <w:proofErr w:type="spellStart"/>
            <w:r w:rsidRPr="00EA5D05">
              <w:rPr>
                <w:b/>
              </w:rPr>
              <w:t>pritura</w:t>
            </w:r>
            <w:proofErr w:type="spellEnd"/>
            <w:r w:rsidRPr="00EA5D05">
              <w:rPr>
                <w:b/>
              </w:rPr>
              <w:t xml:space="preserve"> </w:t>
            </w:r>
            <w:proofErr w:type="spellStart"/>
            <w:r w:rsidRPr="00EA5D05">
              <w:rPr>
                <w:b/>
              </w:rPr>
              <w:t>të</w:t>
            </w:r>
            <w:proofErr w:type="spellEnd"/>
            <w:r w:rsidRPr="00EA5D05">
              <w:rPr>
                <w:b/>
              </w:rPr>
              <w:t xml:space="preserve"> </w:t>
            </w:r>
            <w:proofErr w:type="spellStart"/>
            <w:r w:rsidRPr="00EA5D05">
              <w:rPr>
                <w:b/>
              </w:rPr>
              <w:t>nxënies</w:t>
            </w:r>
            <w:proofErr w:type="spellEnd"/>
            <w:r w:rsidRPr="00EA5D05">
              <w:rPr>
                <w:b/>
              </w:rPr>
              <w:t>:</w:t>
            </w:r>
          </w:p>
          <w:p w:rsidR="00577475" w:rsidRPr="00EA5D05" w:rsidRDefault="00577475"/>
        </w:tc>
        <w:tc>
          <w:tcPr>
            <w:tcW w:w="7361" w:type="dxa"/>
            <w:gridSpan w:val="4"/>
          </w:tcPr>
          <w:p w:rsidR="009C045A" w:rsidRPr="00EA5D05" w:rsidRDefault="009C045A" w:rsidP="00FA75D1">
            <w:pPr>
              <w:jc w:val="both"/>
              <w:rPr>
                <w:i/>
              </w:rPr>
            </w:pPr>
            <w:r w:rsidRPr="006368DF">
              <w:rPr>
                <w:lang w:val="it-IT"/>
              </w:rPr>
              <w:t xml:space="preserve">Pas përfundimit të këtij kursi studentët do të jenë të </w:t>
            </w:r>
            <w:r w:rsidRPr="006368DF">
              <w:t>pajisur me mundësinë e përvetësimit dhe kombinimit të njohurive didaktike dhe klinike përmes prezantimeve të rasteve të pacientëve nga jeta reale.</w:t>
            </w:r>
          </w:p>
        </w:tc>
      </w:tr>
      <w:tr w:rsidR="00FF7590" w:rsidRPr="00EA5D05" w:rsidTr="00E16060">
        <w:tc>
          <w:tcPr>
            <w:tcW w:w="9738" w:type="dxa"/>
            <w:gridSpan w:val="5"/>
            <w:shd w:val="clear" w:color="auto" w:fill="B8CCE4"/>
          </w:tcPr>
          <w:p w:rsidR="00FF7590" w:rsidRPr="00EA5D05" w:rsidRDefault="00FF7590" w:rsidP="00DD5A15">
            <w:pPr>
              <w:pStyle w:val="NoSpacing"/>
              <w:rPr>
                <w:i/>
              </w:rPr>
            </w:pPr>
          </w:p>
        </w:tc>
      </w:tr>
      <w:tr w:rsidR="00FB050B" w:rsidRPr="00EA5D05" w:rsidTr="00E16060">
        <w:tc>
          <w:tcPr>
            <w:tcW w:w="9738" w:type="dxa"/>
            <w:gridSpan w:val="5"/>
            <w:shd w:val="clear" w:color="auto" w:fill="B8CCE4"/>
          </w:tcPr>
          <w:p w:rsidR="00FA75D1" w:rsidRDefault="00AF2A15" w:rsidP="00DD5A15">
            <w:pPr>
              <w:pStyle w:val="NoSpacing"/>
              <w:jc w:val="center"/>
              <w:rPr>
                <w:b/>
              </w:rPr>
            </w:pPr>
            <w:proofErr w:type="spellStart"/>
            <w:r w:rsidRPr="00EA5D05">
              <w:rPr>
                <w:b/>
              </w:rPr>
              <w:t>Kontri</w:t>
            </w:r>
            <w:r w:rsidR="00C872B1">
              <w:rPr>
                <w:b/>
              </w:rPr>
              <w:t>buti</w:t>
            </w:r>
            <w:proofErr w:type="spellEnd"/>
            <w:r w:rsidR="00C872B1">
              <w:rPr>
                <w:b/>
              </w:rPr>
              <w:t xml:space="preserve"> </w:t>
            </w:r>
            <w:proofErr w:type="spellStart"/>
            <w:r w:rsidR="00C872B1">
              <w:rPr>
                <w:b/>
              </w:rPr>
              <w:t>nё</w:t>
            </w:r>
            <w:proofErr w:type="spellEnd"/>
            <w:r w:rsidR="00C872B1">
              <w:rPr>
                <w:b/>
              </w:rPr>
              <w:t xml:space="preserve"> </w:t>
            </w:r>
            <w:proofErr w:type="spellStart"/>
            <w:r w:rsidR="00C872B1">
              <w:rPr>
                <w:b/>
              </w:rPr>
              <w:t>ngarkesёn</w:t>
            </w:r>
            <w:proofErr w:type="spellEnd"/>
            <w:r w:rsidR="00C872B1">
              <w:rPr>
                <w:b/>
              </w:rPr>
              <w:t xml:space="preserve"> e </w:t>
            </w:r>
            <w:proofErr w:type="spellStart"/>
            <w:r w:rsidR="00C872B1">
              <w:rPr>
                <w:b/>
              </w:rPr>
              <w:t>studentit</w:t>
            </w:r>
            <w:proofErr w:type="spellEnd"/>
            <w:r w:rsidR="00C872B1">
              <w:rPr>
                <w:b/>
              </w:rPr>
              <w:t xml:space="preserve"> </w:t>
            </w:r>
          </w:p>
          <w:p w:rsidR="00FB050B" w:rsidRPr="00EA5D05" w:rsidRDefault="00C872B1" w:rsidP="00DD5A1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 w:rsidR="00AF2A15" w:rsidRPr="00EA5D05">
              <w:rPr>
                <w:b/>
              </w:rPr>
              <w:t>gjё</w:t>
            </w:r>
            <w:proofErr w:type="spellEnd"/>
            <w:r w:rsidR="00AF2A15" w:rsidRPr="00EA5D05">
              <w:rPr>
                <w:b/>
              </w:rPr>
              <w:t xml:space="preserve"> </w:t>
            </w:r>
            <w:proofErr w:type="spellStart"/>
            <w:r w:rsidR="00AF2A15" w:rsidRPr="00EA5D05">
              <w:rPr>
                <w:b/>
              </w:rPr>
              <w:t>qё</w:t>
            </w:r>
            <w:proofErr w:type="spellEnd"/>
            <w:r w:rsidR="00AF2A15" w:rsidRPr="00EA5D05">
              <w:rPr>
                <w:b/>
              </w:rPr>
              <w:t xml:space="preserve"> </w:t>
            </w:r>
            <w:proofErr w:type="spellStart"/>
            <w:r w:rsidR="00AF2A15" w:rsidRPr="00EA5D05">
              <w:rPr>
                <w:b/>
              </w:rPr>
              <w:t>duhet</w:t>
            </w:r>
            <w:proofErr w:type="spellEnd"/>
            <w:r w:rsidR="00AF2A15" w:rsidRPr="00EA5D05">
              <w:rPr>
                <w:b/>
              </w:rPr>
              <w:t xml:space="preserve"> </w:t>
            </w:r>
            <w:proofErr w:type="spellStart"/>
            <w:r w:rsidR="00AF2A15" w:rsidRPr="00EA5D05">
              <w:rPr>
                <w:b/>
              </w:rPr>
              <w:t>tё</w:t>
            </w:r>
            <w:proofErr w:type="spellEnd"/>
            <w:r w:rsidR="00AF2A15" w:rsidRPr="00EA5D05">
              <w:rPr>
                <w:b/>
              </w:rPr>
              <w:t xml:space="preserve"> </w:t>
            </w:r>
            <w:proofErr w:type="spellStart"/>
            <w:r w:rsidR="00AF2A15" w:rsidRPr="00EA5D05">
              <w:rPr>
                <w:b/>
              </w:rPr>
              <w:t>korrespondoj</w:t>
            </w:r>
            <w:proofErr w:type="spellEnd"/>
            <w:r w:rsidR="00AF2A15" w:rsidRPr="00EA5D05">
              <w:rPr>
                <w:b/>
              </w:rPr>
              <w:t xml:space="preserve"> me </w:t>
            </w:r>
            <w:proofErr w:type="spellStart"/>
            <w:r w:rsidR="00AF2A15" w:rsidRPr="00EA5D05">
              <w:rPr>
                <w:b/>
              </w:rPr>
              <w:t>rezultatet</w:t>
            </w:r>
            <w:proofErr w:type="spellEnd"/>
            <w:r w:rsidR="00AF2A15" w:rsidRPr="00EA5D05">
              <w:rPr>
                <w:b/>
              </w:rPr>
              <w:t xml:space="preserve"> e </w:t>
            </w:r>
            <w:proofErr w:type="spellStart"/>
            <w:r w:rsidR="00AF2A15" w:rsidRPr="00EA5D05">
              <w:rPr>
                <w:b/>
              </w:rPr>
              <w:t>tё</w:t>
            </w:r>
            <w:proofErr w:type="spellEnd"/>
            <w:r w:rsidR="00AF2A15" w:rsidRPr="00EA5D05">
              <w:rPr>
                <w:b/>
              </w:rPr>
              <w:t xml:space="preserve"> </w:t>
            </w:r>
            <w:proofErr w:type="spellStart"/>
            <w:r w:rsidR="00AF2A15" w:rsidRPr="00EA5D05">
              <w:rPr>
                <w:b/>
              </w:rPr>
              <w:t>nxёnit</w:t>
            </w:r>
            <w:proofErr w:type="spellEnd"/>
            <w:r w:rsidR="00AF2A15" w:rsidRPr="00EA5D05">
              <w:rPr>
                <w:b/>
              </w:rPr>
              <w:t xml:space="preserve"> </w:t>
            </w:r>
            <w:proofErr w:type="spellStart"/>
            <w:r w:rsidR="00AF2A15" w:rsidRPr="00EA5D05">
              <w:rPr>
                <w:b/>
              </w:rPr>
              <w:t>tё</w:t>
            </w:r>
            <w:proofErr w:type="spellEnd"/>
            <w:r w:rsidR="00AF2A15" w:rsidRPr="00EA5D05">
              <w:rPr>
                <w:b/>
              </w:rPr>
              <w:t xml:space="preserve"> </w:t>
            </w:r>
            <w:proofErr w:type="spellStart"/>
            <w:r w:rsidR="00AF2A15" w:rsidRPr="00EA5D05">
              <w:rPr>
                <w:b/>
              </w:rPr>
              <w:t>studentit</w:t>
            </w:r>
            <w:proofErr w:type="spellEnd"/>
            <w:r w:rsidR="00AF2A15" w:rsidRPr="00EA5D05">
              <w:rPr>
                <w:b/>
              </w:rPr>
              <w:t>)</w:t>
            </w:r>
          </w:p>
        </w:tc>
      </w:tr>
      <w:tr w:rsidR="00AF2A15" w:rsidRPr="00EA5D05" w:rsidTr="00AF2A15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AF2A15" w:rsidRPr="00EA5D05" w:rsidRDefault="00AF2A15" w:rsidP="00C74F27">
            <w:pPr>
              <w:rPr>
                <w:b/>
              </w:rPr>
            </w:pPr>
            <w:r w:rsidRPr="00EA5D05">
              <w:rPr>
                <w:b/>
              </w:rPr>
              <w:t xml:space="preserve">Aktiviteti 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F2A15" w:rsidRPr="00EA5D05" w:rsidRDefault="00AF2A15" w:rsidP="00C872B1">
            <w:pPr>
              <w:jc w:val="center"/>
              <w:rPr>
                <w:b/>
              </w:rPr>
            </w:pPr>
            <w:r w:rsidRPr="00EA5D05">
              <w:rPr>
                <w:b/>
              </w:rPr>
              <w:t>Orë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AF2A15" w:rsidRPr="00EA5D05" w:rsidRDefault="00AF2A15" w:rsidP="00C872B1">
            <w:pPr>
              <w:jc w:val="center"/>
              <w:rPr>
                <w:b/>
              </w:rPr>
            </w:pPr>
            <w:r w:rsidRPr="00EA5D05">
              <w:rPr>
                <w:b/>
              </w:rPr>
              <w:t>Ditë/javë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B8CCE4"/>
          </w:tcPr>
          <w:p w:rsidR="00AF2A15" w:rsidRPr="00EA5D05" w:rsidRDefault="00AF2A15" w:rsidP="00C872B1">
            <w:pPr>
              <w:jc w:val="center"/>
              <w:rPr>
                <w:b/>
              </w:rPr>
            </w:pPr>
            <w:r w:rsidRPr="00EA5D05">
              <w:rPr>
                <w:b/>
              </w:rPr>
              <w:t>Gjithësej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t>Ligjërata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C872B1" w:rsidP="00D15288">
            <w:pPr>
              <w:jc w:val="center"/>
            </w:pPr>
            <w:r>
              <w:t>1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C872B1" w:rsidP="00D15288">
            <w:pPr>
              <w:jc w:val="center"/>
            </w:pPr>
            <w:r>
              <w:t>15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C872B1" w:rsidP="00D15288">
            <w:pPr>
              <w:jc w:val="center"/>
            </w:pPr>
            <w:r>
              <w:t>15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t>Ushtrime teorike/laboratorike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C872B1" w:rsidP="00D15288">
            <w:pPr>
              <w:jc w:val="center"/>
            </w:pPr>
            <w:r>
              <w:t>1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C872B1" w:rsidP="00D15288">
            <w:pPr>
              <w:jc w:val="center"/>
            </w:pPr>
            <w:r>
              <w:t>15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C872B1" w:rsidP="00D15288">
            <w:pPr>
              <w:jc w:val="center"/>
            </w:pPr>
            <w:r>
              <w:t>15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t>Punë praktike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rPr>
                <w:lang w:val="nb-NO"/>
              </w:rPr>
              <w:t>Kontaktet me mësimdhënësin/konsultimet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1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4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4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lastRenderedPageBreak/>
              <w:t>Ushtrime  në teren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t>Kollokfiume,seminare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t>Detyra të  shtëpisë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0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t>Koha e studimit vetanak të studentit (në bibliotekë ose në shtëpi)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1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6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6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t>Përgaditja përfundimtare për provim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1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7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7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t>Koha e kaluar në vlerësim (teste,kuiz,provim final)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1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2</w:t>
            </w:r>
          </w:p>
        </w:tc>
      </w:tr>
      <w:tr w:rsidR="00AF2A15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AF2A15" w:rsidRPr="00EA5D05" w:rsidRDefault="00AF2A15" w:rsidP="00C74F27">
            <w:r w:rsidRPr="00EA5D05">
              <w:t>Projektet,prezentimet ,etj</w:t>
            </w:r>
          </w:p>
          <w:p w:rsidR="00AF2A15" w:rsidRPr="00EA5D05" w:rsidRDefault="00AF2A15" w:rsidP="00C74F27">
            <w:r w:rsidRPr="00EA5D05">
              <w:t xml:space="preserve"> 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1</w:t>
            </w: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1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F2A15" w:rsidRPr="00EA5D05" w:rsidRDefault="00D15288" w:rsidP="00D15288">
            <w:pPr>
              <w:jc w:val="center"/>
            </w:pPr>
            <w:r>
              <w:t>1</w:t>
            </w:r>
          </w:p>
        </w:tc>
      </w:tr>
      <w:tr w:rsidR="0033644F" w:rsidRPr="00EA5D05" w:rsidTr="00D15288">
        <w:tc>
          <w:tcPr>
            <w:tcW w:w="3168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33644F" w:rsidRPr="00EA5D05" w:rsidRDefault="00AF2A15" w:rsidP="00DD5A15">
            <w:pPr>
              <w:rPr>
                <w:b/>
              </w:rPr>
            </w:pPr>
            <w:r w:rsidRPr="00EA5D05">
              <w:rPr>
                <w:b/>
              </w:rPr>
              <w:t>Totali</w:t>
            </w:r>
          </w:p>
          <w:p w:rsidR="0033644F" w:rsidRPr="00EA5D05" w:rsidRDefault="0033644F" w:rsidP="00DD5A15">
            <w:pPr>
              <w:rPr>
                <w:b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3644F" w:rsidRPr="00EA5D05" w:rsidRDefault="0033644F" w:rsidP="00D15288">
            <w:pPr>
              <w:jc w:val="center"/>
              <w:rPr>
                <w:b/>
              </w:rPr>
            </w:pPr>
          </w:p>
        </w:tc>
        <w:tc>
          <w:tcPr>
            <w:tcW w:w="18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33644F" w:rsidRPr="00EA5D05" w:rsidRDefault="0033644F" w:rsidP="00D15288">
            <w:pPr>
              <w:jc w:val="center"/>
              <w:rPr>
                <w:b/>
              </w:rPr>
            </w:pP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33644F" w:rsidRPr="00EA5D05" w:rsidRDefault="00D15288" w:rsidP="00D1528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C872B1">
              <w:rPr>
                <w:b/>
              </w:rPr>
              <w:t>0</w:t>
            </w:r>
          </w:p>
        </w:tc>
      </w:tr>
      <w:tr w:rsidR="00FF7590" w:rsidRPr="00EA5D05" w:rsidTr="00E16060">
        <w:tc>
          <w:tcPr>
            <w:tcW w:w="9738" w:type="dxa"/>
            <w:gridSpan w:val="5"/>
            <w:shd w:val="clear" w:color="auto" w:fill="B8CCE4"/>
          </w:tcPr>
          <w:p w:rsidR="00FF7590" w:rsidRPr="00EA5D05" w:rsidRDefault="00FF7590" w:rsidP="00DD5A15">
            <w:pPr>
              <w:rPr>
                <w:b/>
              </w:rPr>
            </w:pPr>
          </w:p>
        </w:tc>
      </w:tr>
      <w:tr w:rsidR="00183923" w:rsidRPr="00EA5D05" w:rsidTr="00C872B1">
        <w:tc>
          <w:tcPr>
            <w:tcW w:w="3168" w:type="dxa"/>
            <w:gridSpan w:val="2"/>
          </w:tcPr>
          <w:p w:rsidR="00AF2A15" w:rsidRPr="00EA5D05" w:rsidRDefault="00AF2A15" w:rsidP="00AF2A15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Metodologjia</w:t>
            </w:r>
            <w:proofErr w:type="spellEnd"/>
            <w:r w:rsidRPr="00EA5D05">
              <w:rPr>
                <w:b/>
              </w:rPr>
              <w:t xml:space="preserve"> e </w:t>
            </w:r>
            <w:proofErr w:type="spellStart"/>
            <w:r w:rsidRPr="00EA5D05">
              <w:rPr>
                <w:b/>
              </w:rPr>
              <w:t>mësimëdhënies</w:t>
            </w:r>
            <w:proofErr w:type="spellEnd"/>
            <w:r w:rsidRPr="00EA5D05">
              <w:rPr>
                <w:b/>
              </w:rPr>
              <w:t>:</w:t>
            </w:r>
          </w:p>
          <w:p w:rsidR="00183923" w:rsidRPr="00EA5D05" w:rsidRDefault="00183923" w:rsidP="00DD5A15">
            <w:pPr>
              <w:pStyle w:val="NoSpacing"/>
              <w:rPr>
                <w:b/>
              </w:rPr>
            </w:pPr>
          </w:p>
        </w:tc>
        <w:tc>
          <w:tcPr>
            <w:tcW w:w="6570" w:type="dxa"/>
            <w:gridSpan w:val="3"/>
          </w:tcPr>
          <w:p w:rsidR="00C872B1" w:rsidRDefault="00C872B1" w:rsidP="00C872B1">
            <w:pPr>
              <w:pStyle w:val="NoSpacing"/>
            </w:pPr>
            <w:proofErr w:type="spellStart"/>
            <w:r>
              <w:t>Ligjërata</w:t>
            </w:r>
            <w:proofErr w:type="spellEnd"/>
            <w:r>
              <w:t xml:space="preserve"> </w:t>
            </w:r>
            <w:proofErr w:type="spellStart"/>
            <w:r>
              <w:t>teorike</w:t>
            </w:r>
            <w:proofErr w:type="spellEnd"/>
            <w:r>
              <w:t xml:space="preserve">, </w:t>
            </w:r>
            <w:proofErr w:type="spellStart"/>
            <w:r>
              <w:t>qasje</w:t>
            </w:r>
            <w:proofErr w:type="spellEnd"/>
            <w:r>
              <w:t xml:space="preserve"> </w:t>
            </w:r>
            <w:proofErr w:type="spellStart"/>
            <w:r>
              <w:t>interaktive</w:t>
            </w:r>
            <w:proofErr w:type="spellEnd"/>
            <w:r>
              <w:t xml:space="preserve">, </w:t>
            </w:r>
            <w:proofErr w:type="spellStart"/>
            <w:r>
              <w:t>konsultime</w:t>
            </w:r>
            <w:proofErr w:type="spellEnd"/>
            <w:r>
              <w:t xml:space="preserve">, </w:t>
            </w:r>
            <w:proofErr w:type="spellStart"/>
            <w:r>
              <w:t>seminare</w:t>
            </w:r>
            <w:proofErr w:type="spellEnd"/>
            <w:r>
              <w:t xml:space="preserve">, </w:t>
            </w:r>
            <w:proofErr w:type="spellStart"/>
            <w:r>
              <w:t>diskutim</w:t>
            </w:r>
            <w:proofErr w:type="spellEnd"/>
            <w:r>
              <w:t xml:space="preserve">, 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  <w:r>
              <w:t xml:space="preserve">. </w:t>
            </w:r>
          </w:p>
          <w:p w:rsidR="00183923" w:rsidRPr="00EA5D05" w:rsidRDefault="00C872B1" w:rsidP="00C872B1">
            <w:pPr>
              <w:pStyle w:val="NoSpacing"/>
              <w:rPr>
                <w:i/>
              </w:rPr>
            </w:pPr>
            <w:proofErr w:type="spellStart"/>
            <w:r>
              <w:t>Përdorimi</w:t>
            </w:r>
            <w:proofErr w:type="spellEnd"/>
            <w:r>
              <w:t xml:space="preserve"> i </w:t>
            </w:r>
            <w:proofErr w:type="spellStart"/>
            <w:r>
              <w:t>mjeteve</w:t>
            </w:r>
            <w:proofErr w:type="spellEnd"/>
            <w:r>
              <w:t xml:space="preserve"> </w:t>
            </w:r>
            <w:proofErr w:type="spellStart"/>
            <w:r>
              <w:t>bashkëkohore</w:t>
            </w:r>
            <w:proofErr w:type="spellEnd"/>
            <w:r>
              <w:t xml:space="preserve"> </w:t>
            </w:r>
            <w:proofErr w:type="spellStart"/>
            <w:r>
              <w:t>audiovizuele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ligjërata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konkretizim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mësimit</w:t>
            </w:r>
            <w:proofErr w:type="spellEnd"/>
            <w:r>
              <w:t>.</w:t>
            </w:r>
          </w:p>
        </w:tc>
      </w:tr>
      <w:tr w:rsidR="00183923" w:rsidRPr="00EA5D05" w:rsidTr="00C872B1">
        <w:tc>
          <w:tcPr>
            <w:tcW w:w="3168" w:type="dxa"/>
            <w:gridSpan w:val="2"/>
          </w:tcPr>
          <w:p w:rsidR="00183923" w:rsidRPr="00EA5D05" w:rsidRDefault="00183923" w:rsidP="00DD5A15">
            <w:pPr>
              <w:pStyle w:val="NoSpacing"/>
              <w:rPr>
                <w:b/>
              </w:rPr>
            </w:pPr>
          </w:p>
        </w:tc>
        <w:tc>
          <w:tcPr>
            <w:tcW w:w="6570" w:type="dxa"/>
            <w:gridSpan w:val="3"/>
          </w:tcPr>
          <w:p w:rsidR="00183923" w:rsidRPr="00EA5D05" w:rsidRDefault="00183923" w:rsidP="00DD5A15">
            <w:pPr>
              <w:pStyle w:val="NoSpacing"/>
              <w:rPr>
                <w:i/>
              </w:rPr>
            </w:pPr>
          </w:p>
        </w:tc>
      </w:tr>
      <w:tr w:rsidR="00183923" w:rsidRPr="00EA5D05" w:rsidTr="00C872B1">
        <w:tc>
          <w:tcPr>
            <w:tcW w:w="3168" w:type="dxa"/>
            <w:gridSpan w:val="2"/>
          </w:tcPr>
          <w:p w:rsidR="00AF2A15" w:rsidRPr="00EA5D05" w:rsidRDefault="00AF2A15" w:rsidP="00AF2A15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Metodat</w:t>
            </w:r>
            <w:proofErr w:type="spellEnd"/>
            <w:r w:rsidRPr="00EA5D05">
              <w:rPr>
                <w:b/>
              </w:rPr>
              <w:t xml:space="preserve"> e </w:t>
            </w:r>
            <w:proofErr w:type="spellStart"/>
            <w:r w:rsidRPr="00EA5D05">
              <w:rPr>
                <w:b/>
              </w:rPr>
              <w:t>vlerësimit</w:t>
            </w:r>
            <w:proofErr w:type="spellEnd"/>
            <w:r w:rsidRPr="00EA5D05">
              <w:rPr>
                <w:b/>
              </w:rPr>
              <w:t>:</w:t>
            </w:r>
          </w:p>
          <w:p w:rsidR="00070A5C" w:rsidRPr="00EA5D05" w:rsidRDefault="00070A5C" w:rsidP="00577475">
            <w:pPr>
              <w:rPr>
                <w:b/>
              </w:rPr>
            </w:pPr>
          </w:p>
        </w:tc>
        <w:tc>
          <w:tcPr>
            <w:tcW w:w="6570" w:type="dxa"/>
            <w:gridSpan w:val="3"/>
          </w:tcPr>
          <w:p w:rsidR="00CE6DE6" w:rsidRPr="00EA5D05" w:rsidRDefault="00CE6DE6" w:rsidP="00CE6DE6">
            <w:pPr>
              <w:autoSpaceDE w:val="0"/>
              <w:autoSpaceDN w:val="0"/>
              <w:adjustRightInd w:val="0"/>
            </w:pPr>
            <w:r w:rsidRPr="00EA5D05">
              <w:t>Metodat e vlerësimit: test me shkrim në fund të kursit, vlerësimi i prezentimeve orale gjatë seminareve</w:t>
            </w:r>
          </w:p>
          <w:p w:rsidR="00183923" w:rsidRPr="00EA5D05" w:rsidRDefault="00CE6DE6" w:rsidP="00CE6DE6">
            <w:pPr>
              <w:autoSpaceDE w:val="0"/>
              <w:autoSpaceDN w:val="0"/>
              <w:adjustRightInd w:val="0"/>
              <w:rPr>
                <w:i/>
              </w:rPr>
            </w:pPr>
            <w:r w:rsidRPr="00EA5D05">
              <w:t>Provimi final</w:t>
            </w:r>
          </w:p>
        </w:tc>
      </w:tr>
      <w:tr w:rsidR="00183923" w:rsidRPr="00EA5D05" w:rsidTr="00E16060">
        <w:tc>
          <w:tcPr>
            <w:tcW w:w="9738" w:type="dxa"/>
            <w:gridSpan w:val="5"/>
            <w:shd w:val="clear" w:color="auto" w:fill="B8CCE4"/>
          </w:tcPr>
          <w:p w:rsidR="00183923" w:rsidRPr="00EA5D05" w:rsidRDefault="00AF2A15" w:rsidP="00DD5A15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Literatura</w:t>
            </w:r>
            <w:proofErr w:type="spellEnd"/>
          </w:p>
        </w:tc>
      </w:tr>
      <w:tr w:rsidR="00183923" w:rsidRPr="00EA5D05" w:rsidTr="00D15288">
        <w:tc>
          <w:tcPr>
            <w:tcW w:w="3168" w:type="dxa"/>
            <w:gridSpan w:val="2"/>
          </w:tcPr>
          <w:p w:rsidR="00070A5C" w:rsidRPr="00EA5D05" w:rsidRDefault="00070A5C" w:rsidP="00DD5A15">
            <w:pPr>
              <w:rPr>
                <w:b/>
              </w:rPr>
            </w:pPr>
          </w:p>
        </w:tc>
        <w:tc>
          <w:tcPr>
            <w:tcW w:w="6570" w:type="dxa"/>
            <w:gridSpan w:val="3"/>
          </w:tcPr>
          <w:p w:rsidR="00B8341D" w:rsidRPr="00B8341D" w:rsidRDefault="00B8341D" w:rsidP="00B8341D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B8341D">
              <w:rPr>
                <w:lang w:val="it-IT"/>
              </w:rPr>
              <w:t xml:space="preserve">F.Selami. </w:t>
            </w:r>
            <w:r w:rsidRPr="00B8341D">
              <w:rPr>
                <w:i/>
                <w:lang w:val="it-IT"/>
              </w:rPr>
              <w:t>Farmakologjia me bazat e farmakologjisë klinike veterinare</w:t>
            </w:r>
            <w:r w:rsidRPr="00B8341D">
              <w:rPr>
                <w:lang w:val="it-IT"/>
              </w:rPr>
              <w:t>. Ed. i parë. Kumi, 2017.</w:t>
            </w:r>
          </w:p>
          <w:p w:rsidR="00B8341D" w:rsidRPr="00745941" w:rsidRDefault="00B8341D" w:rsidP="00B8341D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color w:val="000000"/>
              </w:rPr>
              <w:t>-</w:t>
            </w:r>
            <w:r w:rsidRPr="00745941">
              <w:rPr>
                <w:color w:val="000000"/>
              </w:rPr>
              <w:t>Nefail Biba.</w:t>
            </w:r>
            <w:r w:rsidRPr="00745941">
              <w:rPr>
                <w:color w:val="000000"/>
                <w:shd w:val="clear" w:color="auto" w:fill="FFFFFF"/>
              </w:rPr>
              <w:t xml:space="preserve"> </w:t>
            </w:r>
            <w:r w:rsidRPr="00745941">
              <w:rPr>
                <w:i/>
                <w:color w:val="000000"/>
                <w:shd w:val="clear" w:color="auto" w:fill="FFFFFF"/>
              </w:rPr>
              <w:t>Farmakologjia veterinare me bazat e toksikologjisë</w:t>
            </w:r>
            <w:r w:rsidRPr="00745941">
              <w:rPr>
                <w:color w:val="000000"/>
              </w:rPr>
              <w:t>, ed i parë. Mokra, 2007.</w:t>
            </w:r>
          </w:p>
          <w:p w:rsidR="00B8341D" w:rsidRDefault="00B8341D" w:rsidP="00B8341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lang w:val="it-IT"/>
              </w:rPr>
              <w:t>-</w:t>
            </w:r>
            <w:r w:rsidRPr="00745941">
              <w:rPr>
                <w:lang w:val="it-IT"/>
              </w:rPr>
              <w:t xml:space="preserve">A.Rama, F.Selami. </w:t>
            </w:r>
            <w:r w:rsidRPr="00745941">
              <w:rPr>
                <w:i/>
                <w:shd w:val="clear" w:color="auto" w:fill="FFFFFF"/>
              </w:rPr>
              <w:t>Farmakografia veterinare me baza të farmakoterapisë</w:t>
            </w:r>
            <w:r w:rsidRPr="00745941">
              <w:rPr>
                <w:lang w:val="it-IT"/>
              </w:rPr>
              <w:t>. Ed i parë. Pegi, 2011.</w:t>
            </w:r>
          </w:p>
          <w:p w:rsidR="00B8341D" w:rsidRPr="00B8341D" w:rsidRDefault="00B8341D" w:rsidP="00B834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5D05">
              <w:rPr>
                <w:rFonts w:eastAsia="Calibri"/>
              </w:rPr>
              <w:t>Steven B. Kayne and Michael H. Jepson</w:t>
            </w:r>
            <w:r w:rsidRPr="00EA5D05">
              <w:rPr>
                <w:rFonts w:eastAsia="Wingdings-Regular"/>
              </w:rPr>
              <w:t xml:space="preserve"> -</w:t>
            </w:r>
            <w:r w:rsidR="001D4CE0" w:rsidRPr="00B8341D">
              <w:rPr>
                <w:rFonts w:eastAsia="Calibri"/>
                <w:i/>
              </w:rPr>
              <w:t>Veterinary Pharmacy</w:t>
            </w:r>
            <w:r w:rsidR="001D4CE0" w:rsidRPr="00EA5D05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--</w:t>
            </w:r>
            <w:r w:rsidRPr="00EA5D05">
              <w:rPr>
                <w:rFonts w:eastAsia="Calibri"/>
              </w:rPr>
              <w:t>Janet Amundson Romich, Delmar Cengage Learning</w:t>
            </w:r>
          </w:p>
          <w:p w:rsidR="001D4CE0" w:rsidRPr="00B8341D" w:rsidRDefault="001D4CE0" w:rsidP="00B834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8341D">
              <w:rPr>
                <w:rFonts w:eastAsia="Calibri"/>
                <w:i/>
              </w:rPr>
              <w:t>Fundamentals of Pharmacology for Veterinary Technicians,</w:t>
            </w:r>
            <w:r w:rsidRPr="00EA5D05">
              <w:rPr>
                <w:rFonts w:eastAsia="Calibri"/>
              </w:rPr>
              <w:t xml:space="preserve"> </w:t>
            </w:r>
          </w:p>
          <w:p w:rsidR="001D4CE0" w:rsidRPr="00EA5D05" w:rsidRDefault="001D4CE0" w:rsidP="001D4CE0">
            <w:pPr>
              <w:autoSpaceDE w:val="0"/>
              <w:autoSpaceDN w:val="0"/>
              <w:adjustRightInd w:val="0"/>
              <w:ind w:left="143" w:hanging="180"/>
              <w:rPr>
                <w:rFonts w:eastAsia="Wingdings-Regular"/>
              </w:rPr>
            </w:pPr>
            <w:r w:rsidRPr="00EA5D05">
              <w:rPr>
                <w:rFonts w:eastAsia="Calibri"/>
              </w:rPr>
              <w:t xml:space="preserve">- </w:t>
            </w:r>
            <w:r w:rsidR="00B8341D" w:rsidRPr="00EA5D05">
              <w:rPr>
                <w:rFonts w:eastAsia="Calibri"/>
              </w:rPr>
              <w:t xml:space="preserve"> Joanna M. Bassert, Dennis M. McCurnin </w:t>
            </w:r>
            <w:r w:rsidRPr="00EA5D05">
              <w:rPr>
                <w:rFonts w:eastAsia="Calibri"/>
              </w:rPr>
              <w:t xml:space="preserve"> </w:t>
            </w:r>
            <w:r w:rsidRPr="00B8341D">
              <w:rPr>
                <w:rFonts w:eastAsia="Calibri"/>
                <w:i/>
              </w:rPr>
              <w:t>Clinical Textbook for Veterinary Technicians</w:t>
            </w:r>
            <w:r w:rsidRPr="00EA5D05">
              <w:rPr>
                <w:rFonts w:eastAsia="Calibri"/>
              </w:rPr>
              <w:t>, 7th edition, , Saunders, Elsevier</w:t>
            </w:r>
            <w:r w:rsidRPr="00EA5D05">
              <w:rPr>
                <w:rFonts w:eastAsia="Wingdings-Regular"/>
              </w:rPr>
              <w:t xml:space="preserve"> </w:t>
            </w:r>
          </w:p>
          <w:p w:rsidR="001D4CE0" w:rsidRPr="00EA5D05" w:rsidRDefault="001D4CE0" w:rsidP="001D4CE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A5D05">
              <w:rPr>
                <w:rFonts w:eastAsia="Calibri"/>
              </w:rPr>
              <w:t xml:space="preserve">- </w:t>
            </w:r>
            <w:r w:rsidRPr="00B8341D">
              <w:rPr>
                <w:rFonts w:eastAsia="Calibri"/>
                <w:i/>
              </w:rPr>
              <w:t>The Merck Veterinary manual</w:t>
            </w:r>
            <w:r w:rsidRPr="00EA5D05">
              <w:rPr>
                <w:rFonts w:eastAsia="Calibri"/>
              </w:rPr>
              <w:t xml:space="preserve">, 9th edition, Cynthia M. Kahn </w:t>
            </w:r>
          </w:p>
          <w:p w:rsidR="001D4CE0" w:rsidRPr="00EA5D05" w:rsidRDefault="001D4CE0" w:rsidP="001D4CE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A5D05">
              <w:rPr>
                <w:rFonts w:eastAsia="Calibri"/>
              </w:rPr>
              <w:t xml:space="preserve">- </w:t>
            </w:r>
            <w:r w:rsidR="00B8341D" w:rsidRPr="00EA5D05">
              <w:rPr>
                <w:rFonts w:eastAsia="Calibri"/>
              </w:rPr>
              <w:t xml:space="preserve"> John D. Bonagura, David C. Twed, W.B.</w:t>
            </w:r>
            <w:r w:rsidR="00B8341D">
              <w:rPr>
                <w:rFonts w:eastAsia="Calibri"/>
              </w:rPr>
              <w:t xml:space="preserve">, </w:t>
            </w:r>
            <w:r w:rsidRPr="00B8341D">
              <w:rPr>
                <w:rFonts w:eastAsia="Calibri"/>
                <w:i/>
              </w:rPr>
              <w:t>Kirk’s Current Veterinary Therapy</w:t>
            </w:r>
            <w:r w:rsidRPr="00EA5D05">
              <w:rPr>
                <w:rFonts w:eastAsia="Calibri"/>
              </w:rPr>
              <w:t>, Volume XIV, Saunders Company</w:t>
            </w:r>
          </w:p>
          <w:p w:rsidR="00183923" w:rsidRPr="00EA5D05" w:rsidRDefault="001D4CE0" w:rsidP="00A216EA">
            <w:pPr>
              <w:autoSpaceDE w:val="0"/>
              <w:autoSpaceDN w:val="0"/>
              <w:adjustRightInd w:val="0"/>
              <w:ind w:left="143"/>
              <w:rPr>
                <w:lang w:val="it-IT"/>
              </w:rPr>
            </w:pPr>
            <w:r w:rsidRPr="00EA5D05">
              <w:rPr>
                <w:lang w:val="it-IT"/>
              </w:rPr>
              <w:t xml:space="preserve"> </w:t>
            </w:r>
          </w:p>
        </w:tc>
      </w:tr>
      <w:tr w:rsidR="00183923" w:rsidRPr="00EA5D05" w:rsidTr="00D15288">
        <w:tc>
          <w:tcPr>
            <w:tcW w:w="3168" w:type="dxa"/>
            <w:gridSpan w:val="2"/>
          </w:tcPr>
          <w:p w:rsidR="00183923" w:rsidRPr="00EA5D05" w:rsidRDefault="00AF2A15" w:rsidP="00AF2A15">
            <w:pPr>
              <w:pStyle w:val="NoSpacing"/>
              <w:rPr>
                <w:b/>
              </w:rPr>
            </w:pPr>
            <w:proofErr w:type="spellStart"/>
            <w:r w:rsidRPr="00EA5D05">
              <w:rPr>
                <w:b/>
              </w:rPr>
              <w:t>Literaturë</w:t>
            </w:r>
            <w:proofErr w:type="spellEnd"/>
            <w:r w:rsidRPr="00EA5D05">
              <w:rPr>
                <w:b/>
              </w:rPr>
              <w:t xml:space="preserve"> </w:t>
            </w:r>
            <w:proofErr w:type="spellStart"/>
            <w:r w:rsidRPr="00EA5D05">
              <w:rPr>
                <w:b/>
              </w:rPr>
              <w:t>shtesë</w:t>
            </w:r>
            <w:proofErr w:type="spellEnd"/>
            <w:r w:rsidR="00183923" w:rsidRPr="00EA5D05">
              <w:rPr>
                <w:b/>
              </w:rPr>
              <w:t xml:space="preserve">:  </w:t>
            </w:r>
          </w:p>
        </w:tc>
        <w:tc>
          <w:tcPr>
            <w:tcW w:w="6570" w:type="dxa"/>
            <w:gridSpan w:val="3"/>
          </w:tcPr>
          <w:p w:rsidR="00B8341D" w:rsidRDefault="00B8341D" w:rsidP="00B8341D">
            <w:r>
              <w:rPr>
                <w:lang w:val="it-IT"/>
              </w:rPr>
              <w:t xml:space="preserve">- </w:t>
            </w:r>
            <w:r w:rsidRPr="00EA5D05">
              <w:t>Plumb DC.  Blackwell</w:t>
            </w:r>
            <w:r>
              <w:t xml:space="preserve">. </w:t>
            </w:r>
            <w:r w:rsidR="00EA5D05" w:rsidRPr="00B8341D">
              <w:rPr>
                <w:i/>
              </w:rPr>
              <w:t>Plumb’s Veterinary Drug Handbook</w:t>
            </w:r>
            <w:r w:rsidR="00EA5D05" w:rsidRPr="00EA5D05">
              <w:t xml:space="preserve"> (6</w:t>
            </w:r>
            <w:r w:rsidR="00EA5D05" w:rsidRPr="00EA5D05">
              <w:rPr>
                <w:vertAlign w:val="superscript"/>
              </w:rPr>
              <w:t>th</w:t>
            </w:r>
            <w:r w:rsidR="00EA5D05" w:rsidRPr="00EA5D05">
              <w:t xml:space="preserve"> ed.  2008. Ames, IA.</w:t>
            </w:r>
          </w:p>
          <w:p w:rsidR="00EA5D05" w:rsidRPr="00B8341D" w:rsidRDefault="00EA5D05" w:rsidP="00B8341D">
            <w:r w:rsidRPr="00EA5D05">
              <w:rPr>
                <w:lang w:val="it-IT"/>
              </w:rPr>
              <w:t xml:space="preserve">- Kahn, C.M., &amp; Line, S. (Eds.). </w:t>
            </w:r>
            <w:r w:rsidRPr="00B8341D">
              <w:rPr>
                <w:i/>
                <w:lang w:val="it-IT"/>
              </w:rPr>
              <w:t>The Merck Veterinary Manual</w:t>
            </w:r>
            <w:r w:rsidRPr="00EA5D05">
              <w:rPr>
                <w:lang w:val="it-IT"/>
              </w:rPr>
              <w:t xml:space="preserve"> (10th ed.).Rahway, NJ: Merck Publishing Group. </w:t>
            </w:r>
          </w:p>
          <w:p w:rsidR="00183923" w:rsidRPr="00B8341D" w:rsidRDefault="00EA5D05" w:rsidP="00B8341D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EA5D05">
              <w:rPr>
                <w:lang w:val="it-IT"/>
              </w:rPr>
              <w:t xml:space="preserve">- Rivere, J. E., &amp; Papich, M.G. </w:t>
            </w:r>
            <w:r w:rsidR="00B8341D" w:rsidRPr="00EA5D05">
              <w:rPr>
                <w:lang w:val="it-IT"/>
              </w:rPr>
              <w:t xml:space="preserve"> </w:t>
            </w:r>
            <w:r w:rsidR="00B8341D" w:rsidRPr="00B8341D">
              <w:rPr>
                <w:i/>
                <w:lang w:val="it-IT"/>
              </w:rPr>
              <w:t>Veterinary Pharmacolog</w:t>
            </w:r>
            <w:r w:rsidR="00B8341D">
              <w:rPr>
                <w:i/>
                <w:lang w:val="it-IT"/>
              </w:rPr>
              <w:t>y</w:t>
            </w:r>
            <w:r w:rsidR="00B8341D" w:rsidRPr="00EA5D05">
              <w:rPr>
                <w:lang w:val="it-IT"/>
              </w:rPr>
              <w:t xml:space="preserve"> </w:t>
            </w:r>
            <w:r w:rsidR="00B8341D" w:rsidRPr="00B8341D">
              <w:rPr>
                <w:i/>
                <w:lang w:val="it-IT"/>
              </w:rPr>
              <w:t>and Therapeutics</w:t>
            </w:r>
            <w:r w:rsidR="00B8341D">
              <w:rPr>
                <w:lang w:val="it-IT"/>
              </w:rPr>
              <w:t xml:space="preserve">, </w:t>
            </w:r>
            <w:r w:rsidRPr="00EA5D05">
              <w:rPr>
                <w:lang w:val="it-IT"/>
              </w:rPr>
              <w:t xml:space="preserve">(Eds.). (2009 (9th ed.). Ames, IA: Wiley-Blackwell. </w:t>
            </w:r>
            <w:r w:rsidR="00401BAD" w:rsidRPr="00EA5D05">
              <w:rPr>
                <w:lang w:val="it-IT"/>
              </w:rPr>
              <w:t xml:space="preserve">        </w:t>
            </w:r>
          </w:p>
        </w:tc>
      </w:tr>
    </w:tbl>
    <w:p w:rsidR="00CF116F" w:rsidRPr="00EA5D05" w:rsidRDefault="00CF116F" w:rsidP="00D67209">
      <w:pPr>
        <w:pStyle w:val="NoSpacing"/>
      </w:pPr>
    </w:p>
    <w:p w:rsidR="008F3F97" w:rsidRPr="00EA5D05" w:rsidRDefault="008F3F97" w:rsidP="00D67209">
      <w:pPr>
        <w:pStyle w:val="NoSpacing"/>
      </w:pPr>
    </w:p>
    <w:p w:rsidR="008F3F97" w:rsidRPr="00EA5D05" w:rsidRDefault="008F3F97" w:rsidP="00D67209">
      <w:pPr>
        <w:pStyle w:val="NoSpacing"/>
      </w:pPr>
    </w:p>
    <w:tbl>
      <w:tblPr>
        <w:tblpPr w:leftFromText="180" w:rightFromText="180" w:vertAnchor="text" w:horzAnchor="margin" w:tblpY="4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930"/>
      </w:tblGrid>
      <w:tr w:rsidR="0033644F" w:rsidRPr="00EA5D05" w:rsidTr="00E16060">
        <w:tc>
          <w:tcPr>
            <w:tcW w:w="9648" w:type="dxa"/>
            <w:gridSpan w:val="2"/>
            <w:shd w:val="clear" w:color="auto" w:fill="B8CCE4"/>
          </w:tcPr>
          <w:p w:rsidR="00AF2A15" w:rsidRPr="00EA5D05" w:rsidRDefault="00AF2A15" w:rsidP="00AF2A15">
            <w:pPr>
              <w:rPr>
                <w:b/>
              </w:rPr>
            </w:pPr>
            <w:r w:rsidRPr="00EA5D05">
              <w:rPr>
                <w:b/>
              </w:rPr>
              <w:t xml:space="preserve">Plani i </w:t>
            </w:r>
            <w:r w:rsidR="0063380E" w:rsidRPr="00EA5D05">
              <w:rPr>
                <w:b/>
              </w:rPr>
              <w:t>dizajnuar</w:t>
            </w:r>
            <w:r w:rsidRPr="00EA5D05">
              <w:rPr>
                <w:b/>
              </w:rPr>
              <w:t xml:space="preserve"> i mësimit:  </w:t>
            </w:r>
          </w:p>
          <w:p w:rsidR="0033644F" w:rsidRPr="00EA5D05" w:rsidRDefault="0033644F" w:rsidP="00DA5667">
            <w:pPr>
              <w:rPr>
                <w:b/>
              </w:rPr>
            </w:pPr>
          </w:p>
        </w:tc>
      </w:tr>
      <w:tr w:rsidR="0033644F" w:rsidRPr="00EA5D05" w:rsidTr="00E16060">
        <w:tc>
          <w:tcPr>
            <w:tcW w:w="2718" w:type="dxa"/>
            <w:shd w:val="clear" w:color="auto" w:fill="B8CCE4"/>
          </w:tcPr>
          <w:p w:rsidR="0033644F" w:rsidRPr="00EA5D05" w:rsidRDefault="0033644F" w:rsidP="00DA5667">
            <w:pPr>
              <w:rPr>
                <w:b/>
              </w:rPr>
            </w:pPr>
            <w:r w:rsidRPr="00EA5D05">
              <w:rPr>
                <w:b/>
              </w:rPr>
              <w:t>Java</w:t>
            </w:r>
          </w:p>
        </w:tc>
        <w:tc>
          <w:tcPr>
            <w:tcW w:w="6930" w:type="dxa"/>
            <w:shd w:val="clear" w:color="auto" w:fill="B8CCE4"/>
          </w:tcPr>
          <w:p w:rsidR="0033644F" w:rsidRPr="00EA5D05" w:rsidRDefault="00F8757C" w:rsidP="00AF2A15">
            <w:pPr>
              <w:rPr>
                <w:b/>
              </w:rPr>
            </w:pPr>
            <w:r w:rsidRPr="00EA5D05">
              <w:rPr>
                <w:b/>
              </w:rPr>
              <w:t>Ligjëratat</w:t>
            </w:r>
            <w:r w:rsidR="00AF2A15" w:rsidRPr="00EA5D05">
              <w:rPr>
                <w:b/>
              </w:rPr>
              <w:t xml:space="preserve"> që do të zhvillohen</w:t>
            </w:r>
          </w:p>
        </w:tc>
      </w:tr>
      <w:tr w:rsidR="00AF2A15" w:rsidRPr="00EA5D05" w:rsidTr="00E16060">
        <w:tc>
          <w:tcPr>
            <w:tcW w:w="2718" w:type="dxa"/>
          </w:tcPr>
          <w:p w:rsidR="00AF2A15" w:rsidRPr="00EA5D05" w:rsidRDefault="00AF2A15" w:rsidP="00AF2A15">
            <w:pPr>
              <w:rPr>
                <w:b/>
              </w:rPr>
            </w:pPr>
            <w:r w:rsidRPr="00EA5D05">
              <w:rPr>
                <w:b/>
                <w:i/>
              </w:rPr>
              <w:t>Java e parë:</w:t>
            </w:r>
          </w:p>
        </w:tc>
        <w:tc>
          <w:tcPr>
            <w:tcW w:w="6930" w:type="dxa"/>
          </w:tcPr>
          <w:p w:rsidR="00AF2A15" w:rsidRPr="00EA5D05" w:rsidRDefault="00E04191" w:rsidP="00E04191">
            <w:r>
              <w:t>Hyrje në lëndën Farmakoterapeutikët,definicionet kryesore dhe s</w:t>
            </w:r>
            <w:r w:rsidR="001D4CE0" w:rsidRPr="00EA5D05">
              <w:t>pecifikat sipas specieve</w:t>
            </w:r>
            <w:r>
              <w:t xml:space="preserve"> te kafshëve. </w:t>
            </w:r>
            <w:r w:rsidR="001D4CE0" w:rsidRPr="00EA5D05">
              <w:t xml:space="preserve"> </w:t>
            </w:r>
            <w:r w:rsidR="00AF2A15" w:rsidRPr="00EA5D05">
              <w:t xml:space="preserve"> </w:t>
            </w:r>
          </w:p>
        </w:tc>
      </w:tr>
      <w:tr w:rsidR="00AF2A15" w:rsidRPr="00EA5D05" w:rsidTr="00E16060">
        <w:tc>
          <w:tcPr>
            <w:tcW w:w="2718" w:type="dxa"/>
          </w:tcPr>
          <w:p w:rsidR="00AF2A15" w:rsidRPr="00EA5D05" w:rsidRDefault="00AF2A15" w:rsidP="00AF2A15">
            <w:pPr>
              <w:rPr>
                <w:b/>
              </w:rPr>
            </w:pPr>
            <w:r w:rsidRPr="00EA5D05">
              <w:rPr>
                <w:b/>
                <w:i/>
              </w:rPr>
              <w:t>Java e dytë:</w:t>
            </w:r>
          </w:p>
        </w:tc>
        <w:tc>
          <w:tcPr>
            <w:tcW w:w="6930" w:type="dxa"/>
          </w:tcPr>
          <w:p w:rsidR="00AF2A15" w:rsidRPr="00EA5D05" w:rsidRDefault="00E04191" w:rsidP="00E04191">
            <w:pPr>
              <w:pStyle w:val="titolo"/>
              <w:spacing w:before="0" w:beforeAutospacing="0" w:after="0" w:afterAutospacing="0"/>
              <w:ind w:right="288"/>
            </w:pPr>
            <w:r>
              <w:t xml:space="preserve">Hyrja e substancave ne organizëm rrugët e përdorimit të barnave. </w:t>
            </w:r>
          </w:p>
        </w:tc>
      </w:tr>
      <w:tr w:rsidR="00594A56" w:rsidRPr="00EA5D05" w:rsidTr="00E16060">
        <w:tc>
          <w:tcPr>
            <w:tcW w:w="2718" w:type="dxa"/>
          </w:tcPr>
          <w:p w:rsidR="00594A56" w:rsidRPr="00EA5D05" w:rsidRDefault="00594A56" w:rsidP="00594A56">
            <w:pPr>
              <w:rPr>
                <w:b/>
              </w:rPr>
            </w:pPr>
            <w:r w:rsidRPr="00EA5D05">
              <w:rPr>
                <w:b/>
                <w:i/>
              </w:rPr>
              <w:t>Java e tretë</w:t>
            </w:r>
            <w:r w:rsidRPr="00EA5D05">
              <w:rPr>
                <w:b/>
              </w:rPr>
              <w:t>:</w:t>
            </w:r>
          </w:p>
        </w:tc>
        <w:tc>
          <w:tcPr>
            <w:tcW w:w="6930" w:type="dxa"/>
          </w:tcPr>
          <w:p w:rsidR="00594A56" w:rsidRPr="00EA5D05" w:rsidRDefault="00594A56" w:rsidP="00594A56">
            <w:r>
              <w:t xml:space="preserve">Farmacia dhe format e barnave. </w:t>
            </w:r>
          </w:p>
        </w:tc>
      </w:tr>
      <w:tr w:rsidR="00594A56" w:rsidRPr="00EA5D05" w:rsidTr="00E16060">
        <w:tc>
          <w:tcPr>
            <w:tcW w:w="2718" w:type="dxa"/>
          </w:tcPr>
          <w:p w:rsidR="00594A56" w:rsidRPr="00EA5D05" w:rsidRDefault="00594A56" w:rsidP="00594A56">
            <w:pPr>
              <w:rPr>
                <w:b/>
              </w:rPr>
            </w:pPr>
            <w:r w:rsidRPr="00EA5D05">
              <w:rPr>
                <w:b/>
                <w:i/>
              </w:rPr>
              <w:t>Java e katërt:</w:t>
            </w:r>
          </w:p>
        </w:tc>
        <w:tc>
          <w:tcPr>
            <w:tcW w:w="6930" w:type="dxa"/>
          </w:tcPr>
          <w:p w:rsidR="00594A56" w:rsidRPr="00EA5D05" w:rsidRDefault="00594A56" w:rsidP="00594A56">
            <w:r>
              <w:t xml:space="preserve">Farmakologjia e sistemit endokrin. Hormonet steroide dhe Kortikosteroid. Hormonet steroide dhe Kortikosteroidët. </w:t>
            </w:r>
          </w:p>
        </w:tc>
      </w:tr>
      <w:tr w:rsidR="00594A56" w:rsidRPr="00EA5D05" w:rsidTr="00E16060">
        <w:tc>
          <w:tcPr>
            <w:tcW w:w="2718" w:type="dxa"/>
          </w:tcPr>
          <w:p w:rsidR="00594A56" w:rsidRPr="00EA5D05" w:rsidRDefault="00594A56" w:rsidP="00594A56">
            <w:pPr>
              <w:rPr>
                <w:b/>
              </w:rPr>
            </w:pPr>
            <w:r w:rsidRPr="00EA5D05">
              <w:rPr>
                <w:b/>
                <w:i/>
              </w:rPr>
              <w:t>Java e pestë</w:t>
            </w:r>
            <w:r w:rsidRPr="00EA5D05">
              <w:rPr>
                <w:b/>
              </w:rPr>
              <w:t>:</w:t>
            </w:r>
          </w:p>
        </w:tc>
        <w:tc>
          <w:tcPr>
            <w:tcW w:w="6930" w:type="dxa"/>
          </w:tcPr>
          <w:p w:rsidR="00594A56" w:rsidRPr="00EA5D05" w:rsidRDefault="00BA2F7B" w:rsidP="00594A56">
            <w:pPr>
              <w:pStyle w:val="titolo"/>
              <w:spacing w:before="0" w:beforeAutospacing="0" w:after="0" w:afterAutospacing="0"/>
              <w:ind w:right="288"/>
            </w:pPr>
            <w:r>
              <w:t xml:space="preserve">Substancat autokoide. Prostaglandinat. Histamina dhe Antihistaminikët. </w:t>
            </w:r>
          </w:p>
        </w:tc>
      </w:tr>
      <w:tr w:rsidR="00594A56" w:rsidRPr="00EA5D05" w:rsidTr="00E16060">
        <w:tc>
          <w:tcPr>
            <w:tcW w:w="2718" w:type="dxa"/>
          </w:tcPr>
          <w:p w:rsidR="00594A56" w:rsidRPr="00EA5D05" w:rsidRDefault="00594A56" w:rsidP="00594A56">
            <w:pPr>
              <w:rPr>
                <w:b/>
              </w:rPr>
            </w:pPr>
            <w:r w:rsidRPr="00EA5D05">
              <w:rPr>
                <w:b/>
                <w:i/>
              </w:rPr>
              <w:t>Java e gjashtë</w:t>
            </w:r>
            <w:r w:rsidRPr="00EA5D05">
              <w:rPr>
                <w:b/>
              </w:rPr>
              <w:t>:</w:t>
            </w:r>
          </w:p>
        </w:tc>
        <w:tc>
          <w:tcPr>
            <w:tcW w:w="6930" w:type="dxa"/>
          </w:tcPr>
          <w:p w:rsidR="00594A56" w:rsidRPr="00EA5D05" w:rsidRDefault="0017081D" w:rsidP="00594A56">
            <w:pPr>
              <w:pStyle w:val="titolo"/>
              <w:spacing w:before="0" w:beforeAutospacing="0" w:after="0" w:afterAutospacing="0"/>
              <w:ind w:right="288"/>
            </w:pPr>
            <w:r>
              <w:t xml:space="preserve">Barnat antimykotike dhe mënyra e përdorimit të tyre. </w:t>
            </w:r>
            <w:r w:rsidR="00BA2F7B">
              <w:t xml:space="preserve"> Antimykotikët për përdorim sistematik. </w:t>
            </w:r>
          </w:p>
        </w:tc>
      </w:tr>
      <w:tr w:rsidR="00594A56" w:rsidRPr="00EA5D05" w:rsidTr="00E16060">
        <w:tc>
          <w:tcPr>
            <w:tcW w:w="2718" w:type="dxa"/>
          </w:tcPr>
          <w:p w:rsidR="00594A56" w:rsidRPr="00EA5D05" w:rsidRDefault="00594A56" w:rsidP="00594A56">
            <w:pPr>
              <w:rPr>
                <w:b/>
              </w:rPr>
            </w:pPr>
            <w:r w:rsidRPr="00EA5D05">
              <w:rPr>
                <w:b/>
                <w:i/>
              </w:rPr>
              <w:t>Java e shtatë:</w:t>
            </w:r>
            <w:r w:rsidRPr="00EA5D05">
              <w:rPr>
                <w:b/>
              </w:rPr>
              <w:t xml:space="preserve">  </w:t>
            </w:r>
          </w:p>
        </w:tc>
        <w:tc>
          <w:tcPr>
            <w:tcW w:w="6930" w:type="dxa"/>
          </w:tcPr>
          <w:p w:rsidR="0017081D" w:rsidRDefault="0017081D" w:rsidP="00BA2F7B">
            <w:pPr>
              <w:pStyle w:val="titolo"/>
              <w:spacing w:before="0" w:beforeAutospacing="0" w:after="0" w:afterAutospacing="0"/>
              <w:ind w:right="288"/>
            </w:pPr>
            <w:r>
              <w:t>Barnat antimykotike dhe mënyra e përdorimit të tyre.</w:t>
            </w:r>
          </w:p>
          <w:p w:rsidR="00BA2F7B" w:rsidRPr="00EA5D05" w:rsidRDefault="00BA2F7B" w:rsidP="00BA2F7B">
            <w:pPr>
              <w:pStyle w:val="titolo"/>
              <w:spacing w:before="0" w:beforeAutospacing="0" w:after="0" w:afterAutospacing="0"/>
              <w:ind w:right="288"/>
            </w:pPr>
            <w:r>
              <w:t xml:space="preserve">Antimykotikët për përdorim lokal. </w:t>
            </w:r>
          </w:p>
        </w:tc>
      </w:tr>
      <w:tr w:rsidR="00594A56" w:rsidRPr="00EA5D05" w:rsidTr="00E16060">
        <w:tc>
          <w:tcPr>
            <w:tcW w:w="2718" w:type="dxa"/>
          </w:tcPr>
          <w:p w:rsidR="00594A56" w:rsidRPr="00EA5D05" w:rsidRDefault="00594A56" w:rsidP="00594A56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tetë:</w:t>
            </w:r>
            <w:r w:rsidRPr="00EA5D05">
              <w:rPr>
                <w:b/>
              </w:rPr>
              <w:t xml:space="preserve">  </w:t>
            </w:r>
          </w:p>
        </w:tc>
        <w:tc>
          <w:tcPr>
            <w:tcW w:w="6930" w:type="dxa"/>
          </w:tcPr>
          <w:p w:rsidR="00594A56" w:rsidRPr="00EA5D05" w:rsidRDefault="0017081D" w:rsidP="00BA2F7B">
            <w:pPr>
              <w:rPr>
                <w:lang w:val="it-IT"/>
              </w:rPr>
            </w:pPr>
            <w:r>
              <w:rPr>
                <w:lang w:val="it-IT"/>
              </w:rPr>
              <w:t xml:space="preserve">Barnat me veprim antiparazitare  dhe mënyra e përdorimit të tyre. </w:t>
            </w:r>
            <w:r w:rsidR="00BA2F7B">
              <w:rPr>
                <w:lang w:val="it-IT"/>
              </w:rPr>
              <w:t xml:space="preserve"> Antihelmentikët. Antitrematodët. </w:t>
            </w:r>
          </w:p>
        </w:tc>
      </w:tr>
      <w:tr w:rsidR="00BA2F7B" w:rsidRPr="00EA5D05" w:rsidTr="00E16060">
        <w:tc>
          <w:tcPr>
            <w:tcW w:w="2718" w:type="dxa"/>
          </w:tcPr>
          <w:p w:rsidR="00BA2F7B" w:rsidRPr="00EA5D05" w:rsidRDefault="00BA2F7B" w:rsidP="00BA2F7B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nëntë:</w:t>
            </w:r>
            <w:r w:rsidRPr="00EA5D05">
              <w:rPr>
                <w:b/>
              </w:rPr>
              <w:t xml:space="preserve">  </w:t>
            </w:r>
          </w:p>
        </w:tc>
        <w:tc>
          <w:tcPr>
            <w:tcW w:w="6930" w:type="dxa"/>
          </w:tcPr>
          <w:p w:rsidR="00BA2F7B" w:rsidRPr="00EA5D05" w:rsidRDefault="00BA2F7B" w:rsidP="00BA2F7B">
            <w:pPr>
              <w:pStyle w:val="titolo"/>
              <w:spacing w:before="0" w:beforeAutospacing="0" w:after="0" w:afterAutospacing="0"/>
              <w:ind w:right="288"/>
            </w:pPr>
            <w:r>
              <w:t>Barnat me veprim antiparazitare</w:t>
            </w:r>
            <w:r w:rsidR="0017081D">
              <w:t xml:space="preserve">  dhe mënyra e përdorimit të tyre. </w:t>
            </w:r>
            <w:r>
              <w:t xml:space="preserve"> Antinematodët. Anticestodët.</w:t>
            </w:r>
          </w:p>
        </w:tc>
      </w:tr>
      <w:tr w:rsidR="00BA2F7B" w:rsidRPr="00EA5D05" w:rsidTr="00E16060">
        <w:tc>
          <w:tcPr>
            <w:tcW w:w="2718" w:type="dxa"/>
          </w:tcPr>
          <w:p w:rsidR="00BA2F7B" w:rsidRPr="00EA5D05" w:rsidRDefault="00BA2F7B" w:rsidP="00BA2F7B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dhjetë:</w:t>
            </w:r>
          </w:p>
        </w:tc>
        <w:tc>
          <w:tcPr>
            <w:tcW w:w="6930" w:type="dxa"/>
          </w:tcPr>
          <w:p w:rsidR="00BA2F7B" w:rsidRPr="00EA5D05" w:rsidRDefault="00BA2F7B" w:rsidP="00BA2F7B">
            <w:pPr>
              <w:rPr>
                <w:lang w:val="it-IT"/>
              </w:rPr>
            </w:pPr>
            <w:r>
              <w:rPr>
                <w:lang w:val="it-IT"/>
              </w:rPr>
              <w:t>Barnat me veprim antiparazitare</w:t>
            </w:r>
            <w:r w:rsidR="0017081D">
              <w:t xml:space="preserve"> </w:t>
            </w:r>
            <w:r w:rsidR="0017081D">
              <w:rPr>
                <w:lang w:val="it-IT"/>
              </w:rPr>
              <w:t xml:space="preserve"> dhe mënyra e përdorimit të tyre. </w:t>
            </w:r>
            <w:r>
              <w:rPr>
                <w:lang w:val="it-IT"/>
              </w:rPr>
              <w:t>Antiporotozoarët</w:t>
            </w:r>
          </w:p>
        </w:tc>
      </w:tr>
      <w:tr w:rsidR="00594A56" w:rsidRPr="00EA5D05" w:rsidTr="00E16060">
        <w:tc>
          <w:tcPr>
            <w:tcW w:w="2718" w:type="dxa"/>
          </w:tcPr>
          <w:p w:rsidR="00594A56" w:rsidRPr="00EA5D05" w:rsidRDefault="00594A56" w:rsidP="00594A56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njëmbedhjetë</w:t>
            </w:r>
            <w:r w:rsidRPr="00EA5D05">
              <w:rPr>
                <w:b/>
              </w:rPr>
              <w:t>:</w:t>
            </w:r>
          </w:p>
        </w:tc>
        <w:tc>
          <w:tcPr>
            <w:tcW w:w="6930" w:type="dxa"/>
          </w:tcPr>
          <w:p w:rsidR="00594A56" w:rsidRPr="00EA5D05" w:rsidRDefault="004E636A" w:rsidP="00594A56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Antiseptikët dhe Dezinfektantët</w:t>
            </w:r>
            <w:r w:rsidR="0017081D">
              <w:rPr>
                <w:lang w:val="it-IT"/>
              </w:rPr>
              <w:t xml:space="preserve">  dhe mënyra e përdorimit të tyre. </w:t>
            </w:r>
          </w:p>
        </w:tc>
      </w:tr>
      <w:tr w:rsidR="00594A56" w:rsidRPr="00EA5D05" w:rsidTr="00E16060">
        <w:tc>
          <w:tcPr>
            <w:tcW w:w="2718" w:type="dxa"/>
          </w:tcPr>
          <w:p w:rsidR="00594A56" w:rsidRPr="00EA5D05" w:rsidRDefault="00594A56" w:rsidP="00594A56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dymbëdhjetë</w:t>
            </w:r>
            <w:r w:rsidRPr="00EA5D05">
              <w:rPr>
                <w:b/>
              </w:rPr>
              <w:t xml:space="preserve">:  </w:t>
            </w:r>
          </w:p>
        </w:tc>
        <w:tc>
          <w:tcPr>
            <w:tcW w:w="6930" w:type="dxa"/>
          </w:tcPr>
          <w:p w:rsidR="00594A56" w:rsidRPr="00EA5D05" w:rsidRDefault="0017081D" w:rsidP="0017081D">
            <w:pPr>
              <w:rPr>
                <w:lang w:val="it-IT"/>
              </w:rPr>
            </w:pPr>
            <w:r>
              <w:rPr>
                <w:lang w:val="it-IT"/>
              </w:rPr>
              <w:t>Insekticidët dhe mënyra e përdorimit të tyre. Klororganikët. Fosfororganikët.</w:t>
            </w:r>
          </w:p>
        </w:tc>
      </w:tr>
      <w:tr w:rsidR="00594A56" w:rsidRPr="00EA5D05" w:rsidTr="00E16060">
        <w:tc>
          <w:tcPr>
            <w:tcW w:w="2718" w:type="dxa"/>
          </w:tcPr>
          <w:p w:rsidR="00594A56" w:rsidRPr="00EA5D05" w:rsidRDefault="00594A56" w:rsidP="00594A56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trembëdhjetë</w:t>
            </w:r>
            <w:r w:rsidRPr="00EA5D05">
              <w:rPr>
                <w:b/>
              </w:rPr>
              <w:t xml:space="preserve">:    </w:t>
            </w:r>
          </w:p>
        </w:tc>
        <w:tc>
          <w:tcPr>
            <w:tcW w:w="6930" w:type="dxa"/>
          </w:tcPr>
          <w:p w:rsidR="00594A56" w:rsidRPr="00EA5D05" w:rsidRDefault="0017081D" w:rsidP="0017081D">
            <w:pPr>
              <w:rPr>
                <w:lang w:val="it-IT"/>
              </w:rPr>
            </w:pPr>
            <w:r>
              <w:rPr>
                <w:lang w:val="it-IT"/>
              </w:rPr>
              <w:t xml:space="preserve">Insekticidët dhe mënyra e përdorimit të tyre. Karbamatet dhe insekticidet tjerë.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katërmbëdhjetë</w:t>
            </w:r>
            <w:r w:rsidRPr="00EA5D05">
              <w:rPr>
                <w:b/>
              </w:rPr>
              <w:t xml:space="preserve">:  </w:t>
            </w:r>
          </w:p>
        </w:tc>
        <w:tc>
          <w:tcPr>
            <w:tcW w:w="6930" w:type="dxa"/>
          </w:tcPr>
          <w:p w:rsidR="0017081D" w:rsidRPr="00EA5D05" w:rsidRDefault="0017081D" w:rsidP="0017081D">
            <w:pPr>
              <w:rPr>
                <w:lang w:val="it-IT"/>
              </w:rPr>
            </w:pPr>
            <w:r>
              <w:rPr>
                <w:lang w:val="it-IT"/>
              </w:rPr>
              <w:t xml:space="preserve">Përdorimi barnave në akuakulturë.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pesëmbëdhjetë</w:t>
            </w:r>
            <w:r w:rsidRPr="00EA5D05">
              <w:rPr>
                <w:b/>
              </w:rPr>
              <w:t xml:space="preserve">:   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Barnat Antivirale </w:t>
            </w:r>
            <w:r>
              <w:rPr>
                <w:lang w:val="it-IT"/>
              </w:rPr>
              <w:t xml:space="preserve"> dhe mënyra e përdorimit të tyre. </w:t>
            </w:r>
          </w:p>
        </w:tc>
      </w:tr>
      <w:tr w:rsidR="0017081D" w:rsidRPr="00EA5D05" w:rsidTr="00E16060">
        <w:tc>
          <w:tcPr>
            <w:tcW w:w="9648" w:type="dxa"/>
            <w:gridSpan w:val="2"/>
            <w:shd w:val="clear" w:color="auto" w:fill="B8CCE4"/>
          </w:tcPr>
          <w:p w:rsidR="0017081D" w:rsidRPr="00EA5D05" w:rsidRDefault="0017081D" w:rsidP="0017081D">
            <w:pPr>
              <w:rPr>
                <w:b/>
              </w:rPr>
            </w:pPr>
            <w:r w:rsidRPr="00EA5D05">
              <w:rPr>
                <w:rStyle w:val="Strong"/>
              </w:rPr>
              <w:t>Temat e praktikave</w:t>
            </w:r>
          </w:p>
        </w:tc>
      </w:tr>
      <w:tr w:rsidR="0017081D" w:rsidRPr="00EA5D05" w:rsidTr="00E16060">
        <w:tc>
          <w:tcPr>
            <w:tcW w:w="2718" w:type="dxa"/>
            <w:shd w:val="clear" w:color="auto" w:fill="B8CCE4"/>
          </w:tcPr>
          <w:p w:rsidR="0017081D" w:rsidRPr="00EA5D05" w:rsidRDefault="0017081D" w:rsidP="0017081D">
            <w:pPr>
              <w:rPr>
                <w:b/>
              </w:rPr>
            </w:pPr>
            <w:r w:rsidRPr="00EA5D05">
              <w:rPr>
                <w:b/>
              </w:rPr>
              <w:t>Java</w:t>
            </w:r>
          </w:p>
        </w:tc>
        <w:tc>
          <w:tcPr>
            <w:tcW w:w="6930" w:type="dxa"/>
            <w:shd w:val="clear" w:color="auto" w:fill="B8CCE4"/>
          </w:tcPr>
          <w:p w:rsidR="0017081D" w:rsidRPr="00EA5D05" w:rsidRDefault="0017081D" w:rsidP="0017081D">
            <w:pPr>
              <w:rPr>
                <w:b/>
              </w:rPr>
            </w:pP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</w:rPr>
            </w:pPr>
            <w:r w:rsidRPr="00EA5D05">
              <w:rPr>
                <w:b/>
                <w:i/>
              </w:rPr>
              <w:t>Java e parë: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>Hyrje në lëndën Farmakoterapeutikët, definiconet kryesore dhe s</w:t>
            </w:r>
            <w:r w:rsidRPr="00EA5D05">
              <w:t>pecifikat sipas specieve</w:t>
            </w:r>
            <w:r>
              <w:t xml:space="preserve"> te kafshëve. </w:t>
            </w:r>
            <w:r w:rsidRPr="00EA5D05">
              <w:t xml:space="preserve"> 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</w:rPr>
            </w:pPr>
            <w:r w:rsidRPr="00EA5D05">
              <w:rPr>
                <w:b/>
                <w:i/>
              </w:rPr>
              <w:t>Java e dytë: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>Rrugët e përdorimit të barnave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</w:rPr>
            </w:pPr>
            <w:r w:rsidRPr="00EA5D05">
              <w:rPr>
                <w:b/>
                <w:i/>
              </w:rPr>
              <w:t>Java e tretë</w:t>
            </w:r>
            <w:r w:rsidRPr="00EA5D05">
              <w:rPr>
                <w:b/>
              </w:rPr>
              <w:t>: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Rrugët parenterale dhe rrugët respiratore (aerogene).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</w:rPr>
            </w:pPr>
            <w:r w:rsidRPr="00EA5D05">
              <w:rPr>
                <w:b/>
                <w:i/>
              </w:rPr>
              <w:t>Java e katërt: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Rrugët orale dhe rrugët topike.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</w:rPr>
            </w:pPr>
            <w:r w:rsidRPr="00EA5D05">
              <w:rPr>
                <w:b/>
                <w:i/>
              </w:rPr>
              <w:t>Java e pestë</w:t>
            </w:r>
            <w:r w:rsidRPr="00EA5D05">
              <w:rPr>
                <w:b/>
              </w:rPr>
              <w:t>: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Farmacia veterinare dhe format e barnave.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</w:rPr>
            </w:pPr>
            <w:r w:rsidRPr="00EA5D05">
              <w:rPr>
                <w:b/>
                <w:i/>
              </w:rPr>
              <w:t>Java e gjashtë</w:t>
            </w:r>
            <w:r w:rsidRPr="00EA5D05">
              <w:rPr>
                <w:b/>
              </w:rPr>
              <w:t>: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Format farmaceutike për përdorim oral.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</w:rPr>
            </w:pPr>
            <w:r w:rsidRPr="00EA5D05">
              <w:rPr>
                <w:b/>
                <w:i/>
              </w:rPr>
              <w:t>Java e shtatë:</w:t>
            </w:r>
            <w:r w:rsidRPr="00EA5D05">
              <w:rPr>
                <w:b/>
              </w:rPr>
              <w:t xml:space="preserve">  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Format farmaceutike injektabile. 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tetë:</w:t>
            </w:r>
            <w:r w:rsidRPr="00EA5D05">
              <w:rPr>
                <w:b/>
              </w:rPr>
              <w:t xml:space="preserve">  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Format farmaceutike oftalmike. 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nëntë:</w:t>
            </w:r>
            <w:r w:rsidRPr="00EA5D05">
              <w:rPr>
                <w:b/>
              </w:rPr>
              <w:t xml:space="preserve">  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Format farmaceutike nazale. 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dhjetë: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Format farmaceutike otologjike.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njëmbëdhjetë</w:t>
            </w:r>
            <w:r w:rsidRPr="00EA5D05">
              <w:rPr>
                <w:b/>
              </w:rPr>
              <w:t>: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Format farmaceutike rektale dhe vaginale.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lastRenderedPageBreak/>
              <w:t>Java e dymbëdhjetë</w:t>
            </w:r>
            <w:r w:rsidRPr="00EA5D05">
              <w:rPr>
                <w:b/>
              </w:rPr>
              <w:t xml:space="preserve">:  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>Format farmaceutike për përdorim në gji (intramamare dhe endomamare).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trembëdhjetë</w:t>
            </w:r>
            <w:r w:rsidRPr="00EA5D05">
              <w:rPr>
                <w:b/>
              </w:rPr>
              <w:t xml:space="preserve">:    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Format farmaceutike për përdorim dermatologjik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katërmbëdhjetë</w:t>
            </w:r>
            <w:r w:rsidRPr="00EA5D05">
              <w:rPr>
                <w:b/>
              </w:rPr>
              <w:t xml:space="preserve">:  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Format farmaceutike për përdorim epidermik.  </w:t>
            </w:r>
          </w:p>
        </w:tc>
      </w:tr>
      <w:tr w:rsidR="0017081D" w:rsidRPr="00EA5D05" w:rsidTr="00E16060">
        <w:tc>
          <w:tcPr>
            <w:tcW w:w="2718" w:type="dxa"/>
          </w:tcPr>
          <w:p w:rsidR="0017081D" w:rsidRPr="00EA5D05" w:rsidRDefault="0017081D" w:rsidP="0017081D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Java e pesëmbëdhjetë</w:t>
            </w:r>
            <w:r w:rsidRPr="00EA5D05">
              <w:rPr>
                <w:b/>
              </w:rPr>
              <w:t xml:space="preserve">:   </w:t>
            </w:r>
          </w:p>
        </w:tc>
        <w:tc>
          <w:tcPr>
            <w:tcW w:w="6930" w:type="dxa"/>
          </w:tcPr>
          <w:p w:rsidR="0017081D" w:rsidRPr="00EA5D05" w:rsidRDefault="0017081D" w:rsidP="0017081D">
            <w:r>
              <w:t xml:space="preserve">Format farmaceutike spray. </w:t>
            </w:r>
          </w:p>
        </w:tc>
      </w:tr>
    </w:tbl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8"/>
      </w:tblGrid>
      <w:tr w:rsidR="0033644F" w:rsidRPr="00EA5D05" w:rsidTr="00E16060">
        <w:tc>
          <w:tcPr>
            <w:tcW w:w="9648" w:type="dxa"/>
            <w:shd w:val="clear" w:color="auto" w:fill="B8CCE4"/>
          </w:tcPr>
          <w:p w:rsidR="0033644F" w:rsidRPr="00EA5D05" w:rsidRDefault="0060696C" w:rsidP="00613078">
            <w:pPr>
              <w:jc w:val="center"/>
              <w:rPr>
                <w:b/>
              </w:rPr>
            </w:pPr>
            <w:r w:rsidRPr="00EA5D05">
              <w:rPr>
                <w:b/>
              </w:rPr>
              <w:t>Politikat akademike dhe rregullat e mirësjelljes:</w:t>
            </w:r>
          </w:p>
        </w:tc>
      </w:tr>
      <w:tr w:rsidR="0033644F" w:rsidRPr="00EA5D05" w:rsidTr="00E16060">
        <w:trPr>
          <w:trHeight w:val="1088"/>
        </w:trPr>
        <w:tc>
          <w:tcPr>
            <w:tcW w:w="9648" w:type="dxa"/>
          </w:tcPr>
          <w:p w:rsidR="0060696C" w:rsidRPr="00EA5D05" w:rsidRDefault="0060696C" w:rsidP="0060696C">
            <w:pPr>
              <w:rPr>
                <w:b/>
                <w:i/>
              </w:rPr>
            </w:pPr>
            <w:r w:rsidRPr="00EA5D05">
              <w:rPr>
                <w:b/>
                <w:i/>
              </w:rPr>
              <w:t>Cakto politikat e mirësjelljes konfor statusit të UP-së.</w:t>
            </w:r>
          </w:p>
          <w:p w:rsidR="0033644F" w:rsidRDefault="0060696C" w:rsidP="0060696C">
            <w:r w:rsidRPr="00EA5D05">
              <w:t xml:space="preserve">Mbajtja e plan programit të </w:t>
            </w:r>
            <w:r w:rsidR="0077470F" w:rsidRPr="00EA5D05">
              <w:t>prezantuar</w:t>
            </w:r>
            <w:r w:rsidRPr="00EA5D05">
              <w:t xml:space="preserve"> në sylabus, </w:t>
            </w:r>
            <w:r w:rsidR="0077470F" w:rsidRPr="00EA5D05">
              <w:t>prezantimi</w:t>
            </w:r>
            <w:r w:rsidRPr="00EA5D05">
              <w:t xml:space="preserve"> i informacioneve shtesë, trajtimi i </w:t>
            </w:r>
            <w:r w:rsidR="0077470F" w:rsidRPr="00EA5D05">
              <w:t>tematikave</w:t>
            </w:r>
            <w:r w:rsidRPr="00EA5D05">
              <w:t xml:space="preserve"> aktuale dhe emergjente.</w:t>
            </w:r>
          </w:p>
          <w:p w:rsidR="009A0F8E" w:rsidRPr="009A0F8E" w:rsidRDefault="009A0F8E" w:rsidP="0060696C">
            <w:pPr>
              <w:rPr>
                <w:b/>
                <w:color w:val="212121"/>
                <w:shd w:val="clear" w:color="auto" w:fill="FFFFFF"/>
              </w:rPr>
            </w:pPr>
            <w:r>
              <w:br/>
            </w:r>
            <w:r w:rsidRPr="009A0F8E">
              <w:rPr>
                <w:b/>
                <w:color w:val="212121"/>
                <w:shd w:val="clear" w:color="auto" w:fill="FFFFFF"/>
              </w:rPr>
              <w:t xml:space="preserve">- Pjesëmarrje e rregullt në leksione dhe ushtrime; </w:t>
            </w:r>
          </w:p>
          <w:p w:rsidR="009A0F8E" w:rsidRPr="009A0F8E" w:rsidRDefault="009A0F8E" w:rsidP="0060696C">
            <w:pPr>
              <w:rPr>
                <w:b/>
                <w:color w:val="212121"/>
                <w:shd w:val="clear" w:color="auto" w:fill="FFFFFF"/>
              </w:rPr>
            </w:pPr>
            <w:r w:rsidRPr="009A0F8E">
              <w:rPr>
                <w:b/>
                <w:color w:val="212121"/>
                <w:shd w:val="clear" w:color="auto" w:fill="FFFFFF"/>
              </w:rPr>
              <w:t xml:space="preserve">- Rregullat e sjellshmërisë si: qetësi dhe dëgjim gjatë ligjëratave; </w:t>
            </w:r>
          </w:p>
          <w:p w:rsidR="009A0F8E" w:rsidRPr="009A0F8E" w:rsidRDefault="009A0F8E" w:rsidP="0060696C">
            <w:pPr>
              <w:rPr>
                <w:b/>
                <w:color w:val="212121"/>
                <w:shd w:val="clear" w:color="auto" w:fill="FFFFFF"/>
              </w:rPr>
            </w:pPr>
            <w:r w:rsidRPr="009A0F8E">
              <w:rPr>
                <w:b/>
                <w:color w:val="212121"/>
                <w:shd w:val="clear" w:color="auto" w:fill="FFFFFF"/>
              </w:rPr>
              <w:t xml:space="preserve">- Prezenca në klasë në kohë; </w:t>
            </w:r>
          </w:p>
          <w:p w:rsidR="009A0F8E" w:rsidRPr="00EA5D05" w:rsidRDefault="009A0F8E" w:rsidP="0060696C">
            <w:pPr>
              <w:rPr>
                <w:b/>
                <w:i/>
              </w:rPr>
            </w:pPr>
            <w:r w:rsidRPr="009A0F8E">
              <w:rPr>
                <w:b/>
                <w:color w:val="212121"/>
                <w:shd w:val="clear" w:color="auto" w:fill="FFFFFF"/>
              </w:rPr>
              <w:t>- Mbyllja telefonit celular;</w:t>
            </w:r>
          </w:p>
        </w:tc>
      </w:tr>
    </w:tbl>
    <w:p w:rsidR="0033644F" w:rsidRPr="00EA5D05" w:rsidRDefault="0033644F" w:rsidP="0033644F">
      <w:pPr>
        <w:rPr>
          <w:b/>
        </w:rPr>
      </w:pPr>
    </w:p>
    <w:p w:rsidR="00B815D1" w:rsidRPr="00EA5D05" w:rsidRDefault="00B815D1">
      <w:pPr>
        <w:rPr>
          <w:b/>
        </w:rPr>
      </w:pPr>
    </w:p>
    <w:sectPr w:rsidR="00B815D1" w:rsidRPr="00EA5D05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7C8" w:rsidRDefault="007267C8">
      <w:r>
        <w:separator/>
      </w:r>
    </w:p>
  </w:endnote>
  <w:endnote w:type="continuationSeparator" w:id="0">
    <w:p w:rsidR="007267C8" w:rsidRDefault="0072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3471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7C8" w:rsidRDefault="007267C8">
      <w:r>
        <w:separator/>
      </w:r>
    </w:p>
  </w:footnote>
  <w:footnote w:type="continuationSeparator" w:id="0">
    <w:p w:rsidR="007267C8" w:rsidRDefault="0072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5BC2"/>
    <w:multiLevelType w:val="hybridMultilevel"/>
    <w:tmpl w:val="9142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C31D85"/>
    <w:multiLevelType w:val="hybridMultilevel"/>
    <w:tmpl w:val="CE4019AA"/>
    <w:lvl w:ilvl="0" w:tplc="BD1453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735F0"/>
    <w:multiLevelType w:val="hybridMultilevel"/>
    <w:tmpl w:val="843EE25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233BD9"/>
    <w:multiLevelType w:val="hybridMultilevel"/>
    <w:tmpl w:val="61209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220C7"/>
    <w:rsid w:val="00031020"/>
    <w:rsid w:val="00032ADC"/>
    <w:rsid w:val="000374AE"/>
    <w:rsid w:val="00037B1E"/>
    <w:rsid w:val="00043592"/>
    <w:rsid w:val="00060E9F"/>
    <w:rsid w:val="00067538"/>
    <w:rsid w:val="00070A5C"/>
    <w:rsid w:val="00083F44"/>
    <w:rsid w:val="00085911"/>
    <w:rsid w:val="000A0D78"/>
    <w:rsid w:val="000A10DA"/>
    <w:rsid w:val="000E52BF"/>
    <w:rsid w:val="000F54CA"/>
    <w:rsid w:val="00102557"/>
    <w:rsid w:val="00104D68"/>
    <w:rsid w:val="00105C2D"/>
    <w:rsid w:val="00132604"/>
    <w:rsid w:val="00161202"/>
    <w:rsid w:val="0017081D"/>
    <w:rsid w:val="00183923"/>
    <w:rsid w:val="0019192B"/>
    <w:rsid w:val="001A75AE"/>
    <w:rsid w:val="001B33EC"/>
    <w:rsid w:val="001C6E17"/>
    <w:rsid w:val="001D4CE0"/>
    <w:rsid w:val="001E5933"/>
    <w:rsid w:val="001F2631"/>
    <w:rsid w:val="0021580C"/>
    <w:rsid w:val="002177ED"/>
    <w:rsid w:val="0022715C"/>
    <w:rsid w:val="00230BE8"/>
    <w:rsid w:val="0023116A"/>
    <w:rsid w:val="002466FE"/>
    <w:rsid w:val="00246C2F"/>
    <w:rsid w:val="00253629"/>
    <w:rsid w:val="002610A3"/>
    <w:rsid w:val="0027209C"/>
    <w:rsid w:val="002828A4"/>
    <w:rsid w:val="00287BA2"/>
    <w:rsid w:val="00296520"/>
    <w:rsid w:val="002C00FA"/>
    <w:rsid w:val="002C0A14"/>
    <w:rsid w:val="002C1AF0"/>
    <w:rsid w:val="002D255F"/>
    <w:rsid w:val="002D3069"/>
    <w:rsid w:val="002E285D"/>
    <w:rsid w:val="002E798C"/>
    <w:rsid w:val="00300D1E"/>
    <w:rsid w:val="0030354C"/>
    <w:rsid w:val="003214AD"/>
    <w:rsid w:val="003353A6"/>
    <w:rsid w:val="0033644F"/>
    <w:rsid w:val="003737E7"/>
    <w:rsid w:val="00374E6D"/>
    <w:rsid w:val="00381B41"/>
    <w:rsid w:val="003849A0"/>
    <w:rsid w:val="003A7956"/>
    <w:rsid w:val="003B625C"/>
    <w:rsid w:val="003E3193"/>
    <w:rsid w:val="00401BAD"/>
    <w:rsid w:val="00406F6B"/>
    <w:rsid w:val="00412D19"/>
    <w:rsid w:val="004133EF"/>
    <w:rsid w:val="00457D4C"/>
    <w:rsid w:val="00480A28"/>
    <w:rsid w:val="004838F9"/>
    <w:rsid w:val="004C0CCA"/>
    <w:rsid w:val="004D0D2F"/>
    <w:rsid w:val="004E636A"/>
    <w:rsid w:val="004F0C6E"/>
    <w:rsid w:val="00507F0E"/>
    <w:rsid w:val="00521487"/>
    <w:rsid w:val="00532E79"/>
    <w:rsid w:val="0053773F"/>
    <w:rsid w:val="00541E75"/>
    <w:rsid w:val="00547801"/>
    <w:rsid w:val="005740B5"/>
    <w:rsid w:val="00577064"/>
    <w:rsid w:val="00577475"/>
    <w:rsid w:val="00594A56"/>
    <w:rsid w:val="005B4E3E"/>
    <w:rsid w:val="005C42EF"/>
    <w:rsid w:val="005E1490"/>
    <w:rsid w:val="005F3471"/>
    <w:rsid w:val="005F428C"/>
    <w:rsid w:val="00603DD2"/>
    <w:rsid w:val="0060696C"/>
    <w:rsid w:val="00613078"/>
    <w:rsid w:val="0063380E"/>
    <w:rsid w:val="0064493B"/>
    <w:rsid w:val="00662306"/>
    <w:rsid w:val="00673FCA"/>
    <w:rsid w:val="00682C99"/>
    <w:rsid w:val="006A0D19"/>
    <w:rsid w:val="006A38C4"/>
    <w:rsid w:val="006D7FB4"/>
    <w:rsid w:val="006E1A7E"/>
    <w:rsid w:val="006F116D"/>
    <w:rsid w:val="007038CC"/>
    <w:rsid w:val="007146AF"/>
    <w:rsid w:val="007267C8"/>
    <w:rsid w:val="00735605"/>
    <w:rsid w:val="00737025"/>
    <w:rsid w:val="00746D8D"/>
    <w:rsid w:val="0077470F"/>
    <w:rsid w:val="00777D28"/>
    <w:rsid w:val="00781805"/>
    <w:rsid w:val="007B1510"/>
    <w:rsid w:val="007B4007"/>
    <w:rsid w:val="007B68A2"/>
    <w:rsid w:val="007C3132"/>
    <w:rsid w:val="007D4758"/>
    <w:rsid w:val="007E2B5E"/>
    <w:rsid w:val="007E6202"/>
    <w:rsid w:val="007F46C5"/>
    <w:rsid w:val="0082266D"/>
    <w:rsid w:val="00825E6F"/>
    <w:rsid w:val="00834007"/>
    <w:rsid w:val="008814A6"/>
    <w:rsid w:val="00883474"/>
    <w:rsid w:val="008A439B"/>
    <w:rsid w:val="008A716D"/>
    <w:rsid w:val="008A71D6"/>
    <w:rsid w:val="008D0608"/>
    <w:rsid w:val="008F3F97"/>
    <w:rsid w:val="00903474"/>
    <w:rsid w:val="00921EB8"/>
    <w:rsid w:val="00951132"/>
    <w:rsid w:val="009533DB"/>
    <w:rsid w:val="00961FE2"/>
    <w:rsid w:val="009A0F8E"/>
    <w:rsid w:val="009B3CA5"/>
    <w:rsid w:val="009B3F0A"/>
    <w:rsid w:val="009C045A"/>
    <w:rsid w:val="009C0B4C"/>
    <w:rsid w:val="009E2AF8"/>
    <w:rsid w:val="00A050D4"/>
    <w:rsid w:val="00A216EA"/>
    <w:rsid w:val="00A22EA2"/>
    <w:rsid w:val="00A26438"/>
    <w:rsid w:val="00A4325B"/>
    <w:rsid w:val="00A545BA"/>
    <w:rsid w:val="00A662A0"/>
    <w:rsid w:val="00A6691C"/>
    <w:rsid w:val="00A71A22"/>
    <w:rsid w:val="00A85485"/>
    <w:rsid w:val="00AA2C57"/>
    <w:rsid w:val="00AA3C2B"/>
    <w:rsid w:val="00AC08ED"/>
    <w:rsid w:val="00AE5A38"/>
    <w:rsid w:val="00AF2A15"/>
    <w:rsid w:val="00B12D09"/>
    <w:rsid w:val="00B33CA9"/>
    <w:rsid w:val="00B35215"/>
    <w:rsid w:val="00B815D1"/>
    <w:rsid w:val="00B8341D"/>
    <w:rsid w:val="00BA2F7B"/>
    <w:rsid w:val="00BA6E9C"/>
    <w:rsid w:val="00BB1A1A"/>
    <w:rsid w:val="00BD63AC"/>
    <w:rsid w:val="00BE054A"/>
    <w:rsid w:val="00BE2F4E"/>
    <w:rsid w:val="00BE506B"/>
    <w:rsid w:val="00BE661B"/>
    <w:rsid w:val="00BF0138"/>
    <w:rsid w:val="00C05BF6"/>
    <w:rsid w:val="00C1091A"/>
    <w:rsid w:val="00C22511"/>
    <w:rsid w:val="00C27C49"/>
    <w:rsid w:val="00C35FA0"/>
    <w:rsid w:val="00C5027F"/>
    <w:rsid w:val="00C6155B"/>
    <w:rsid w:val="00C64E1D"/>
    <w:rsid w:val="00C65207"/>
    <w:rsid w:val="00C74F27"/>
    <w:rsid w:val="00C84368"/>
    <w:rsid w:val="00C8536F"/>
    <w:rsid w:val="00C872B1"/>
    <w:rsid w:val="00CA0690"/>
    <w:rsid w:val="00CB2D15"/>
    <w:rsid w:val="00CE2847"/>
    <w:rsid w:val="00CE6DE6"/>
    <w:rsid w:val="00CF116F"/>
    <w:rsid w:val="00D10BC6"/>
    <w:rsid w:val="00D15288"/>
    <w:rsid w:val="00D1532F"/>
    <w:rsid w:val="00D2322A"/>
    <w:rsid w:val="00D63786"/>
    <w:rsid w:val="00D67209"/>
    <w:rsid w:val="00DA5667"/>
    <w:rsid w:val="00DA6023"/>
    <w:rsid w:val="00DB2823"/>
    <w:rsid w:val="00DC6A5C"/>
    <w:rsid w:val="00DD5A15"/>
    <w:rsid w:val="00DF6543"/>
    <w:rsid w:val="00E04191"/>
    <w:rsid w:val="00E1146E"/>
    <w:rsid w:val="00E16060"/>
    <w:rsid w:val="00E6346A"/>
    <w:rsid w:val="00E63D56"/>
    <w:rsid w:val="00E64FDE"/>
    <w:rsid w:val="00E82002"/>
    <w:rsid w:val="00EA5D05"/>
    <w:rsid w:val="00EB4A13"/>
    <w:rsid w:val="00EE3DC9"/>
    <w:rsid w:val="00EE4B7C"/>
    <w:rsid w:val="00EF4883"/>
    <w:rsid w:val="00EF57F9"/>
    <w:rsid w:val="00EF742E"/>
    <w:rsid w:val="00F04222"/>
    <w:rsid w:val="00F12311"/>
    <w:rsid w:val="00F21218"/>
    <w:rsid w:val="00F248AF"/>
    <w:rsid w:val="00F27256"/>
    <w:rsid w:val="00F27749"/>
    <w:rsid w:val="00F34158"/>
    <w:rsid w:val="00F36F21"/>
    <w:rsid w:val="00F41E51"/>
    <w:rsid w:val="00F43618"/>
    <w:rsid w:val="00F4588A"/>
    <w:rsid w:val="00F47480"/>
    <w:rsid w:val="00F5660C"/>
    <w:rsid w:val="00F575DC"/>
    <w:rsid w:val="00F66005"/>
    <w:rsid w:val="00F8757C"/>
    <w:rsid w:val="00FA75D1"/>
    <w:rsid w:val="00FB050B"/>
    <w:rsid w:val="00FB1372"/>
    <w:rsid w:val="00FC4393"/>
    <w:rsid w:val="00FD07B1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q-AL" w:eastAsia="en-US"/>
    </w:rPr>
  </w:style>
  <w:style w:type="paragraph" w:styleId="Heading1">
    <w:name w:val="heading 1"/>
    <w:basedOn w:val="Normal"/>
    <w:next w:val="Normal"/>
    <w:link w:val="Heading1Char"/>
    <w:qFormat/>
    <w:rsid w:val="00C27C49"/>
    <w:pPr>
      <w:keepNext/>
      <w:outlineLvl w:val="0"/>
    </w:pPr>
    <w:rPr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27C49"/>
    <w:rPr>
      <w:sz w:val="24"/>
      <w:lang w:val="hu-HU" w:eastAsia="hu-HU"/>
    </w:rPr>
  </w:style>
  <w:style w:type="paragraph" w:customStyle="1" w:styleId="titolo">
    <w:name w:val="titolo"/>
    <w:basedOn w:val="Normal"/>
    <w:rsid w:val="00662306"/>
    <w:pPr>
      <w:spacing w:before="100" w:beforeAutospacing="1" w:after="100" w:afterAutospacing="1"/>
    </w:pPr>
    <w:rPr>
      <w:color w:val="000000"/>
      <w:lang w:val="it-IT" w:eastAsia="it-IT"/>
    </w:rPr>
  </w:style>
  <w:style w:type="paragraph" w:styleId="BodyText2">
    <w:name w:val="Body Text 2"/>
    <w:basedOn w:val="Normal"/>
    <w:link w:val="BodyText2Char"/>
    <w:rsid w:val="00662306"/>
    <w:pPr>
      <w:jc w:val="both"/>
    </w:pPr>
    <w:rPr>
      <w:szCs w:val="20"/>
      <w:lang w:eastAsia="it-IT"/>
    </w:rPr>
  </w:style>
  <w:style w:type="character" w:customStyle="1" w:styleId="BodyText2Char">
    <w:name w:val="Body Text 2 Char"/>
    <w:basedOn w:val="DefaultParagraphFont"/>
    <w:link w:val="BodyText2"/>
    <w:rsid w:val="00662306"/>
    <w:rPr>
      <w:sz w:val="24"/>
      <w:lang w:eastAsia="it-IT"/>
    </w:rPr>
  </w:style>
  <w:style w:type="paragraph" w:styleId="BodyTextIndent2">
    <w:name w:val="Body Text Indent 2"/>
    <w:basedOn w:val="Normal"/>
    <w:link w:val="BodyTextIndent2Char"/>
    <w:rsid w:val="002828A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828A4"/>
    <w:rPr>
      <w:sz w:val="24"/>
      <w:szCs w:val="24"/>
    </w:rPr>
  </w:style>
  <w:style w:type="paragraph" w:styleId="BodyText">
    <w:name w:val="Body Text"/>
    <w:basedOn w:val="Normal"/>
    <w:link w:val="BodyTextChar"/>
    <w:rsid w:val="003364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3644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133EF"/>
    <w:rPr>
      <w:b/>
      <w:bCs/>
    </w:rPr>
  </w:style>
  <w:style w:type="character" w:styleId="Hyperlink">
    <w:name w:val="Hyperlink"/>
    <w:basedOn w:val="DefaultParagraphFont"/>
    <w:uiPriority w:val="99"/>
    <w:unhideWhenUsed/>
    <w:rsid w:val="00FC4393"/>
    <w:rPr>
      <w:color w:val="0000FF"/>
      <w:u w:val="single"/>
    </w:rPr>
  </w:style>
  <w:style w:type="paragraph" w:customStyle="1" w:styleId="Default">
    <w:name w:val="Default"/>
    <w:rsid w:val="00825E6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478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73F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82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ntor.alishani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B7FF-F838-45FB-8901-15C25717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Mentor Alishani</cp:lastModifiedBy>
  <cp:revision>18</cp:revision>
  <cp:lastPrinted>2011-03-07T08:39:00Z</cp:lastPrinted>
  <dcterms:created xsi:type="dcterms:W3CDTF">2014-09-24T15:11:00Z</dcterms:created>
  <dcterms:modified xsi:type="dcterms:W3CDTF">2020-11-17T13:35:00Z</dcterms:modified>
</cp:coreProperties>
</file>