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9"/>
        <w:gridCol w:w="1423"/>
        <w:gridCol w:w="2039"/>
        <w:gridCol w:w="2205"/>
      </w:tblGrid>
      <w:tr w:rsidR="00CF116F" w:rsidRPr="00777D28" w:rsidTr="00CD6E12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667" w:type="dxa"/>
            <w:gridSpan w:val="3"/>
          </w:tcPr>
          <w:p w:rsidR="00CF116F" w:rsidRPr="006771EF" w:rsidRDefault="00000A0B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6771EF">
              <w:rPr>
                <w:rFonts w:asciiTheme="minorHAnsi" w:hAnsiTheme="minorHAnsi" w:cstheme="minorHAnsi"/>
                <w:b/>
                <w:szCs w:val="28"/>
              </w:rPr>
              <w:t>Fakulteti Juridik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667" w:type="dxa"/>
            <w:gridSpan w:val="3"/>
          </w:tcPr>
          <w:p w:rsidR="00CF116F" w:rsidRPr="006771EF" w:rsidRDefault="008C574E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6771EF">
              <w:rPr>
                <w:rFonts w:asciiTheme="minorHAnsi" w:hAnsiTheme="minorHAnsi" w:cstheme="minorHAnsi"/>
                <w:b/>
                <w:szCs w:val="28"/>
              </w:rPr>
              <w:t>Analiza ekonomike e së drejtës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667" w:type="dxa"/>
            <w:gridSpan w:val="3"/>
          </w:tcPr>
          <w:p w:rsidR="00CF116F" w:rsidRPr="006771EF" w:rsidRDefault="00000A0B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6771EF">
              <w:rPr>
                <w:rFonts w:asciiTheme="minorHAnsi" w:hAnsiTheme="minorHAnsi" w:cstheme="minorHAnsi"/>
                <w:b/>
                <w:szCs w:val="28"/>
              </w:rPr>
              <w:t>Bachelor</w:t>
            </w:r>
          </w:p>
        </w:tc>
      </w:tr>
      <w:tr w:rsidR="00781805" w:rsidRPr="00777D28" w:rsidTr="0046277F">
        <w:tc>
          <w:tcPr>
            <w:tcW w:w="3189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667" w:type="dxa"/>
            <w:gridSpan w:val="3"/>
          </w:tcPr>
          <w:p w:rsidR="00781805" w:rsidRPr="006771EF" w:rsidRDefault="008C574E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6771EF">
              <w:rPr>
                <w:rFonts w:asciiTheme="minorHAnsi" w:hAnsiTheme="minorHAnsi" w:cstheme="minorHAnsi"/>
                <w:b/>
                <w:szCs w:val="28"/>
              </w:rPr>
              <w:t>Zgjedhore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667" w:type="dxa"/>
            <w:gridSpan w:val="3"/>
          </w:tcPr>
          <w:p w:rsidR="00CF116F" w:rsidRPr="006771EF" w:rsidRDefault="00000A0B" w:rsidP="008C574E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6771EF">
              <w:rPr>
                <w:rFonts w:asciiTheme="minorHAnsi" w:hAnsiTheme="minorHAnsi" w:cstheme="minorHAnsi"/>
                <w:b/>
                <w:szCs w:val="28"/>
              </w:rPr>
              <w:t>Viti I</w:t>
            </w:r>
            <w:r w:rsidR="008C574E" w:rsidRPr="006771EF">
              <w:rPr>
                <w:rFonts w:asciiTheme="minorHAnsi" w:hAnsiTheme="minorHAnsi" w:cstheme="minorHAnsi"/>
                <w:b/>
                <w:szCs w:val="28"/>
              </w:rPr>
              <w:t>V</w:t>
            </w:r>
            <w:r w:rsidRPr="006771EF">
              <w:rPr>
                <w:rFonts w:asciiTheme="minorHAnsi" w:hAnsiTheme="minorHAnsi" w:cstheme="minorHAnsi"/>
                <w:b/>
                <w:szCs w:val="28"/>
              </w:rPr>
              <w:t xml:space="preserve">, Semestri </w:t>
            </w:r>
            <w:r w:rsidR="00C95CE3" w:rsidRPr="006771EF">
              <w:rPr>
                <w:rFonts w:asciiTheme="minorHAnsi" w:hAnsiTheme="minorHAnsi" w:cstheme="minorHAnsi"/>
                <w:b/>
                <w:szCs w:val="28"/>
              </w:rPr>
              <w:t>I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667" w:type="dxa"/>
            <w:gridSpan w:val="3"/>
          </w:tcPr>
          <w:p w:rsidR="00CF116F" w:rsidRPr="006771EF" w:rsidRDefault="00000A0B" w:rsidP="0050619D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6771EF">
              <w:rPr>
                <w:rFonts w:asciiTheme="minorHAnsi" w:hAnsiTheme="minorHAnsi" w:cstheme="minorHAnsi"/>
                <w:b/>
                <w:szCs w:val="28"/>
              </w:rPr>
              <w:t>2+</w:t>
            </w:r>
            <w:r w:rsidR="00C95CE3" w:rsidRPr="006771EF">
              <w:rPr>
                <w:rFonts w:asciiTheme="minorHAnsi" w:hAnsiTheme="minorHAnsi" w:cstheme="minorHAnsi"/>
                <w:b/>
                <w:szCs w:val="28"/>
              </w:rPr>
              <w:t>0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667" w:type="dxa"/>
            <w:gridSpan w:val="3"/>
          </w:tcPr>
          <w:p w:rsidR="00CF116F" w:rsidRPr="006771EF" w:rsidRDefault="00C95CE3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6771EF">
              <w:rPr>
                <w:rFonts w:asciiTheme="minorHAnsi" w:hAnsiTheme="minorHAnsi" w:cstheme="minorHAnsi"/>
                <w:b/>
                <w:szCs w:val="28"/>
              </w:rPr>
              <w:t>4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667" w:type="dxa"/>
            <w:gridSpan w:val="3"/>
          </w:tcPr>
          <w:p w:rsidR="00CF116F" w:rsidRPr="006771EF" w:rsidRDefault="008C574E" w:rsidP="0059358E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6771EF">
              <w:rPr>
                <w:rFonts w:asciiTheme="minorHAnsi" w:hAnsiTheme="minorHAnsi" w:cstheme="minorHAnsi"/>
                <w:b/>
                <w:szCs w:val="28"/>
              </w:rPr>
              <w:t xml:space="preserve">Salla </w:t>
            </w:r>
            <w:r w:rsidR="0059358E">
              <w:rPr>
                <w:rFonts w:asciiTheme="minorHAnsi" w:hAnsiTheme="minorHAnsi" w:cstheme="minorHAnsi"/>
                <w:b/>
                <w:szCs w:val="28"/>
              </w:rPr>
              <w:t>D</w:t>
            </w:r>
            <w:r w:rsidRPr="006771EF">
              <w:rPr>
                <w:rFonts w:asciiTheme="minorHAnsi" w:hAnsiTheme="minorHAnsi" w:cstheme="minorHAnsi"/>
                <w:b/>
                <w:szCs w:val="28"/>
              </w:rPr>
              <w:t>3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667" w:type="dxa"/>
            <w:gridSpan w:val="3"/>
          </w:tcPr>
          <w:p w:rsidR="00D65271" w:rsidRPr="006771EF" w:rsidRDefault="001F3922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6771EF">
              <w:rPr>
                <w:rFonts w:asciiTheme="minorHAnsi" w:hAnsiTheme="minorHAnsi" w:cstheme="minorHAnsi"/>
                <w:b/>
                <w:szCs w:val="28"/>
              </w:rPr>
              <w:t>Prof.Dr. Mejdi Bektashi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667" w:type="dxa"/>
            <w:gridSpan w:val="3"/>
          </w:tcPr>
          <w:p w:rsidR="00D65271" w:rsidRPr="006771EF" w:rsidRDefault="00152F18" w:rsidP="00FB050B">
            <w:pPr>
              <w:pStyle w:val="NoSpacing"/>
              <w:rPr>
                <w:rFonts w:asciiTheme="minorHAnsi" w:hAnsiTheme="minorHAnsi" w:cstheme="minorHAnsi"/>
                <w:szCs w:val="28"/>
              </w:rPr>
            </w:pPr>
            <w:hyperlink r:id="rId7" w:history="1">
              <w:r w:rsidR="001F3922" w:rsidRPr="006771EF">
                <w:rPr>
                  <w:rStyle w:val="Hyperlink"/>
                  <w:rFonts w:asciiTheme="minorHAnsi" w:hAnsiTheme="minorHAnsi" w:cstheme="minorHAnsi"/>
                  <w:szCs w:val="28"/>
                </w:rPr>
                <w:t>mejdi.bektashi@uni-pr.edu</w:t>
              </w:r>
            </w:hyperlink>
            <w:r w:rsidR="001F3922" w:rsidRPr="006771EF">
              <w:rPr>
                <w:rFonts w:asciiTheme="minorHAnsi" w:hAnsiTheme="minorHAnsi" w:cstheme="minorHAnsi"/>
                <w:szCs w:val="28"/>
              </w:rPr>
              <w:t xml:space="preserve"> </w:t>
            </w: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667" w:type="dxa"/>
            <w:gridSpan w:val="3"/>
          </w:tcPr>
          <w:p w:rsidR="00311AA8" w:rsidRPr="00311AA8" w:rsidRDefault="00311AA8" w:rsidP="00311A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>Studimi i lëndës “Analiza ekonomike e së drejtës” është një hyrje e përgjithshme mbi njohuritë dhe metodat e shtjellimit të shkencës ekonomike. Të kuptohet se e drejta ka ndikim të veçantë dhe të fuqishëm, por nga ana tjetër dhe parashikues në karakterin e jetës dhe aktiviteteve ekonomike dhe se nga ana tjetër se e drejta zhvillohet dhe modifikohet si përgjegjje ndaj ndryshimeve të pandërprera ekonomike.</w:t>
            </w:r>
          </w:p>
          <w:p w:rsidR="007C3132" w:rsidRPr="00D67209" w:rsidRDefault="00311AA8" w:rsidP="00311A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Ky kurs do të fokusohet në zbatimin e ekonomisë në fushën e të drejtave pronësore, konkurrencës, korporatave, falimentimit dhe të drejtës së kontratave, dëmit etj. </w:t>
            </w:r>
            <w:proofErr w:type="gramStart"/>
            <w:r w:rsidRPr="00311AA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gramEnd"/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 po ashtu, do të eksplorojë se si ekonomia mund të përdoret për të kuptuar funksionimin e vetë sistemit juridik. Studentët do të marrin një përmbledhje të të gjithë analizës ekonomike të së drejtës, njohuri të vlefshme ekonomike përgjithësisht të teorisë dhe praktikës.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667" w:type="dxa"/>
            <w:gridSpan w:val="3"/>
          </w:tcPr>
          <w:p w:rsidR="00311AA8" w:rsidRPr="00311AA8" w:rsidRDefault="00311AA8" w:rsidP="00311A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>Qëllimi i studimit të kësaj disipline ekonomiko-juridike, dhe shumë aktuale është që studenëtve t’iu ofrojë njohuri thelbësore e të mjaftueshme por njëkohësisht dhe aktuale lidhur me proceset më aktuale në fushën e ndërlidhjës së drejtësisë dhe ekonomisë.</w:t>
            </w:r>
          </w:p>
          <w:p w:rsidR="00311AA8" w:rsidRPr="00311AA8" w:rsidRDefault="00311AA8" w:rsidP="00311A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Qëllimi i mësimit të lëndës analiza ekonomike e së drejtës është që të ju mundësoj studentëve që të kuptojnë ndërlidhjen sistematike në mes drejtësisë dhe ekonomisë, të kuptojnë aplikimin e teorisë ekonomike në tërësinë e sistemit juridik, mënyrën e veprimit të ligjeve dhe vendimeve gjygjësore si dhe mënyrën dhe metodat e alokimit të resurseve, rregullimin ekonomik, aplikimin e teorisë ekonomike në vendimarrjen politike dhe në vendimet për zgjedhjën e rregullativës ligjore dhe politikës ligjore. </w:t>
            </w:r>
          </w:p>
          <w:p w:rsidR="007C3132" w:rsidRPr="00D67209" w:rsidRDefault="00311AA8" w:rsidP="00311A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Ekonomia është një mjet jashtëzakonisht i fuqishëm për të analizuar një gamë të gjerë të çështjeve juridike, rregullave dhe institucioneve. Analiza ekonomike e së drejtës është një 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lastRenderedPageBreak/>
              <w:t>lëndë interdisiplinore që ndërthur në vete dy fusha kryesore të studimit (drejtësia dhe ekonomia) dhe po ashtu, siguron një kuptim më të mirë të të dyjave. Ekonomia i ndihmon studentët që të perceptojnë ligjin në një mënyrë të re, më inovative, por dhe më të dobishme.</w:t>
            </w:r>
          </w:p>
        </w:tc>
      </w:tr>
      <w:tr w:rsidR="00CF116F" w:rsidRPr="00777D28" w:rsidTr="0046277F">
        <w:tc>
          <w:tcPr>
            <w:tcW w:w="3189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>Rezultatet e pritura të nxënies:</w:t>
            </w:r>
          </w:p>
        </w:tc>
        <w:tc>
          <w:tcPr>
            <w:tcW w:w="5667" w:type="dxa"/>
            <w:gridSpan w:val="3"/>
          </w:tcPr>
          <w:p w:rsidR="00311AA8" w:rsidRDefault="00311AA8" w:rsidP="00311A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>Pas përfundimit të këtij kursi studentët do të jenë të aftësuar që</w:t>
            </w:r>
            <w:r>
              <w:rPr>
                <w:rFonts w:ascii="Calibri" w:hAnsi="Calibri"/>
                <w:i/>
                <w:sz w:val="22"/>
                <w:szCs w:val="22"/>
              </w:rPr>
              <w:t>: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311AA8" w:rsidRDefault="00311AA8" w:rsidP="00311AA8">
            <w:pPr>
              <w:pStyle w:val="NoSpacing"/>
              <w:numPr>
                <w:ilvl w:val="0"/>
                <w:numId w:val="9"/>
              </w:numPr>
              <w:ind w:left="491" w:hanging="283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t’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>i kuptojnë dhe shpjegojnë nocionet parësore dhe principet e analizës ekonomike të së drejtës</w:t>
            </w:r>
            <w:r>
              <w:rPr>
                <w:rFonts w:ascii="Calibri" w:hAnsi="Calibri"/>
                <w:i/>
                <w:sz w:val="22"/>
                <w:szCs w:val="22"/>
              </w:rPr>
              <w:t>;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311AA8" w:rsidRDefault="00311AA8" w:rsidP="00311AA8">
            <w:pPr>
              <w:pStyle w:val="NoSpacing"/>
              <w:numPr>
                <w:ilvl w:val="0"/>
                <w:numId w:val="9"/>
              </w:numPr>
              <w:ind w:left="491" w:hanging="283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>në mënyrë kritike ta vështrojnë sistemin juridik, institutet dhe rregullat e veçanta juridike, duke përdorur argumentet dhe logjikën ekonomike</w:t>
            </w:r>
            <w:r>
              <w:rPr>
                <w:rFonts w:ascii="Calibri" w:hAnsi="Calibri"/>
                <w:i/>
                <w:sz w:val="22"/>
                <w:szCs w:val="22"/>
              </w:rPr>
              <w:t>;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311AA8" w:rsidRDefault="00311AA8" w:rsidP="00311AA8">
            <w:pPr>
              <w:pStyle w:val="NoSpacing"/>
              <w:numPr>
                <w:ilvl w:val="0"/>
                <w:numId w:val="9"/>
              </w:numPr>
              <w:ind w:left="491" w:hanging="283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>t</w:t>
            </w:r>
            <w:r>
              <w:rPr>
                <w:rFonts w:ascii="Calibri" w:hAnsi="Calibri"/>
                <w:i/>
                <w:sz w:val="22"/>
                <w:szCs w:val="22"/>
              </w:rPr>
              <w:t>’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>a vështrojnë të drejtën përmes ndërlidhjës me problemin e stimulimit, distribuimit të riskut, vlerësimit të kostove dhe dobive</w:t>
            </w:r>
            <w:r>
              <w:rPr>
                <w:rFonts w:ascii="Calibri" w:hAnsi="Calibri"/>
                <w:i/>
                <w:sz w:val="22"/>
                <w:szCs w:val="22"/>
              </w:rPr>
              <w:t>;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311AA8" w:rsidRDefault="00311AA8" w:rsidP="00311AA8">
            <w:pPr>
              <w:pStyle w:val="NoSpacing"/>
              <w:numPr>
                <w:ilvl w:val="0"/>
                <w:numId w:val="9"/>
              </w:numPr>
              <w:ind w:left="491" w:hanging="283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>të bëjnë dallimin në mes konceptitë të drejtshmërisë dhe efikasitetit</w:t>
            </w:r>
            <w:r>
              <w:rPr>
                <w:rFonts w:ascii="Calibri" w:hAnsi="Calibri"/>
                <w:i/>
                <w:sz w:val="22"/>
                <w:szCs w:val="22"/>
              </w:rPr>
              <w:t>;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7C3132" w:rsidRPr="00D67209" w:rsidRDefault="00311AA8" w:rsidP="00311AA8">
            <w:pPr>
              <w:pStyle w:val="NoSpacing"/>
              <w:numPr>
                <w:ilvl w:val="0"/>
                <w:numId w:val="9"/>
              </w:numPr>
              <w:ind w:left="491" w:hanging="283"/>
              <w:rPr>
                <w:rFonts w:ascii="Calibri" w:hAnsi="Calibri"/>
                <w:i/>
                <w:sz w:val="22"/>
                <w:szCs w:val="22"/>
              </w:rPr>
            </w:pPr>
            <w:proofErr w:type="gramStart"/>
            <w:r w:rsidRPr="00311AA8">
              <w:rPr>
                <w:rFonts w:ascii="Calibri" w:hAnsi="Calibri"/>
                <w:i/>
                <w:sz w:val="22"/>
                <w:szCs w:val="22"/>
              </w:rPr>
              <w:t>t</w:t>
            </w:r>
            <w:r>
              <w:rPr>
                <w:rFonts w:ascii="Calibri" w:hAnsi="Calibri"/>
                <w:i/>
                <w:sz w:val="22"/>
                <w:szCs w:val="22"/>
              </w:rPr>
              <w:t>’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gramEnd"/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 përdorin njohurit e fituara në praktikë, në veçanti ne rrolin e gjykatësit, prokurorit, avokatit, noterit, menaxherit etj.</w:t>
            </w: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6E1B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6E1B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CF105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CF105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CF105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CF105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CF105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CF105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CF105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6E1B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6E1B62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CF1055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95F87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95F87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995F87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46277F">
        <w:tc>
          <w:tcPr>
            <w:tcW w:w="3189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6E1B62" w:rsidP="004F094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100</w:t>
            </w:r>
            <w:r w:rsidR="00224C28">
              <w:rPr>
                <w:rFonts w:ascii="Calibri" w:hAnsi="Calibri" w:cs="Arial"/>
                <w:b/>
                <w:sz w:val="22"/>
                <w:szCs w:val="22"/>
              </w:rPr>
              <w:t xml:space="preserve"> orë</w:t>
            </w: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46277F">
        <w:tc>
          <w:tcPr>
            <w:tcW w:w="3189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667" w:type="dxa"/>
            <w:gridSpan w:val="3"/>
          </w:tcPr>
          <w:p w:rsidR="00D65271" w:rsidRPr="00D67209" w:rsidRDefault="00311AA8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Me 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>anë të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 ligj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ratave, prezentimeve, seminarëve, punës në grupe, testëve dhe formave tjera të mësimdhënies dhe vlerësimit te njohurive gjatë gjithë semestrit, studentët 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 xml:space="preserve">do të 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>aft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>sohen që në të ardhmën, në m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>nyrë të pavarur dhe në cil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sinë e ekspertit profesional t’i sfidojnë 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>situatat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 xml:space="preserve"> që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lastRenderedPageBreak/>
              <w:t>paraqit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>e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>n në fush</w:t>
            </w:r>
            <w:r w:rsidR="00435FEC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311AA8">
              <w:rPr>
                <w:rFonts w:ascii="Calibri" w:hAnsi="Calibri"/>
                <w:i/>
                <w:sz w:val="22"/>
                <w:szCs w:val="22"/>
              </w:rPr>
              <w:t>n e marrjes së vendimeve ekonomike, financiare dhe atyre juridike.</w:t>
            </w:r>
          </w:p>
        </w:tc>
      </w:tr>
      <w:tr w:rsidR="00183923" w:rsidRPr="00777D28" w:rsidTr="0046277F">
        <w:tc>
          <w:tcPr>
            <w:tcW w:w="3189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>Metodat e vlerësimit:</w:t>
            </w:r>
          </w:p>
        </w:tc>
        <w:tc>
          <w:tcPr>
            <w:tcW w:w="5667" w:type="dxa"/>
            <w:gridSpan w:val="3"/>
          </w:tcPr>
          <w:p w:rsidR="004F0947" w:rsidRPr="004F0947" w:rsidRDefault="004F0947" w:rsidP="004F0947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i/>
                <w:sz w:val="20"/>
                <w:szCs w:val="20"/>
              </w:rPr>
            </w:pPr>
            <w:r w:rsidRPr="004F0947">
              <w:rPr>
                <w:rFonts w:ascii="Calibri" w:hAnsi="Calibri"/>
                <w:i/>
                <w:sz w:val="20"/>
                <w:szCs w:val="20"/>
              </w:rPr>
              <w:t>Pjesëmarrja e rregult në ligjërata, dhe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debate:  10%</w:t>
            </w:r>
          </w:p>
          <w:p w:rsidR="004F0947" w:rsidRPr="004F0947" w:rsidRDefault="004F0947" w:rsidP="004F0947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i/>
                <w:sz w:val="20"/>
                <w:szCs w:val="20"/>
              </w:rPr>
            </w:pPr>
            <w:r w:rsidRPr="004F0947">
              <w:rPr>
                <w:rFonts w:ascii="Calibri" w:hAnsi="Calibri"/>
                <w:i/>
                <w:sz w:val="20"/>
                <w:szCs w:val="20"/>
              </w:rPr>
              <w:t>Pjesëmarrja në prezentime</w:t>
            </w:r>
            <w:r>
              <w:rPr>
                <w:rFonts w:ascii="Calibri" w:hAnsi="Calibri"/>
                <w:i/>
                <w:sz w:val="20"/>
                <w:szCs w:val="20"/>
              </w:rPr>
              <w:t>:  10%</w:t>
            </w:r>
          </w:p>
          <w:p w:rsidR="004F0947" w:rsidRPr="004F0947" w:rsidRDefault="004F0947" w:rsidP="004F0947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i/>
                <w:sz w:val="20"/>
                <w:szCs w:val="20"/>
              </w:rPr>
            </w:pPr>
            <w:r w:rsidRPr="004F0947">
              <w:rPr>
                <w:rFonts w:ascii="Calibri" w:hAnsi="Calibri"/>
                <w:i/>
                <w:sz w:val="20"/>
                <w:szCs w:val="20"/>
              </w:rPr>
              <w:t>Punimi sem</w:t>
            </w:r>
            <w:r>
              <w:rPr>
                <w:rFonts w:ascii="Calibri" w:hAnsi="Calibri"/>
                <w:i/>
                <w:sz w:val="20"/>
                <w:szCs w:val="20"/>
              </w:rPr>
              <w:t>inarik me shkrim dhe i mbrojtur:  20%</w:t>
            </w:r>
          </w:p>
          <w:p w:rsidR="004F0947" w:rsidRPr="004F0947" w:rsidRDefault="004F0947" w:rsidP="004F0947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</w:t>
            </w:r>
            <w:r w:rsidRPr="004F0947">
              <w:rPr>
                <w:rFonts w:ascii="Calibri" w:hAnsi="Calibri"/>
                <w:i/>
                <w:sz w:val="20"/>
                <w:szCs w:val="20"/>
              </w:rPr>
              <w:t>rovimi përfundimtarë</w:t>
            </w:r>
            <w:r>
              <w:rPr>
                <w:rFonts w:ascii="Calibri" w:hAnsi="Calibri"/>
                <w:i/>
                <w:sz w:val="20"/>
                <w:szCs w:val="20"/>
              </w:rPr>
              <w:t>:   60%</w:t>
            </w:r>
          </w:p>
          <w:p w:rsidR="00183923" w:rsidRPr="004F0947" w:rsidRDefault="004F0947" w:rsidP="004F0947">
            <w:pPr>
              <w:pStyle w:val="NoSpacing"/>
              <w:numPr>
                <w:ilvl w:val="0"/>
                <w:numId w:val="8"/>
              </w:num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F0947">
              <w:rPr>
                <w:rFonts w:ascii="Calibri" w:hAnsi="Calibri"/>
                <w:b/>
                <w:i/>
                <w:sz w:val="20"/>
                <w:szCs w:val="20"/>
              </w:rPr>
              <w:t>Gjithsejt: 100%</w:t>
            </w:r>
          </w:p>
        </w:tc>
      </w:tr>
      <w:tr w:rsidR="00183923" w:rsidRPr="00777D28" w:rsidTr="00CD6E12">
        <w:tc>
          <w:tcPr>
            <w:tcW w:w="8856" w:type="dxa"/>
            <w:gridSpan w:val="4"/>
            <w:shd w:val="clear" w:color="auto" w:fill="D9D9D9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183923" w:rsidRPr="00777D28" w:rsidTr="0046277F">
        <w:tc>
          <w:tcPr>
            <w:tcW w:w="3189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667" w:type="dxa"/>
            <w:gridSpan w:val="3"/>
          </w:tcPr>
          <w:p w:rsidR="00311AA8" w:rsidRPr="00311AA8" w:rsidRDefault="00311AA8" w:rsidP="00311AA8">
            <w:pPr>
              <w:pStyle w:val="NoSpacing"/>
              <w:numPr>
                <w:ilvl w:val="0"/>
                <w:numId w:val="11"/>
              </w:numPr>
              <w:ind w:left="491" w:hanging="425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>Ligjerata të autorizuara të mësimdhënësit.</w:t>
            </w:r>
          </w:p>
          <w:p w:rsidR="00311AA8" w:rsidRPr="00311AA8" w:rsidRDefault="00311AA8" w:rsidP="00311AA8">
            <w:pPr>
              <w:pStyle w:val="NoSpacing"/>
              <w:numPr>
                <w:ilvl w:val="0"/>
                <w:numId w:val="11"/>
              </w:numPr>
              <w:ind w:left="491" w:hanging="425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>Richard Posner: Economic Analysis of Laë, Little, Brown and Company, London 1992.</w:t>
            </w:r>
          </w:p>
          <w:p w:rsidR="002A462B" w:rsidRPr="00806F78" w:rsidRDefault="00311AA8" w:rsidP="00311AA8">
            <w:pPr>
              <w:pStyle w:val="NoSpacing"/>
              <w:numPr>
                <w:ilvl w:val="0"/>
                <w:numId w:val="11"/>
              </w:numPr>
              <w:ind w:left="491" w:hanging="425"/>
              <w:rPr>
                <w:rFonts w:ascii="Calibri" w:hAnsi="Calibri"/>
                <w:i/>
                <w:sz w:val="22"/>
                <w:szCs w:val="22"/>
              </w:rPr>
            </w:pPr>
            <w:r w:rsidRPr="00311AA8">
              <w:rPr>
                <w:rFonts w:ascii="Calibri" w:hAnsi="Calibri"/>
                <w:i/>
                <w:sz w:val="22"/>
                <w:szCs w:val="22"/>
              </w:rPr>
              <w:t>Steven Shavell: Foundations of Economic Analysis of Law, Harvard University Press, 2009.</w:t>
            </w:r>
          </w:p>
        </w:tc>
      </w:tr>
      <w:tr w:rsidR="00183923" w:rsidRPr="00777D28" w:rsidTr="0046277F">
        <w:tc>
          <w:tcPr>
            <w:tcW w:w="3189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667" w:type="dxa"/>
            <w:gridSpan w:val="3"/>
          </w:tcPr>
          <w:p w:rsidR="007F76CB" w:rsidRPr="007F76CB" w:rsidRDefault="007F76CB" w:rsidP="007F76CB">
            <w:pPr>
              <w:pStyle w:val="NoSpacing"/>
              <w:numPr>
                <w:ilvl w:val="0"/>
                <w:numId w:val="2"/>
              </w:numPr>
              <w:ind w:left="491" w:hanging="425"/>
              <w:rPr>
                <w:rFonts w:ascii="Calibri" w:hAnsi="Calibri"/>
                <w:i/>
                <w:sz w:val="22"/>
                <w:szCs w:val="22"/>
              </w:rPr>
            </w:pPr>
            <w:r w:rsidRPr="007F76CB">
              <w:rPr>
                <w:rFonts w:ascii="Calibri" w:hAnsi="Calibri"/>
                <w:i/>
                <w:sz w:val="22"/>
                <w:szCs w:val="22"/>
              </w:rPr>
              <w:t>Todd G. Buchholz: Ide të gjalla nga ekonomistë të vdekur, ISP &amp;Dita 2000, Tiranë, 2009.</w:t>
            </w:r>
          </w:p>
          <w:p w:rsidR="007F76CB" w:rsidRPr="007F76CB" w:rsidRDefault="007F76CB" w:rsidP="007F76CB">
            <w:pPr>
              <w:pStyle w:val="NoSpacing"/>
              <w:numPr>
                <w:ilvl w:val="0"/>
                <w:numId w:val="2"/>
              </w:numPr>
              <w:ind w:left="491" w:hanging="425"/>
              <w:rPr>
                <w:rFonts w:ascii="Calibri" w:hAnsi="Calibri"/>
                <w:i/>
                <w:sz w:val="22"/>
                <w:szCs w:val="22"/>
              </w:rPr>
            </w:pPr>
            <w:r w:rsidRPr="007F76CB">
              <w:rPr>
                <w:rFonts w:ascii="Calibri" w:hAnsi="Calibri"/>
                <w:i/>
                <w:sz w:val="22"/>
                <w:szCs w:val="22"/>
              </w:rPr>
              <w:t>Bouckaert, B., De Geest, G.: "Encyclopedia of Law and Economics",https://users.ugent.be/~gdegeest/tablebib.htm</w:t>
            </w:r>
            <w:r w:rsidR="0046277F">
              <w:rPr>
                <w:rFonts w:ascii="Calibri" w:hAnsi="Calibri"/>
                <w:i/>
                <w:sz w:val="22"/>
                <w:szCs w:val="22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7F76CB" w:rsidRPr="007F76CB" w:rsidRDefault="007F76CB" w:rsidP="007F76CB">
            <w:pPr>
              <w:pStyle w:val="NoSpacing"/>
              <w:numPr>
                <w:ilvl w:val="0"/>
                <w:numId w:val="2"/>
              </w:numPr>
              <w:ind w:left="491" w:hanging="425"/>
              <w:rPr>
                <w:rFonts w:ascii="Calibri" w:hAnsi="Calibri"/>
                <w:i/>
                <w:sz w:val="22"/>
                <w:szCs w:val="22"/>
              </w:rPr>
            </w:pPr>
            <w:r w:rsidRPr="007F76CB">
              <w:rPr>
                <w:rFonts w:ascii="Calibri" w:hAnsi="Calibri"/>
                <w:i/>
                <w:sz w:val="22"/>
                <w:szCs w:val="22"/>
              </w:rPr>
              <w:t>Van den Bergh, R., Camesasca, P.: "European competition La</w:t>
            </w:r>
            <w:r>
              <w:rPr>
                <w:rFonts w:ascii="Calibri" w:hAnsi="Calibri"/>
                <w:i/>
                <w:sz w:val="22"/>
                <w:szCs w:val="22"/>
              </w:rPr>
              <w:t>w</w:t>
            </w:r>
            <w:r w:rsidRPr="007F76CB">
              <w:rPr>
                <w:rFonts w:ascii="Calibri" w:hAnsi="Calibri"/>
                <w:i/>
                <w:sz w:val="22"/>
                <w:szCs w:val="22"/>
              </w:rPr>
              <w:t xml:space="preserve"> and Economics", 2nd edition, Sweet &amp; Maxwell, 2006.</w:t>
            </w:r>
          </w:p>
          <w:p w:rsidR="009A144B" w:rsidRPr="00806F78" w:rsidRDefault="007F76CB" w:rsidP="007F76CB">
            <w:pPr>
              <w:pStyle w:val="NoSpacing"/>
              <w:numPr>
                <w:ilvl w:val="0"/>
                <w:numId w:val="2"/>
              </w:numPr>
              <w:ind w:left="491" w:hanging="425"/>
              <w:rPr>
                <w:rFonts w:ascii="Calibri" w:hAnsi="Calibri"/>
                <w:i/>
                <w:sz w:val="22"/>
                <w:szCs w:val="22"/>
              </w:rPr>
            </w:pPr>
            <w:r w:rsidRPr="007F76CB">
              <w:rPr>
                <w:rFonts w:ascii="Calibri" w:hAnsi="Calibri"/>
                <w:i/>
                <w:sz w:val="22"/>
                <w:szCs w:val="22"/>
              </w:rPr>
              <w:t>Cooter, R., Ulen, T.: "Law and Economics", 5th edition, Addison-Wesley, 2008.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77D28" w:rsidTr="00035548">
        <w:trPr>
          <w:trHeight w:val="416"/>
        </w:trPr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</w:tc>
      </w:tr>
      <w:tr w:rsidR="00D67209" w:rsidRPr="00777D28" w:rsidTr="00CD6E12">
        <w:tc>
          <w:tcPr>
            <w:tcW w:w="271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Ekonomia dhe drejtësia; Analiza ekonomike e krimit; e drejta e detyrimeve; Ligji antitrust</w:t>
            </w:r>
            <w:r w:rsidRPr="0046277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  <w:t xml:space="preserve">; </w:t>
            </w:r>
            <w:r w:rsidRPr="0046277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en-GB"/>
              </w:rPr>
              <w:t>Metodat dhe nocionet themelore të analizës ekonomike të së drejtës; Vlera, përdorshmëria, dobia, kosto dhe efikasiteti; Ekonomia e sjelljes, irracionaliteti dhe racionaliteti.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 xml:space="preserve">Nocionet fundamentale ekonomike dhe principet e rëndësishme për analizën ekonomike të së drejtës; nocioni i resurseve dhe kufizimi i tyre; Ekonomia është shkencë mbi zgjedhjen racionale; Oferta dhe kërkesa si instrumente të analizës ekonomike; Liria dhe përgjegjësia; </w:t>
            </w:r>
            <w:r w:rsidRPr="004627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drejta si subjekt i analizës ekonomike. </w:t>
            </w: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 xml:space="preserve"> Efikasiteti dhe drejtësia.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>Zbatimi i Analizës ekonomike të së drejtës në praktikë; Ekonomia institucionale; Teorema e Ronald Coase; E drejta e vjetër dhe ekonomiksi; E drejta e re dhe ekonomiksi; Institucionet, e drejta dhe ekonomiksi.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>Kostot (Shpenzimet) transaksionale; Matja e kostove transaksionale</w:t>
            </w:r>
            <w:proofErr w:type="gramStart"/>
            <w:r w:rsidRPr="0046277F">
              <w:rPr>
                <w:rFonts w:asciiTheme="minorHAnsi" w:hAnsiTheme="minorHAnsi" w:cstheme="minorHAnsi"/>
                <w:sz w:val="22"/>
                <w:szCs w:val="22"/>
              </w:rPr>
              <w:t>;  Llojet</w:t>
            </w:r>
            <w:proofErr w:type="gramEnd"/>
            <w:r w:rsidRPr="0046277F">
              <w:rPr>
                <w:rFonts w:asciiTheme="minorHAnsi" w:hAnsiTheme="minorHAnsi" w:cstheme="minorHAnsi"/>
                <w:sz w:val="22"/>
                <w:szCs w:val="22"/>
              </w:rPr>
              <w:t xml:space="preserve"> e kostove transaksionale dhe rëndësia e tyre; Ligjet dhe kostot transansionale. 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>Institucionet dhe Analiza ekonomike e së drejtës; Rëndësia e institucioneve nga këndëvështrimi i AED; Ligjet dhe kostot e transaksionit.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 xml:space="preserve">Rëndësia e pronës nga këndëvështrimi i AED; Prona në të drejtën </w:t>
            </w:r>
            <w:r w:rsidRPr="004627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dhe ekonomiksin; Karakteristikat e pronës private; Bartëshmëria; Kufizimi i pronës private; Pronësia kolektive dhe karakteristikat; Pronësia shoqërore; Pronësia shtetërore; Rëndësia ekonomike e pronës.  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>Pronësia, definimi dhe krijimi i të drejtave pronësore; ndarja e të drejtave pronësore; Fitimi dhe bartja e të drejtave pronësore; Lartësia e kompenzimit të dëmit</w:t>
            </w:r>
            <w:proofErr w:type="gramStart"/>
            <w:r w:rsidRPr="0046277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6277F">
              <w:rPr>
                <w:rFonts w:asciiTheme="minorHAnsi" w:eastAsia="+mj-ea" w:hAnsiTheme="minorHAnsi" w:cstheme="minorHAnsi"/>
                <w:b/>
                <w:bCs/>
                <w:shadow/>
                <w:color w:val="B13F9A"/>
                <w:kern w:val="24"/>
                <w:sz w:val="22"/>
                <w:szCs w:val="22"/>
              </w:rPr>
              <w:t xml:space="preserve"> </w:t>
            </w:r>
            <w:r w:rsidRPr="0046277F">
              <w:rPr>
                <w:rFonts w:asciiTheme="minorHAnsi" w:hAnsiTheme="minorHAnsi" w:cstheme="minorHAnsi"/>
                <w:bCs/>
                <w:sz w:val="22"/>
                <w:szCs w:val="22"/>
              </w:rPr>
              <w:t>Disa</w:t>
            </w:r>
            <w:proofErr w:type="gramEnd"/>
            <w:r w:rsidRPr="004627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probleme të transferimit të të drejtave pronësore: shpronësimi (eksproproimi); </w:t>
            </w:r>
            <w:r w:rsidRPr="0046277F">
              <w:rPr>
                <w:rFonts w:asciiTheme="minorHAnsi" w:eastAsia="+mj-ea" w:hAnsiTheme="minorHAnsi" w:cstheme="minorHAnsi"/>
                <w:b/>
                <w:bCs/>
                <w:shadow/>
                <w:color w:val="B13F9A"/>
                <w:kern w:val="24"/>
                <w:sz w:val="22"/>
                <w:szCs w:val="22"/>
                <w:lang w:val="sq-AL"/>
              </w:rPr>
              <w:t xml:space="preserve"> </w:t>
            </w:r>
            <w:r w:rsidRPr="0046277F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Privatizimi, kostot e transaksionit dhe teorema Coase.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E drejta e kontratave dhe ekonomia; Procesi i këmbimit dhe roli ekonomik i së drejtës kontrataktore; </w:t>
            </w: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 xml:space="preserve">Kontratat, ligjet dhe ndërmarrjet; Këmbimi, kontratat dhe tregu; </w:t>
            </w:r>
            <w:r w:rsidRPr="0046277F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Kostot transaksionale dhe strukturat e tregut; </w:t>
            </w:r>
            <w:r w:rsidRPr="0046277F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Tregu, kontratat jo standarde dhe kompania</w:t>
            </w:r>
            <w:r w:rsidRPr="0046277F">
              <w:rPr>
                <w:rFonts w:asciiTheme="minorHAnsi" w:hAnsiTheme="minorHAnsi" w:cstheme="minorHAnsi"/>
                <w:bCs/>
                <w:sz w:val="22"/>
                <w:szCs w:val="22"/>
              </w:rPr>
              <w:t>; Prona dhe liria ekonomike.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>Ligji i neglizhencës (pakujdesisë), historiku dhe rëndësia; Në cilat raste individët janë neglizhentë dhe si veprohet në shtetet e zhvilluara, Rasti IKEA; Veprimi parandalues i shoqërisë.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 xml:space="preserve">E drejta e kompenzimit; Parandalimi i dëmit; Parandalimi dhe kompenzimi i demit; </w:t>
            </w:r>
            <w:r w:rsidRPr="0046277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en-GB"/>
              </w:rPr>
              <w:t>Përkufizimi i përgjegjësisë; Teoria ekonomike e përgjegjësisë; Llogaritja e kompensimit; Kompensimi për fitimet e humbura; Kompensimi për dhimbjen dhe vuajtjen.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 xml:space="preserve">Analiza ekonomike e ligjit; Kostot dhe dobitë nga rregullimi ligjor; Rëndësia e riskut legjislativ; Pse ka rëndësi pajtueshmëria rregullative; Dimensioni shumëshkallësh&amp;interinstitucional; </w:t>
            </w:r>
            <w:r w:rsidRPr="0046277F">
              <w:rPr>
                <w:rFonts w:asciiTheme="minorHAnsi" w:hAnsiTheme="minorHAnsi" w:cstheme="minorHAnsi"/>
                <w:bCs/>
                <w:sz w:val="22"/>
                <w:szCs w:val="22"/>
              </w:rPr>
              <w:t>Vlerësimi i kostove dhe përfitimeve të masave të propozuara dhe masave ekzistuese.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Hipoteza REM (Rational Economic Man - Homo Economicus); </w:t>
            </w:r>
            <w:r w:rsidRPr="0046277F">
              <w:rPr>
                <w:rFonts w:asciiTheme="minorHAnsi" w:eastAsia="+mj-ea" w:hAnsiTheme="minorHAnsi" w:cstheme="minorHAnsi"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  <w:r w:rsidRPr="0046277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Qasja deskriptive dhe normative analizës ekonomike të së drejtës; Tregu dhe ligji si dhe ndërveprimi në mes tyre. 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>Shkolla e zgjedhjës publike: politika si biznes; Paradoksi i grupeve të veçanta të interesit; Ciklet politike dhe ndikimi i tyre në zbatimin e ligjit dhe ekonominë.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>Zbatimi i ligjit dhe e drejta penale; prevencioni me sankcione monetare; prevencioni me sankcione jomonetare</w:t>
            </w:r>
            <w:proofErr w:type="gramStart"/>
            <w:r w:rsidRPr="0046277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6277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Teoria</w:t>
            </w:r>
            <w:proofErr w:type="gramEnd"/>
            <w:r w:rsidRPr="0046277F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ekonomike e së drejtës së krimeve;  Teoria ekonomike e krimit dhe dënimit; Pse ndëshkimi parandalon krimin.</w:t>
            </w:r>
          </w:p>
        </w:tc>
      </w:tr>
      <w:tr w:rsidR="0046277F" w:rsidRPr="00777D28" w:rsidTr="00D67209">
        <w:tc>
          <w:tcPr>
            <w:tcW w:w="2718" w:type="dxa"/>
          </w:tcPr>
          <w:p w:rsidR="0046277F" w:rsidRPr="00777D28" w:rsidRDefault="0046277F" w:rsidP="0046277F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46277F" w:rsidRPr="0046277F" w:rsidRDefault="0046277F" w:rsidP="00462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277F">
              <w:rPr>
                <w:rFonts w:asciiTheme="minorHAnsi" w:hAnsiTheme="minorHAnsi" w:cstheme="minorHAnsi"/>
                <w:sz w:val="22"/>
                <w:szCs w:val="22"/>
              </w:rPr>
              <w:t>Përgaditja për provim final.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77D28" w:rsidTr="00CD6E12">
        <w:tc>
          <w:tcPr>
            <w:tcW w:w="8856" w:type="dxa"/>
            <w:shd w:val="clear" w:color="auto" w:fill="D9D9D9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9A144B" w:rsidRPr="00345405" w:rsidRDefault="009A144B" w:rsidP="009A144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345405">
              <w:rPr>
                <w:rFonts w:ascii="Calibri" w:hAnsi="Calibri"/>
                <w:b/>
                <w:i/>
                <w:sz w:val="22"/>
                <w:szCs w:val="22"/>
              </w:rPr>
              <w:t>Sjelljet e poshtëshënuara janë në kundërshtim me politikat akademike dhe rregullat e mirësjelljes: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Vonesa në ligjerata dhe ushtrime;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Lëshimi i sallës gjatë ligjeratave ose ushtrimeve (pa arsyeje të nevojshme);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Tregimi i shenjave të qarta të mosinteresimit dhe të folurit të pandërprerë ose formave tjera të sjelljes që pengojnë procesin e rregullt të mësimit;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Mbajtja e telefonit celular të hapur gjatë ligjeratave ose ushtrimeve, do të rezultojnë me humbje të pikëve për shkak të sjelljes joprofesionale.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10"/>
                <w:szCs w:val="10"/>
              </w:rPr>
            </w:pPr>
          </w:p>
          <w:p w:rsidR="00035548" w:rsidRDefault="00035548" w:rsidP="009A144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9A144B" w:rsidRPr="009A144B" w:rsidRDefault="009A144B" w:rsidP="009A144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lastRenderedPageBreak/>
              <w:t>Shkelja e integritetit akademik përfshin një ose më shumë nga veprimet në vijim: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Kopjimi gjatë provimit ose testit;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Shfrytëzimi i shenimeve ose librave të palejuara gjatë testit ose provimit;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Shkëmbimi i informatave me një student tjetër gjatë provimit;</w:t>
            </w:r>
          </w:p>
          <w:p w:rsidR="006F116D" w:rsidRPr="009A144B" w:rsidRDefault="009A144B" w:rsidP="009A144B">
            <w:pPr>
              <w:ind w:left="567" w:hanging="283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Dhënja e deklaratave të rrejshme për të arsyetuar dikë nga mësimi, ushtrimi apo provimi.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795D5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36" w:rsidRDefault="00394636">
      <w:r>
        <w:separator/>
      </w:r>
    </w:p>
  </w:endnote>
  <w:endnote w:type="continuationSeparator" w:id="0">
    <w:p w:rsidR="00394636" w:rsidRDefault="00394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152F1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152F1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358E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36" w:rsidRDefault="00394636">
      <w:r>
        <w:separator/>
      </w:r>
    </w:p>
  </w:footnote>
  <w:footnote w:type="continuationSeparator" w:id="0">
    <w:p w:rsidR="00394636" w:rsidRDefault="00394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5FE"/>
    <w:multiLevelType w:val="hybridMultilevel"/>
    <w:tmpl w:val="B6FC77C4"/>
    <w:lvl w:ilvl="0" w:tplc="D1DEDF66">
      <w:numFmt w:val="bullet"/>
      <w:lvlText w:val="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56755"/>
    <w:multiLevelType w:val="hybridMultilevel"/>
    <w:tmpl w:val="E1342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555C9"/>
    <w:multiLevelType w:val="hybridMultilevel"/>
    <w:tmpl w:val="A2EE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A044E"/>
    <w:multiLevelType w:val="hybridMultilevel"/>
    <w:tmpl w:val="B4EE9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A6453"/>
    <w:multiLevelType w:val="hybridMultilevel"/>
    <w:tmpl w:val="396A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A577F"/>
    <w:multiLevelType w:val="hybridMultilevel"/>
    <w:tmpl w:val="E1400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2DF1"/>
    <w:multiLevelType w:val="hybridMultilevel"/>
    <w:tmpl w:val="6330BF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36B85"/>
    <w:multiLevelType w:val="hybridMultilevel"/>
    <w:tmpl w:val="32DEB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B55A6"/>
    <w:multiLevelType w:val="hybridMultilevel"/>
    <w:tmpl w:val="7BF6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529CF"/>
    <w:multiLevelType w:val="hybridMultilevel"/>
    <w:tmpl w:val="F760E27A"/>
    <w:lvl w:ilvl="0" w:tplc="D1DEDF66">
      <w:numFmt w:val="bullet"/>
      <w:lvlText w:val="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70071"/>
    <w:multiLevelType w:val="hybridMultilevel"/>
    <w:tmpl w:val="FB08E926"/>
    <w:lvl w:ilvl="0" w:tplc="006CAD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CCA"/>
    <w:rsid w:val="00000A0B"/>
    <w:rsid w:val="00004B39"/>
    <w:rsid w:val="00012981"/>
    <w:rsid w:val="00031020"/>
    <w:rsid w:val="00035548"/>
    <w:rsid w:val="00043592"/>
    <w:rsid w:val="00060E9F"/>
    <w:rsid w:val="000E0EA4"/>
    <w:rsid w:val="00102557"/>
    <w:rsid w:val="00105B75"/>
    <w:rsid w:val="00105C2D"/>
    <w:rsid w:val="00132604"/>
    <w:rsid w:val="00152F18"/>
    <w:rsid w:val="00164922"/>
    <w:rsid w:val="00183923"/>
    <w:rsid w:val="001E1E3E"/>
    <w:rsid w:val="001F3922"/>
    <w:rsid w:val="002052E1"/>
    <w:rsid w:val="0021580C"/>
    <w:rsid w:val="002177ED"/>
    <w:rsid w:val="00224C28"/>
    <w:rsid w:val="002466FE"/>
    <w:rsid w:val="002610A3"/>
    <w:rsid w:val="00294C3B"/>
    <w:rsid w:val="002A18D0"/>
    <w:rsid w:val="002A462B"/>
    <w:rsid w:val="002B534D"/>
    <w:rsid w:val="002C00FA"/>
    <w:rsid w:val="002C7CA5"/>
    <w:rsid w:val="002D3069"/>
    <w:rsid w:val="0030354C"/>
    <w:rsid w:val="00311AA8"/>
    <w:rsid w:val="00345405"/>
    <w:rsid w:val="00381B41"/>
    <w:rsid w:val="00394636"/>
    <w:rsid w:val="003B625C"/>
    <w:rsid w:val="003D0AAE"/>
    <w:rsid w:val="003E3193"/>
    <w:rsid w:val="00417E41"/>
    <w:rsid w:val="00435FEC"/>
    <w:rsid w:val="004447E9"/>
    <w:rsid w:val="0046277F"/>
    <w:rsid w:val="00481A5F"/>
    <w:rsid w:val="00481B14"/>
    <w:rsid w:val="004C0CCA"/>
    <w:rsid w:val="004E3276"/>
    <w:rsid w:val="004F0947"/>
    <w:rsid w:val="0050619D"/>
    <w:rsid w:val="005503CF"/>
    <w:rsid w:val="0059358E"/>
    <w:rsid w:val="005A498A"/>
    <w:rsid w:val="00603DD2"/>
    <w:rsid w:val="006246DE"/>
    <w:rsid w:val="006607C8"/>
    <w:rsid w:val="006771EF"/>
    <w:rsid w:val="00691BD2"/>
    <w:rsid w:val="006B7A78"/>
    <w:rsid w:val="006D7FB4"/>
    <w:rsid w:val="006E1B62"/>
    <w:rsid w:val="006F116D"/>
    <w:rsid w:val="007038CC"/>
    <w:rsid w:val="00746D8D"/>
    <w:rsid w:val="0077169C"/>
    <w:rsid w:val="00777D28"/>
    <w:rsid w:val="00781805"/>
    <w:rsid w:val="00795D5D"/>
    <w:rsid w:val="007B1510"/>
    <w:rsid w:val="007B68A2"/>
    <w:rsid w:val="007C3132"/>
    <w:rsid w:val="007E6202"/>
    <w:rsid w:val="007F46C5"/>
    <w:rsid w:val="007F76CB"/>
    <w:rsid w:val="00802B81"/>
    <w:rsid w:val="00806F78"/>
    <w:rsid w:val="008A439B"/>
    <w:rsid w:val="008A716D"/>
    <w:rsid w:val="008B43FD"/>
    <w:rsid w:val="008C574E"/>
    <w:rsid w:val="008D0608"/>
    <w:rsid w:val="008F746A"/>
    <w:rsid w:val="00903474"/>
    <w:rsid w:val="00922D6E"/>
    <w:rsid w:val="00926032"/>
    <w:rsid w:val="00927BFE"/>
    <w:rsid w:val="00995F87"/>
    <w:rsid w:val="009A144B"/>
    <w:rsid w:val="009B3F0A"/>
    <w:rsid w:val="009E00D4"/>
    <w:rsid w:val="009E2AF8"/>
    <w:rsid w:val="00A516A4"/>
    <w:rsid w:val="00A51945"/>
    <w:rsid w:val="00A545BA"/>
    <w:rsid w:val="00A662A0"/>
    <w:rsid w:val="00AA2C57"/>
    <w:rsid w:val="00AA3C2B"/>
    <w:rsid w:val="00AC08ED"/>
    <w:rsid w:val="00AC6AE5"/>
    <w:rsid w:val="00B35215"/>
    <w:rsid w:val="00B815D1"/>
    <w:rsid w:val="00BA6E9C"/>
    <w:rsid w:val="00BB1A1A"/>
    <w:rsid w:val="00C0381F"/>
    <w:rsid w:val="00C05B70"/>
    <w:rsid w:val="00C539CD"/>
    <w:rsid w:val="00C6155B"/>
    <w:rsid w:val="00C95CE3"/>
    <w:rsid w:val="00CD6E12"/>
    <w:rsid w:val="00CF1055"/>
    <w:rsid w:val="00CF116F"/>
    <w:rsid w:val="00D10BC6"/>
    <w:rsid w:val="00D27959"/>
    <w:rsid w:val="00D65271"/>
    <w:rsid w:val="00D67209"/>
    <w:rsid w:val="00DA1368"/>
    <w:rsid w:val="00DB2823"/>
    <w:rsid w:val="00DC770F"/>
    <w:rsid w:val="00DF6543"/>
    <w:rsid w:val="00E22A72"/>
    <w:rsid w:val="00E64FDE"/>
    <w:rsid w:val="00ED7F19"/>
    <w:rsid w:val="00EF57F9"/>
    <w:rsid w:val="00EF6E3B"/>
    <w:rsid w:val="00F04222"/>
    <w:rsid w:val="00F34158"/>
    <w:rsid w:val="00F47480"/>
    <w:rsid w:val="00F5660C"/>
    <w:rsid w:val="00FA5A2C"/>
    <w:rsid w:val="00FB050B"/>
    <w:rsid w:val="00FC340B"/>
    <w:rsid w:val="00FD423C"/>
    <w:rsid w:val="00FE43C2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D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F39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462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6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jdi.bekt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Mejdi</cp:lastModifiedBy>
  <cp:revision>3</cp:revision>
  <cp:lastPrinted>2011-03-07T08:39:00Z</cp:lastPrinted>
  <dcterms:created xsi:type="dcterms:W3CDTF">2022-09-01T09:53:00Z</dcterms:created>
  <dcterms:modified xsi:type="dcterms:W3CDTF">2023-11-08T12:02:00Z</dcterms:modified>
</cp:coreProperties>
</file>