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>Formular 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r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 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 xml:space="preserve">s </w:t>
      </w:r>
    </w:p>
    <w:p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7"/>
        <w:gridCol w:w="1425"/>
        <w:gridCol w:w="1770"/>
        <w:gridCol w:w="2044"/>
      </w:tblGrid>
      <w:tr w:rsidR="00CF116F" w:rsidRPr="00777D28" w:rsidTr="00CD6E12">
        <w:tc>
          <w:tcPr>
            <w:tcW w:w="8856" w:type="dxa"/>
            <w:gridSpan w:val="4"/>
            <w:shd w:val="clear" w:color="auto" w:fill="D9D9D9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Të 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 bazike t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 xml:space="preserve"> 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CF116F" w:rsidRPr="00777D28" w:rsidRDefault="00000A0B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Fakulteti Juridik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CF116F" w:rsidRPr="00D36328" w:rsidRDefault="00AD0179" w:rsidP="00FB050B">
            <w:pPr>
              <w:pStyle w:val="NoSpacing"/>
              <w:rPr>
                <w:b/>
                <w:sz w:val="28"/>
                <w:szCs w:val="28"/>
              </w:rPr>
            </w:pPr>
            <w:r w:rsidRPr="00D36328">
              <w:rPr>
                <w:b/>
                <w:sz w:val="28"/>
                <w:szCs w:val="28"/>
              </w:rPr>
              <w:t>Tregjet dhe Institucionet Financiare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Niveli:</w:t>
            </w:r>
          </w:p>
        </w:tc>
        <w:tc>
          <w:tcPr>
            <w:tcW w:w="5239" w:type="dxa"/>
            <w:gridSpan w:val="3"/>
          </w:tcPr>
          <w:p w:rsidR="00CF116F" w:rsidRPr="00777D28" w:rsidRDefault="00AD0179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Master</w:t>
            </w:r>
          </w:p>
        </w:tc>
      </w:tr>
      <w:tr w:rsidR="00781805" w:rsidRPr="00777D28" w:rsidTr="00183923">
        <w:tc>
          <w:tcPr>
            <w:tcW w:w="3617" w:type="dxa"/>
          </w:tcPr>
          <w:p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Statusi</w:t>
            </w:r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s:</w:t>
            </w:r>
          </w:p>
        </w:tc>
        <w:tc>
          <w:tcPr>
            <w:tcW w:w="5239" w:type="dxa"/>
            <w:gridSpan w:val="3"/>
          </w:tcPr>
          <w:p w:rsidR="00781805" w:rsidRPr="00777D28" w:rsidRDefault="00000A0B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Obligative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CF116F" w:rsidRPr="00777D28" w:rsidRDefault="00000A0B" w:rsidP="00AD0179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Viti I, Semestri I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CF116F" w:rsidRPr="00777D28" w:rsidRDefault="00AD0179" w:rsidP="000670A0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  <w:r w:rsidR="004718DA">
              <w:rPr>
                <w:b/>
                <w:szCs w:val="28"/>
              </w:rPr>
              <w:t>+0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CF116F" w:rsidRPr="00000A0B" w:rsidRDefault="004718DA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CF116F" w:rsidRPr="00777D28" w:rsidRDefault="004718DA" w:rsidP="00445997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Salla </w:t>
            </w:r>
            <w:r w:rsidR="00DA3034">
              <w:rPr>
                <w:b/>
                <w:szCs w:val="28"/>
              </w:rPr>
              <w:t>S1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:rsidR="00D65271" w:rsidRPr="00777D28" w:rsidRDefault="001F3922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Prof.Dr. Mejdi Bektashi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D65271" w:rsidRPr="00AD0179" w:rsidRDefault="00182C6C" w:rsidP="00FB050B">
            <w:pPr>
              <w:pStyle w:val="NoSpacing"/>
              <w:rPr>
                <w:szCs w:val="28"/>
              </w:rPr>
            </w:pPr>
            <w:hyperlink r:id="rId7" w:history="1">
              <w:r w:rsidR="001F3922" w:rsidRPr="00400820">
                <w:rPr>
                  <w:rStyle w:val="Hyperlink"/>
                  <w:szCs w:val="28"/>
                </w:rPr>
                <w:t>mejdi.bektashi@uni-pr.edu</w:t>
              </w:r>
            </w:hyperlink>
            <w:r w:rsidR="001F3922" w:rsidRPr="00400820">
              <w:rPr>
                <w:szCs w:val="28"/>
              </w:rPr>
              <w:t xml:space="preserve"> </w:t>
            </w:r>
          </w:p>
        </w:tc>
      </w:tr>
      <w:tr w:rsidR="00FB050B" w:rsidRPr="00777D28" w:rsidTr="00CD6E12">
        <w:tc>
          <w:tcPr>
            <w:tcW w:w="8856" w:type="dxa"/>
            <w:gridSpan w:val="4"/>
            <w:shd w:val="clear" w:color="auto" w:fill="D9D9D9"/>
          </w:tcPr>
          <w:p w:rsidR="00FB050B" w:rsidRPr="00777D28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7C3132" w:rsidRPr="0092249F" w:rsidRDefault="008C1FEF" w:rsidP="0092249F">
            <w:pPr>
              <w:pStyle w:val="NoSpacing"/>
              <w:rPr>
                <w:rFonts w:asciiTheme="minorHAnsi" w:hAnsiTheme="minorHAnsi" w:cstheme="minorHAnsi"/>
              </w:rPr>
            </w:pP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 xml:space="preserve">Lënda fokusohet kryesisht në rolin e tregjeve financiare dhe institucioneve financiare në </w:t>
            </w:r>
            <w:r w:rsidR="008674A0" w:rsidRPr="002805B2">
              <w:rPr>
                <w:rFonts w:asciiTheme="minorHAnsi" w:hAnsiTheme="minorHAnsi" w:cstheme="minorHAnsi"/>
                <w:sz w:val="22"/>
                <w:szCs w:val="22"/>
              </w:rPr>
              <w:t>funkcionimin e jet</w:t>
            </w:r>
            <w:r w:rsidR="002805B2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="008674A0" w:rsidRPr="002805B2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>ekonomi</w:t>
            </w:r>
            <w:r w:rsidR="008674A0" w:rsidRPr="002805B2">
              <w:rPr>
                <w:rFonts w:asciiTheme="minorHAnsi" w:hAnsiTheme="minorHAnsi" w:cstheme="minorHAnsi"/>
                <w:sz w:val="22"/>
                <w:szCs w:val="22"/>
              </w:rPr>
              <w:t>ke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>. Ai synon t’u japë studentëve të kuptuarit për llojet e ndryshme të tregjeve dhe institucioneve financiare, instrumentet financiare, funksionimin e tregjeve dhe institucioneve financiare ndërkombëtare, bashkëveprimet ndërmjet pjesëmarrësve kryesor të tregut, mjedisin rregullativ dhe institucional në të cilin ata veprojnë.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br/>
              <w:t>Kjo lëndë studion lloje të shumta të instrumenteve financiare, të tilla si aksione dhe obligacione, dhe instrumente moderne financiare të tilla si instrumentet derivative (opcionet, kontratat fjuçers, s</w:t>
            </w:r>
            <w:r w:rsidR="0092249F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 xml:space="preserve">aps contratat etj). Lënda gjithashtu shtjellon forma të ndryshme të institucioneve financiare, ndërmjetësve financiarë (banka dhe jo-banka). Kursi elaboron edhe segmentet e tregut financiar, si tregun e parasë, kapitalit dhe tregun e valutës. 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br/>
              <w:t>Gjithashtu mbulon trajtime të veçanta në lidhje me konceptin e rrezikut, menaxhimit të rrezikut në institucionet financiare, kryesisht rreziku kreditor dhe i tregut.</w:t>
            </w:r>
            <w:r w:rsidR="006E132B" w:rsidRPr="002805B2">
              <w:rPr>
                <w:rFonts w:asciiTheme="minorHAnsi" w:hAnsiTheme="minorHAnsi" w:cstheme="minorHAnsi"/>
                <w:sz w:val="22"/>
                <w:szCs w:val="22"/>
              </w:rPr>
              <w:br/>
              <w:t>L</w:t>
            </w:r>
            <w:r w:rsidR="006E132B" w:rsidRPr="002805B2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ënda</w:t>
            </w:r>
            <w:r w:rsidR="006E132B" w:rsidRPr="002805B2">
              <w:rPr>
                <w:rFonts w:asciiTheme="minorHAnsi" w:hAnsiTheme="minorHAnsi" w:cstheme="minorHAnsi"/>
                <w:sz w:val="22"/>
                <w:szCs w:val="22"/>
              </w:rPr>
              <w:t xml:space="preserve"> përpunon aspektet e ndryshme të analizimit të koncepteve, parimeve dhe teknikave të financimit bankar, financimit të ndërmjetësve t</w:t>
            </w:r>
            <w:r w:rsidR="002805B2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="006E132B" w:rsidRPr="002805B2">
              <w:rPr>
                <w:rFonts w:asciiTheme="minorHAnsi" w:hAnsiTheme="minorHAnsi" w:cstheme="minorHAnsi"/>
                <w:sz w:val="22"/>
                <w:szCs w:val="22"/>
              </w:rPr>
              <w:t xml:space="preserve"> tjerë financiarë, tregjeve të parasë, tregjeve të kapitalit, tregjeve të valutës dhe tregjeve të derivateve. Kursi do të ofrojë analiza të praktikave aktuale të financimit të përdorura nga shumica e vendeve të zhvilluara të BE-së, vendet e rajonit dhe Republik</w:t>
            </w:r>
            <w:r w:rsidR="002805B2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="006E132B" w:rsidRPr="002805B2">
              <w:rPr>
                <w:rFonts w:asciiTheme="minorHAnsi" w:hAnsiTheme="minorHAnsi" w:cstheme="minorHAnsi"/>
                <w:sz w:val="22"/>
                <w:szCs w:val="22"/>
              </w:rPr>
              <w:t>s s</w:t>
            </w:r>
            <w:r w:rsidR="002805B2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="006E132B" w:rsidRPr="002805B2">
              <w:rPr>
                <w:rFonts w:asciiTheme="minorHAnsi" w:hAnsiTheme="minorHAnsi" w:cstheme="minorHAnsi"/>
                <w:sz w:val="22"/>
                <w:szCs w:val="22"/>
              </w:rPr>
              <w:t xml:space="preserve"> Kosovës. Kursi elaboron edhe sisteme të tjera financiare të tregut të tilla si sistemi </w:t>
            </w:r>
            <w:r w:rsidR="006E132B" w:rsidRPr="002805B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financiar islam, e sistemet t</w:t>
            </w:r>
            <w:r w:rsidR="002805B2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="00445997">
              <w:rPr>
                <w:rFonts w:asciiTheme="minorHAnsi" w:hAnsiTheme="minorHAnsi" w:cstheme="minorHAnsi"/>
                <w:sz w:val="22"/>
                <w:szCs w:val="22"/>
              </w:rPr>
              <w:t xml:space="preserve"> tjera financiare.</w:t>
            </w:r>
            <w:r w:rsidR="006E132B" w:rsidRPr="002805B2">
              <w:rPr>
                <w:rFonts w:asciiTheme="minorHAnsi" w:hAnsiTheme="minorHAnsi" w:cstheme="minorHAnsi"/>
                <w:sz w:val="22"/>
                <w:szCs w:val="22"/>
              </w:rPr>
              <w:br/>
              <w:t>Lënda ka për qëllim t’u japë studentëve një kuptim të rolit dhe rëndësisë së parasë, kapitalit, kreditis</w:t>
            </w:r>
            <w:r w:rsidR="002805B2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="006E132B" w:rsidRPr="002805B2">
              <w:rPr>
                <w:rFonts w:asciiTheme="minorHAnsi" w:hAnsiTheme="minorHAnsi" w:cstheme="minorHAnsi"/>
                <w:sz w:val="22"/>
                <w:szCs w:val="22"/>
              </w:rPr>
              <w:t>, tregjeve dhe institucioneve financiare në një ekonomi moderne.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lastRenderedPageBreak/>
              <w:t>Qëllimet e lëndës:</w:t>
            </w:r>
          </w:p>
        </w:tc>
        <w:tc>
          <w:tcPr>
            <w:tcW w:w="5239" w:type="dxa"/>
            <w:gridSpan w:val="3"/>
          </w:tcPr>
          <w:p w:rsidR="00D56A3D" w:rsidRDefault="00D56A3D" w:rsidP="00D36328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05B2">
              <w:rPr>
                <w:rFonts w:asciiTheme="minorHAnsi" w:hAnsiTheme="minorHAnsi" w:cstheme="minorHAnsi"/>
              </w:rPr>
              <w:t>Qëllimi i lëndës është që të elaborojë nocionin dhe kuptimin e sistemit financiar, dhe që të ofrojë njohuri për studentët në lidhje me mekanizmat, strukturën dhe praktikën e aktiviteteve të sistemit financiar bashk</w:t>
            </w:r>
            <w:r>
              <w:rPr>
                <w:rFonts w:asciiTheme="minorHAnsi" w:hAnsiTheme="minorHAnsi" w:cstheme="minorHAnsi"/>
              </w:rPr>
              <w:t>ë</w:t>
            </w:r>
            <w:r w:rsidRPr="002805B2">
              <w:rPr>
                <w:rFonts w:asciiTheme="minorHAnsi" w:hAnsiTheme="minorHAnsi" w:cstheme="minorHAnsi"/>
              </w:rPr>
              <w:t>kohor, tregjet financiare, institucionet financiare dhe instrumentet e ndryshme</w:t>
            </w:r>
            <w:r w:rsidRPr="002805B2">
              <w:rPr>
                <w:rFonts w:ascii="Trebuchet MS" w:hAnsi="Trebuchet MS"/>
              </w:rPr>
              <w:t xml:space="preserve"> 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>financiare. Nga shtjellimi i 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>tyre nocioneve financiare studentët do të jenë në gjendje për të kuptuar teorinë, njohuritë themelore dhe teknikat e përdorura në sektorin bashk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>kohor financiar, si dhe për të kuptuar ngjarjet e rëndësishme financiare,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 xml:space="preserve"> nj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 xml:space="preserve"> 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 xml:space="preserve"> dhe marrjen e vendimeve 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 xml:space="preserve"> ndryshme  financiare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 xml:space="preserve"> 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>n tjet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>r.</w:t>
            </w:r>
          </w:p>
          <w:p w:rsidR="007C3132" w:rsidRPr="002805B2" w:rsidRDefault="00067DE6" w:rsidP="0092249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>Objektivi i përgjithshëm i lëndës është t’u japë studentëve një kuptim të plotë të rolit qendror të institucioneve financiare në ekonomi, veçanërisht duke theksuar: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br/>
              <w:t>• Rolin e sistemit financiar në jet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>n ekonomike dhe shoq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>rore;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br/>
              <w:t>• Rolin, 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>sin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 xml:space="preserve"> dhe funksionin e tregjeve financiare të organizuara dhe institucioneve financiare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 xml:space="preserve"> koh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>t e tashme modern</w:t>
            </w:r>
            <w:r w:rsidR="0044599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br/>
              <w:t>• Funksionet, 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>sin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 xml:space="preserve"> dhe misionet e institucioneve financiare si dhe tregjeve financiare, dhe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br/>
              <w:t>• Ndryshimet strukturore dhe konkurrencën gjithnj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 xml:space="preserve"> e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 xml:space="preserve"> 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 xml:space="preserve"> theksuar në sektor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>t e ndrysh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2805B2">
              <w:rPr>
                <w:rFonts w:asciiTheme="minorHAnsi" w:hAnsiTheme="minorHAnsi" w:cstheme="minorHAnsi"/>
                <w:sz w:val="22"/>
                <w:szCs w:val="22"/>
              </w:rPr>
              <w:t>m financiar.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:rsidR="00802B81" w:rsidRPr="002805B2" w:rsidRDefault="00802B81" w:rsidP="009C760F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805B2">
              <w:rPr>
                <w:rFonts w:asciiTheme="minorHAnsi" w:hAnsiTheme="minorHAnsi" w:cstheme="minorHAnsi"/>
                <w:i/>
                <w:sz w:val="22"/>
                <w:szCs w:val="22"/>
              </w:rPr>
              <w:t>Aftësitë dhe shkathtësitë që do t’i fitojnë studentët pas përfundimit të sukseshëm të kësaj lënde, është që:</w:t>
            </w:r>
          </w:p>
          <w:p w:rsidR="00D62643" w:rsidRPr="00445997" w:rsidRDefault="009C760F" w:rsidP="009C760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05B2">
              <w:rPr>
                <w:rFonts w:asciiTheme="minorHAnsi" w:hAnsiTheme="minorHAnsi" w:cstheme="minorHAnsi"/>
                <w:i/>
                <w:sz w:val="22"/>
                <w:szCs w:val="22"/>
              </w:rPr>
              <w:t>•</w:t>
            </w:r>
            <w:r w:rsidR="00D62643" w:rsidRPr="00445997">
              <w:rPr>
                <w:rFonts w:asciiTheme="minorHAnsi" w:hAnsiTheme="minorHAnsi" w:cstheme="minorHAnsi"/>
                <w:sz w:val="22"/>
                <w:szCs w:val="22"/>
              </w:rPr>
              <w:t>Të kuptojnë çështjet e rëndësishme aktuale në fushat kryesore t</w:t>
            </w:r>
            <w:r w:rsidR="002805B2" w:rsidRPr="00445997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="00D62643" w:rsidRPr="00445997">
              <w:rPr>
                <w:rFonts w:asciiTheme="minorHAnsi" w:hAnsiTheme="minorHAnsi" w:cstheme="minorHAnsi"/>
                <w:sz w:val="22"/>
                <w:szCs w:val="22"/>
              </w:rPr>
              <w:t xml:space="preserve"> sistemit ekonomiko financiar me q</w:t>
            </w:r>
            <w:r w:rsidR="002805B2" w:rsidRPr="00445997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="00D62643" w:rsidRPr="00445997">
              <w:rPr>
                <w:rFonts w:asciiTheme="minorHAnsi" w:hAnsiTheme="minorHAnsi" w:cstheme="minorHAnsi"/>
                <w:sz w:val="22"/>
                <w:szCs w:val="22"/>
              </w:rPr>
              <w:t>llim q</w:t>
            </w:r>
            <w:r w:rsidR="002805B2" w:rsidRPr="00445997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="00D62643" w:rsidRPr="00445997">
              <w:rPr>
                <w:rFonts w:asciiTheme="minorHAnsi" w:hAnsiTheme="minorHAnsi" w:cstheme="minorHAnsi"/>
                <w:sz w:val="22"/>
                <w:szCs w:val="22"/>
              </w:rPr>
              <w:t xml:space="preserve"> t</w:t>
            </w:r>
            <w:r w:rsidR="002805B2" w:rsidRPr="00445997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="00D62643" w:rsidRPr="00445997">
              <w:rPr>
                <w:rFonts w:asciiTheme="minorHAnsi" w:hAnsiTheme="minorHAnsi" w:cstheme="minorHAnsi"/>
                <w:sz w:val="22"/>
                <w:szCs w:val="22"/>
              </w:rPr>
              <w:t xml:space="preserve"> njohin jet</w:t>
            </w:r>
            <w:r w:rsidR="002805B2" w:rsidRPr="00445997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="00D62643" w:rsidRPr="00445997">
              <w:rPr>
                <w:rFonts w:asciiTheme="minorHAnsi" w:hAnsiTheme="minorHAnsi" w:cstheme="minorHAnsi"/>
                <w:sz w:val="22"/>
                <w:szCs w:val="22"/>
              </w:rPr>
              <w:t>n reale ekonomik, pasi q</w:t>
            </w:r>
            <w:r w:rsidR="002805B2" w:rsidRPr="00445997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="00D62643" w:rsidRPr="00445997">
              <w:rPr>
                <w:rFonts w:asciiTheme="minorHAnsi" w:hAnsiTheme="minorHAnsi" w:cstheme="minorHAnsi"/>
                <w:sz w:val="22"/>
                <w:szCs w:val="22"/>
              </w:rPr>
              <w:t xml:space="preserve"> gjithnjë e më shumë sistemi financiar po luan nj</w:t>
            </w:r>
            <w:r w:rsidR="002805B2" w:rsidRPr="00445997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="00D62643" w:rsidRPr="00445997">
              <w:rPr>
                <w:rFonts w:asciiTheme="minorHAnsi" w:hAnsiTheme="minorHAnsi" w:cstheme="minorHAnsi"/>
                <w:sz w:val="22"/>
                <w:szCs w:val="22"/>
              </w:rPr>
              <w:t xml:space="preserve"> rol të rëndësishëm në procesin e zhvillimit ekonomik;</w:t>
            </w:r>
          </w:p>
          <w:p w:rsidR="008C1FEF" w:rsidRPr="00445997" w:rsidRDefault="00D62643" w:rsidP="009C760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5997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8C1FEF" w:rsidRPr="00445997">
              <w:rPr>
                <w:rFonts w:asciiTheme="minorHAnsi" w:hAnsiTheme="minorHAnsi" w:cstheme="minorHAnsi"/>
                <w:sz w:val="22"/>
                <w:szCs w:val="22"/>
              </w:rPr>
              <w:t>Të fitojnë njohuri adekuate p</w:t>
            </w:r>
            <w:r w:rsidR="002805B2" w:rsidRPr="00445997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="008C1FEF" w:rsidRPr="00445997">
              <w:rPr>
                <w:rFonts w:asciiTheme="minorHAnsi" w:hAnsiTheme="minorHAnsi" w:cstheme="minorHAnsi"/>
                <w:sz w:val="22"/>
                <w:szCs w:val="22"/>
              </w:rPr>
              <w:t>r t</w:t>
            </w:r>
            <w:r w:rsidR="002805B2" w:rsidRPr="00445997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="008C1FEF" w:rsidRPr="00445997">
              <w:rPr>
                <w:rFonts w:asciiTheme="minorHAnsi" w:hAnsiTheme="minorHAnsi" w:cstheme="minorHAnsi"/>
                <w:sz w:val="22"/>
                <w:szCs w:val="22"/>
              </w:rPr>
              <w:t xml:space="preserve"> kuptuar rolin, r</w:t>
            </w:r>
            <w:r w:rsidR="002805B2" w:rsidRPr="00445997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="008C1FEF" w:rsidRPr="00445997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  <w:r w:rsidR="002805B2" w:rsidRPr="00445997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="008C1FEF" w:rsidRPr="00445997">
              <w:rPr>
                <w:rFonts w:asciiTheme="minorHAnsi" w:hAnsiTheme="minorHAnsi" w:cstheme="minorHAnsi"/>
                <w:sz w:val="22"/>
                <w:szCs w:val="22"/>
              </w:rPr>
              <w:t>sin</w:t>
            </w:r>
            <w:r w:rsidR="002805B2" w:rsidRPr="00445997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="008C1FEF" w:rsidRPr="00445997">
              <w:rPr>
                <w:rFonts w:asciiTheme="minorHAnsi" w:hAnsiTheme="minorHAnsi" w:cstheme="minorHAnsi"/>
                <w:sz w:val="22"/>
                <w:szCs w:val="22"/>
              </w:rPr>
              <w:t xml:space="preserve"> dhe funksionin e tregjeve financiare të organizuara,</w:t>
            </w:r>
            <w:r w:rsidRPr="004459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1FEF" w:rsidRPr="00445997">
              <w:rPr>
                <w:rFonts w:asciiTheme="minorHAnsi" w:hAnsiTheme="minorHAnsi" w:cstheme="minorHAnsi"/>
                <w:sz w:val="22"/>
                <w:szCs w:val="22"/>
              </w:rPr>
              <w:t>institucioneve financiare dhe instrumenteve financiare;</w:t>
            </w:r>
          </w:p>
          <w:p w:rsidR="008C1FEF" w:rsidRPr="00445997" w:rsidRDefault="00D62643" w:rsidP="009C760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5997">
              <w:rPr>
                <w:rFonts w:asciiTheme="minorHAnsi" w:hAnsiTheme="minorHAnsi" w:cstheme="minorHAnsi"/>
                <w:sz w:val="22"/>
                <w:szCs w:val="22"/>
              </w:rPr>
              <w:t>•</w:t>
            </w:r>
            <w:r w:rsidR="008C1FEF" w:rsidRPr="00445997">
              <w:rPr>
                <w:rFonts w:asciiTheme="minorHAnsi" w:hAnsiTheme="minorHAnsi" w:cstheme="minorHAnsi"/>
                <w:sz w:val="22"/>
                <w:szCs w:val="22"/>
              </w:rPr>
              <w:t xml:space="preserve">Të fitojnë njohuri të mjaftueshme për të kuptuar ndërvarësinë dhe ndërlidhjen në mes tregjeve </w:t>
            </w:r>
            <w:r w:rsidR="008C1FEF" w:rsidRPr="0044599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financiare, institucioneve financiare dhe instrumenteve financiare;</w:t>
            </w:r>
          </w:p>
          <w:p w:rsidR="00D62643" w:rsidRPr="00445997" w:rsidRDefault="00D62643" w:rsidP="009C760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45997">
              <w:rPr>
                <w:rFonts w:asciiTheme="minorHAnsi" w:hAnsiTheme="minorHAnsi" w:cstheme="minorHAnsi"/>
                <w:sz w:val="22"/>
                <w:szCs w:val="22"/>
              </w:rPr>
              <w:t xml:space="preserve">•Të kuptojnë çështjet e rëndësishme aktuale, duke </w:t>
            </w:r>
            <w:proofErr w:type="gramStart"/>
            <w:r w:rsidRPr="00445997">
              <w:rPr>
                <w:rFonts w:asciiTheme="minorHAnsi" w:hAnsiTheme="minorHAnsi" w:cstheme="minorHAnsi"/>
                <w:sz w:val="22"/>
                <w:szCs w:val="22"/>
              </w:rPr>
              <w:t>marr</w:t>
            </w:r>
            <w:r w:rsidR="002805B2" w:rsidRPr="00445997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445997">
              <w:rPr>
                <w:rFonts w:asciiTheme="minorHAnsi" w:hAnsiTheme="minorHAnsi" w:cstheme="minorHAnsi"/>
                <w:sz w:val="22"/>
                <w:szCs w:val="22"/>
              </w:rPr>
              <w:t xml:space="preserve">  parasysh</w:t>
            </w:r>
            <w:proofErr w:type="gramEnd"/>
            <w:r w:rsidRPr="00445997">
              <w:rPr>
                <w:rFonts w:asciiTheme="minorHAnsi" w:hAnsiTheme="minorHAnsi" w:cstheme="minorHAnsi"/>
                <w:sz w:val="22"/>
                <w:szCs w:val="22"/>
              </w:rPr>
              <w:t xml:space="preserve"> rolin e </w:t>
            </w:r>
            <w:r w:rsidRPr="0044599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financimit dhe përmirësimeve në veprimet e sistemit financiar në procesin e përgjithshëm të rritjes ekonomike, modernizimit dhe zhvillimit ekonomik.</w:t>
            </w:r>
          </w:p>
          <w:p w:rsidR="000A5373" w:rsidRPr="002805B2" w:rsidRDefault="009C760F" w:rsidP="009C760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445997">
              <w:rPr>
                <w:rFonts w:asciiTheme="minorHAnsi" w:hAnsiTheme="minorHAnsi" w:cstheme="minorHAnsi"/>
                <w:sz w:val="22"/>
                <w:szCs w:val="22"/>
              </w:rPr>
              <w:t>•Të fitojnë njohuri adekuate p</w:t>
            </w:r>
            <w:r w:rsidR="002805B2" w:rsidRPr="00445997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445997">
              <w:rPr>
                <w:rFonts w:asciiTheme="minorHAnsi" w:hAnsiTheme="minorHAnsi" w:cstheme="minorHAnsi"/>
                <w:sz w:val="22"/>
                <w:szCs w:val="22"/>
              </w:rPr>
              <w:t xml:space="preserve">r </w:t>
            </w:r>
            <w:r w:rsidR="008C1FEF" w:rsidRPr="00445997">
              <w:rPr>
                <w:rFonts w:asciiTheme="minorHAnsi" w:hAnsiTheme="minorHAnsi" w:cstheme="minorHAnsi"/>
                <w:sz w:val="22"/>
                <w:szCs w:val="22"/>
              </w:rPr>
              <w:t>tregjet më të njohura të parave</w:t>
            </w:r>
            <w:r w:rsidRPr="00445997">
              <w:rPr>
                <w:rFonts w:asciiTheme="minorHAnsi" w:hAnsiTheme="minorHAnsi" w:cstheme="minorHAnsi"/>
                <w:sz w:val="22"/>
                <w:szCs w:val="22"/>
              </w:rPr>
              <w:t>, kapitalit</w:t>
            </w:r>
            <w:proofErr w:type="gramStart"/>
            <w:r w:rsidRPr="0044599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C1FEF" w:rsidRPr="00445997">
              <w:rPr>
                <w:rFonts w:asciiTheme="minorHAnsi" w:hAnsiTheme="minorHAnsi" w:cstheme="minorHAnsi"/>
                <w:sz w:val="22"/>
                <w:szCs w:val="22"/>
              </w:rPr>
              <w:t>letrave</w:t>
            </w:r>
            <w:proofErr w:type="gramEnd"/>
            <w:r w:rsidR="008C1FEF" w:rsidRPr="00445997">
              <w:rPr>
                <w:rFonts w:asciiTheme="minorHAnsi" w:hAnsiTheme="minorHAnsi" w:cstheme="minorHAnsi"/>
                <w:sz w:val="22"/>
                <w:szCs w:val="22"/>
              </w:rPr>
              <w:t xml:space="preserve"> me vlerë</w:t>
            </w:r>
            <w:r w:rsidRPr="00445997">
              <w:rPr>
                <w:rFonts w:asciiTheme="minorHAnsi" w:hAnsiTheme="minorHAnsi" w:cstheme="minorHAnsi"/>
                <w:sz w:val="22"/>
                <w:szCs w:val="22"/>
              </w:rPr>
              <w:t>, akcioneve e t</w:t>
            </w:r>
            <w:r w:rsidR="002805B2" w:rsidRPr="00445997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445997">
              <w:rPr>
                <w:rFonts w:asciiTheme="minorHAnsi" w:hAnsiTheme="minorHAnsi" w:cstheme="minorHAnsi"/>
                <w:sz w:val="22"/>
                <w:szCs w:val="22"/>
              </w:rPr>
              <w:t xml:space="preserve"> tjera, dhe duke kuptuar </w:t>
            </w:r>
            <w:r w:rsidR="008C1FEF" w:rsidRPr="00445997">
              <w:rPr>
                <w:rFonts w:asciiTheme="minorHAnsi" w:hAnsiTheme="minorHAnsi" w:cstheme="minorHAnsi"/>
                <w:sz w:val="22"/>
                <w:szCs w:val="22"/>
              </w:rPr>
              <w:t>se si tregjet e parave</w:t>
            </w:r>
            <w:r w:rsidRPr="00445997">
              <w:rPr>
                <w:rFonts w:asciiTheme="minorHAnsi" w:hAnsiTheme="minorHAnsi" w:cstheme="minorHAnsi"/>
                <w:sz w:val="22"/>
                <w:szCs w:val="22"/>
              </w:rPr>
              <w:t xml:space="preserve"> dhe kapitalit</w:t>
            </w:r>
            <w:r w:rsidR="008C1FEF" w:rsidRPr="00445997">
              <w:rPr>
                <w:rFonts w:asciiTheme="minorHAnsi" w:hAnsiTheme="minorHAnsi" w:cstheme="minorHAnsi"/>
                <w:sz w:val="22"/>
                <w:szCs w:val="22"/>
              </w:rPr>
              <w:t xml:space="preserve"> përdoren nga ana e investitorëve institucionalë.</w:t>
            </w:r>
          </w:p>
        </w:tc>
      </w:tr>
      <w:tr w:rsidR="00FF7590" w:rsidRPr="00777D28" w:rsidTr="00CD6E12">
        <w:tc>
          <w:tcPr>
            <w:tcW w:w="8856" w:type="dxa"/>
            <w:gridSpan w:val="4"/>
            <w:shd w:val="clear" w:color="auto" w:fill="D9D9D9"/>
          </w:tcPr>
          <w:p w:rsidR="00FF7590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B050B" w:rsidRPr="00777D28" w:rsidTr="00CD6E12">
        <w:tc>
          <w:tcPr>
            <w:tcW w:w="8856" w:type="dxa"/>
            <w:gridSpan w:val="4"/>
            <w:shd w:val="clear" w:color="auto" w:fill="D9D9D9"/>
          </w:tcPr>
          <w:p w:rsidR="00FB050B" w:rsidRPr="00183923" w:rsidRDefault="00183923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Kontributi nё 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r w:rsidRPr="007C3132">
              <w:rPr>
                <w:rFonts w:ascii="Calibri" w:hAnsi="Calibri"/>
                <w:b/>
              </w:rPr>
              <w:t xml:space="preserve"> e studentit</w:t>
            </w:r>
            <w:r>
              <w:rPr>
                <w:rFonts w:ascii="Calibri" w:hAnsi="Calibri"/>
                <w:b/>
              </w:rPr>
              <w:t xml:space="preserve"> ( gjё qё duhet tё korrespondoj me rezultatet e tё nxёnit tё studentit)</w:t>
            </w:r>
          </w:p>
        </w:tc>
      </w:tr>
      <w:tr w:rsidR="00183923" w:rsidRPr="00777D28" w:rsidTr="00CD6E12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28000E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802B8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28000E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FC340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 min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802B8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FC340B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1.5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802B8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802B8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802B8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28000E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05B75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28000E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75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05B75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802B81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05B75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25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995F87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995F87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995F87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Projektet,prezentimet ,etj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83923" w:rsidRPr="007C3132" w:rsidRDefault="0018392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83923" w:rsidRPr="00777D28" w:rsidTr="00521C98">
        <w:trPr>
          <w:trHeight w:val="367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183923" w:rsidRPr="007C3132" w:rsidRDefault="0028000E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143</w:t>
            </w:r>
            <w:r w:rsidR="00FC340B">
              <w:rPr>
                <w:rFonts w:ascii="Calibri" w:hAnsi="Calibri" w:cs="Arial"/>
                <w:b/>
                <w:sz w:val="22"/>
                <w:szCs w:val="22"/>
              </w:rPr>
              <w:t>.5</w:t>
            </w:r>
            <w:r w:rsidR="00224C28">
              <w:rPr>
                <w:rFonts w:ascii="Calibri" w:hAnsi="Calibri" w:cs="Arial"/>
                <w:b/>
                <w:sz w:val="22"/>
                <w:szCs w:val="22"/>
              </w:rPr>
              <w:t xml:space="preserve"> orë</w:t>
            </w:r>
          </w:p>
        </w:tc>
      </w:tr>
      <w:tr w:rsidR="00FF7590" w:rsidRPr="00777D28" w:rsidTr="00CD6E12">
        <w:tc>
          <w:tcPr>
            <w:tcW w:w="8856" w:type="dxa"/>
            <w:gridSpan w:val="4"/>
            <w:shd w:val="clear" w:color="auto" w:fill="D9D9D9"/>
          </w:tcPr>
          <w:p w:rsidR="00FF7590" w:rsidRPr="007C3132" w:rsidRDefault="00FF7590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:rsidR="00A51945" w:rsidRPr="00A51945" w:rsidRDefault="00A51945" w:rsidP="00D36328">
            <w:pPr>
              <w:pStyle w:val="NoSpacing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A51945">
              <w:rPr>
                <w:rFonts w:ascii="Calibri" w:hAnsi="Calibri"/>
                <w:i/>
                <w:sz w:val="22"/>
                <w:szCs w:val="22"/>
              </w:rPr>
              <w:t>Lënda do të organizohet në formë të ligjeratave, ushtrimeve, seminareve, diskutimeve dhe konsultimeve. Studentët duhet të jenë pjesëmarrës aktivë të procesit mësimor.</w:t>
            </w:r>
            <w:r w:rsidRPr="00A51945">
              <w:rPr>
                <w:rFonts w:ascii="Calibri" w:hAnsi="Calibri"/>
                <w:i/>
                <w:sz w:val="22"/>
                <w:szCs w:val="22"/>
              </w:rPr>
              <w:tab/>
            </w:r>
          </w:p>
          <w:p w:rsidR="00A51945" w:rsidRPr="00A51945" w:rsidRDefault="00A51945" w:rsidP="00D36328">
            <w:pPr>
              <w:pStyle w:val="NoSpacing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A51945">
              <w:rPr>
                <w:rFonts w:ascii="Calibri" w:hAnsi="Calibri"/>
                <w:i/>
                <w:sz w:val="22"/>
                <w:szCs w:val="22"/>
              </w:rPr>
              <w:t>Mësimi aktiv kërkon që studentët të reflektojnë mbi gjërat që diskutohen e jo të jenë pranues pasivë të informatave që u jepen. Ata janë të inkurajuar që të</w:t>
            </w:r>
          </w:p>
          <w:p w:rsidR="00D65271" w:rsidRPr="00D67209" w:rsidRDefault="00A51945" w:rsidP="00D36328">
            <w:pPr>
              <w:pStyle w:val="NoSpacing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shtrojnë pyetje. Po ashtu do të organizohet edhe puna grupore, në mënyrë që studentët të diskutojnë çështjet relevante dhe të këmbejnë mendimet e tyre. </w:t>
            </w:r>
            <w:r w:rsidR="001B1477">
              <w:rPr>
                <w:rFonts w:ascii="Calibri" w:hAnsi="Calibri"/>
                <w:i/>
                <w:sz w:val="22"/>
                <w:szCs w:val="22"/>
              </w:rPr>
              <w:t>Nga studentët</w:t>
            </w:r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paraprakisht do të kërkohet leximi dhe thellimi në literaturën relevante</w:t>
            </w:r>
            <w:r w:rsidR="001B1477">
              <w:rPr>
                <w:rFonts w:ascii="Calibri" w:hAnsi="Calibri"/>
                <w:i/>
                <w:sz w:val="22"/>
                <w:szCs w:val="22"/>
              </w:rPr>
              <w:t xml:space="preserve"> për temat e </w:t>
            </w:r>
            <w:r w:rsidR="001B1477">
              <w:rPr>
                <w:rFonts w:ascii="Calibri" w:hAnsi="Calibri"/>
                <w:i/>
                <w:sz w:val="22"/>
                <w:szCs w:val="22"/>
              </w:rPr>
              <w:lastRenderedPageBreak/>
              <w:t>specifikuara</w:t>
            </w:r>
            <w:r w:rsidRPr="00A51945">
              <w:rPr>
                <w:rFonts w:ascii="Calibri" w:hAnsi="Calibri"/>
                <w:i/>
                <w:sz w:val="22"/>
                <w:szCs w:val="22"/>
              </w:rPr>
              <w:t xml:space="preserve"> të lëndës.</w:t>
            </w: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lastRenderedPageBreak/>
              <w:t>Metodat e vlerësimit:</w:t>
            </w:r>
          </w:p>
        </w:tc>
        <w:tc>
          <w:tcPr>
            <w:tcW w:w="5239" w:type="dxa"/>
            <w:gridSpan w:val="3"/>
          </w:tcPr>
          <w:p w:rsidR="00D65271" w:rsidRPr="00D65271" w:rsidRDefault="00D65271" w:rsidP="00D65271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  <w:r w:rsidRPr="00D65271">
              <w:rPr>
                <w:rFonts w:ascii="Calibri" w:hAnsi="Calibri"/>
                <w:i/>
                <w:sz w:val="20"/>
                <w:szCs w:val="20"/>
              </w:rPr>
              <w:t xml:space="preserve">Vlerësimi i parë: 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 </w:t>
            </w:r>
            <w:r w:rsidRPr="00D65271">
              <w:rPr>
                <w:rFonts w:ascii="Calibri" w:hAnsi="Calibri"/>
                <w:i/>
                <w:sz w:val="20"/>
                <w:szCs w:val="20"/>
              </w:rPr>
              <w:t>30%</w:t>
            </w:r>
          </w:p>
          <w:p w:rsidR="00D65271" w:rsidRPr="00D65271" w:rsidRDefault="00D65271" w:rsidP="00D65271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  <w:r w:rsidRPr="00D65271">
              <w:rPr>
                <w:rFonts w:ascii="Calibri" w:hAnsi="Calibri"/>
                <w:i/>
                <w:sz w:val="20"/>
                <w:szCs w:val="20"/>
              </w:rPr>
              <w:t>Vlerësimi i dytë</w:t>
            </w:r>
            <w:r>
              <w:rPr>
                <w:rFonts w:ascii="Calibri" w:hAnsi="Calibri"/>
                <w:i/>
                <w:sz w:val="20"/>
                <w:szCs w:val="20"/>
              </w:rPr>
              <w:t>:</w:t>
            </w:r>
            <w:r w:rsidRPr="00D65271">
              <w:rPr>
                <w:rFonts w:ascii="Calibri" w:hAnsi="Calibri"/>
                <w:i/>
                <w:sz w:val="20"/>
                <w:szCs w:val="20"/>
              </w:rPr>
              <w:t xml:space="preserve">   30%</w:t>
            </w:r>
          </w:p>
          <w:p w:rsidR="00D65271" w:rsidRPr="00D65271" w:rsidRDefault="00D65271" w:rsidP="00D65271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  <w:r w:rsidRPr="00D65271">
              <w:rPr>
                <w:rFonts w:ascii="Calibri" w:hAnsi="Calibri"/>
                <w:i/>
                <w:sz w:val="20"/>
                <w:szCs w:val="20"/>
              </w:rPr>
              <w:t>D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etyrat e shtëpisë ose angazhime </w:t>
            </w:r>
            <w:r w:rsidRPr="00D65271">
              <w:rPr>
                <w:rFonts w:ascii="Calibri" w:hAnsi="Calibri"/>
                <w:i/>
                <w:sz w:val="20"/>
                <w:szCs w:val="20"/>
              </w:rPr>
              <w:t>tjera</w:t>
            </w:r>
            <w:r>
              <w:rPr>
                <w:rFonts w:ascii="Calibri" w:hAnsi="Calibri"/>
                <w:i/>
                <w:sz w:val="20"/>
                <w:szCs w:val="20"/>
              </w:rPr>
              <w:t>:</w:t>
            </w:r>
            <w:r w:rsidRPr="00D65271">
              <w:rPr>
                <w:rFonts w:ascii="Calibri" w:hAnsi="Calibri"/>
                <w:i/>
                <w:sz w:val="20"/>
                <w:szCs w:val="20"/>
              </w:rPr>
              <w:t xml:space="preserve"> 5%</w:t>
            </w:r>
          </w:p>
          <w:p w:rsidR="00D65271" w:rsidRPr="00D65271" w:rsidRDefault="00D65271" w:rsidP="00D65271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  <w:r w:rsidRPr="00D65271">
              <w:rPr>
                <w:rFonts w:ascii="Calibri" w:hAnsi="Calibri"/>
                <w:i/>
                <w:sz w:val="20"/>
                <w:szCs w:val="20"/>
              </w:rPr>
              <w:t>Vijimi i rregullt</w:t>
            </w:r>
            <w:r>
              <w:rPr>
                <w:rFonts w:ascii="Calibri" w:hAnsi="Calibri"/>
                <w:i/>
                <w:sz w:val="20"/>
                <w:szCs w:val="20"/>
              </w:rPr>
              <w:t>:</w:t>
            </w:r>
            <w:r w:rsidRPr="00D65271">
              <w:rPr>
                <w:rFonts w:ascii="Calibri" w:hAnsi="Calibri"/>
                <w:i/>
                <w:sz w:val="20"/>
                <w:szCs w:val="20"/>
              </w:rPr>
              <w:t xml:space="preserve">  5%</w:t>
            </w:r>
          </w:p>
          <w:p w:rsidR="00D65271" w:rsidRPr="00D65271" w:rsidRDefault="00D65271" w:rsidP="00D65271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  <w:r w:rsidRPr="00D65271">
              <w:rPr>
                <w:rFonts w:ascii="Calibri" w:hAnsi="Calibri"/>
                <w:i/>
                <w:sz w:val="20"/>
                <w:szCs w:val="20"/>
              </w:rPr>
              <w:t>Provimi fina</w:t>
            </w:r>
            <w:r>
              <w:rPr>
                <w:rFonts w:ascii="Calibri" w:hAnsi="Calibri"/>
                <w:i/>
                <w:sz w:val="20"/>
                <w:szCs w:val="20"/>
              </w:rPr>
              <w:t>:</w:t>
            </w:r>
            <w:r w:rsidRPr="00D65271">
              <w:rPr>
                <w:rFonts w:ascii="Calibri" w:hAnsi="Calibri"/>
                <w:i/>
                <w:sz w:val="20"/>
                <w:szCs w:val="20"/>
              </w:rPr>
              <w:t xml:space="preserve">  30%</w:t>
            </w:r>
          </w:p>
          <w:p w:rsidR="00183923" w:rsidRPr="00D67209" w:rsidRDefault="00D65271" w:rsidP="00D65271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  <w:r w:rsidRPr="00D65271">
              <w:rPr>
                <w:rFonts w:ascii="Calibri" w:hAnsi="Calibri"/>
                <w:i/>
                <w:sz w:val="20"/>
                <w:szCs w:val="20"/>
              </w:rPr>
              <w:t>Total 100%</w:t>
            </w:r>
          </w:p>
        </w:tc>
      </w:tr>
      <w:tr w:rsidR="00183923" w:rsidRPr="00777D28" w:rsidTr="00CD6E12">
        <w:tc>
          <w:tcPr>
            <w:tcW w:w="8856" w:type="dxa"/>
            <w:gridSpan w:val="4"/>
            <w:shd w:val="clear" w:color="auto" w:fill="D9D9D9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</w:t>
            </w: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643751" w:rsidRPr="0092249F" w:rsidRDefault="0092249F" w:rsidP="009224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643751" w:rsidRPr="0092249F">
              <w:rPr>
                <w:rFonts w:asciiTheme="minorHAnsi" w:hAnsiTheme="minorHAnsi" w:cstheme="minorHAnsi"/>
                <w:sz w:val="22"/>
                <w:szCs w:val="22"/>
              </w:rPr>
              <w:t xml:space="preserve">Frederic S. Mishkin &amp; Stanley G. </w:t>
            </w:r>
            <w:r w:rsidR="00D36328" w:rsidRPr="0092249F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643751" w:rsidRPr="0092249F">
              <w:rPr>
                <w:rFonts w:asciiTheme="minorHAnsi" w:hAnsiTheme="minorHAnsi" w:cstheme="minorHAnsi"/>
                <w:sz w:val="22"/>
                <w:szCs w:val="22"/>
              </w:rPr>
              <w:t>akins:</w:t>
            </w:r>
            <w:r w:rsidR="00A509D9" w:rsidRPr="0092249F">
              <w:rPr>
                <w:rFonts w:asciiTheme="minorHAnsi" w:hAnsiTheme="minorHAnsi" w:cstheme="minorHAnsi"/>
                <w:sz w:val="96"/>
                <w:szCs w:val="96"/>
              </w:rPr>
              <w:t xml:space="preserve"> </w:t>
            </w:r>
            <w:r w:rsidR="00A509D9" w:rsidRPr="0092249F">
              <w:rPr>
                <w:rFonts w:asciiTheme="minorHAnsi" w:hAnsiTheme="minorHAnsi" w:cstheme="minorHAnsi"/>
                <w:sz w:val="22"/>
                <w:szCs w:val="22"/>
              </w:rPr>
              <w:t>Financial Markets and Institutions</w:t>
            </w:r>
            <w:r w:rsidR="00643751" w:rsidRPr="0092249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509D9" w:rsidRPr="0092249F"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 w:rsidR="002805B2" w:rsidRPr="0092249F">
              <w:rPr>
                <w:rFonts w:asciiTheme="minorHAnsi" w:hAnsiTheme="minorHAnsi" w:cstheme="minorHAnsi"/>
                <w:sz w:val="22"/>
                <w:szCs w:val="22"/>
              </w:rPr>
              <w:t>eventh edition,</w:t>
            </w:r>
            <w:r w:rsidR="00A509D9" w:rsidRPr="009224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509D9" w:rsidRPr="0092249F">
              <w:rPr>
                <w:rFonts w:asciiTheme="minorHAnsi" w:hAnsiTheme="minorHAnsi" w:cstheme="minorHAnsi"/>
                <w:bCs/>
                <w:sz w:val="22"/>
                <w:szCs w:val="22"/>
              </w:rPr>
              <w:t>Prentice Hall</w:t>
            </w:r>
            <w:r w:rsidR="00A509D9" w:rsidRPr="0092249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805B2" w:rsidRPr="0092249F">
              <w:rPr>
                <w:rFonts w:asciiTheme="minorHAnsi" w:hAnsiTheme="minorHAnsi" w:cstheme="minorHAnsi"/>
                <w:sz w:val="22"/>
                <w:szCs w:val="22"/>
              </w:rPr>
              <w:t xml:space="preserve"> 2012</w:t>
            </w:r>
            <w:r w:rsidR="00A509D9" w:rsidRPr="009224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3751" w:rsidRPr="0092249F">
              <w:rPr>
                <w:rFonts w:asciiTheme="minorHAnsi" w:hAnsiTheme="minorHAnsi" w:cstheme="minorHAnsi"/>
                <w:sz w:val="22"/>
                <w:szCs w:val="22"/>
              </w:rPr>
              <w:t xml:space="preserve">ose në shqip: </w:t>
            </w:r>
            <w:r w:rsidR="00643751" w:rsidRPr="0092249F">
              <w:rPr>
                <w:rFonts w:asciiTheme="minorHAnsi" w:hAnsiTheme="minorHAnsi" w:cstheme="minorHAnsi"/>
                <w:i/>
                <w:sz w:val="22"/>
                <w:szCs w:val="22"/>
              </w:rPr>
              <w:t>Tregjet dhe institucionet financiare</w:t>
            </w:r>
            <w:r w:rsidR="00643751" w:rsidRPr="0092249F">
              <w:rPr>
                <w:rFonts w:asciiTheme="minorHAnsi" w:hAnsiTheme="minorHAnsi" w:cstheme="minorHAnsi"/>
                <w:sz w:val="22"/>
                <w:szCs w:val="22"/>
              </w:rPr>
              <w:t>, Person, 2003 (libri është përkthyer në gjuhën shqipe);</w:t>
            </w:r>
          </w:p>
          <w:p w:rsidR="002805B2" w:rsidRPr="0092249F" w:rsidRDefault="0092249F" w:rsidP="0092249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2805B2" w:rsidRPr="0092249F">
              <w:rPr>
                <w:rFonts w:asciiTheme="minorHAnsi" w:hAnsiTheme="minorHAnsi" w:cstheme="minorHAnsi"/>
                <w:sz w:val="22"/>
                <w:szCs w:val="22"/>
              </w:rPr>
              <w:t>Frederic S. Mishkin: Ekonomiksi i parasë, Bankingut dhe Tregjeve Financiare, Botimi i njëmbëdhjetë, Prishtinë 2018</w:t>
            </w:r>
          </w:p>
          <w:p w:rsidR="00643751" w:rsidRPr="0092249F" w:rsidRDefault="0092249F" w:rsidP="009224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643751" w:rsidRPr="0092249F">
              <w:rPr>
                <w:rFonts w:asciiTheme="minorHAnsi" w:hAnsiTheme="minorHAnsi" w:cstheme="minorHAnsi"/>
                <w:sz w:val="22"/>
                <w:szCs w:val="22"/>
              </w:rPr>
              <w:t xml:space="preserve">Shelagh Heffernan: Modern Banking, John </w:t>
            </w:r>
            <w:r w:rsidR="00D36328" w:rsidRPr="0092249F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643751" w:rsidRPr="0092249F">
              <w:rPr>
                <w:rFonts w:asciiTheme="minorHAnsi" w:hAnsiTheme="minorHAnsi" w:cstheme="minorHAnsi"/>
                <w:sz w:val="22"/>
                <w:szCs w:val="22"/>
              </w:rPr>
              <w:t>iley &amp;Sons, Ltd, 2005</w:t>
            </w:r>
          </w:p>
          <w:p w:rsidR="00643751" w:rsidRPr="00445997" w:rsidRDefault="0092249F" w:rsidP="009224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="00643751" w:rsidRPr="00445997">
              <w:rPr>
                <w:rFonts w:asciiTheme="minorHAnsi" w:hAnsiTheme="minorHAnsi" w:cstheme="minorHAnsi"/>
                <w:sz w:val="22"/>
                <w:szCs w:val="22"/>
              </w:rPr>
              <w:t>Roger LeRoy Miller, David D. VanHoose: P</w:t>
            </w:r>
            <w:r w:rsidR="00643751" w:rsidRPr="004459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araja dhe bankat moderne </w:t>
            </w:r>
            <w:r w:rsidR="00643751" w:rsidRPr="00445997">
              <w:rPr>
                <w:rFonts w:asciiTheme="minorHAnsi" w:hAnsiTheme="minorHAnsi" w:cstheme="minorHAnsi"/>
                <w:sz w:val="22"/>
                <w:szCs w:val="22"/>
              </w:rPr>
              <w:t>(botimi i tretë) 1993;</w:t>
            </w:r>
          </w:p>
          <w:p w:rsidR="00643751" w:rsidRPr="00445997" w:rsidRDefault="0092249F" w:rsidP="009224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643751" w:rsidRPr="00445997">
              <w:rPr>
                <w:rFonts w:asciiTheme="minorHAnsi" w:hAnsiTheme="minorHAnsi" w:cstheme="minorHAnsi"/>
                <w:sz w:val="22"/>
                <w:szCs w:val="22"/>
              </w:rPr>
              <w:t>Alan S Blinder: Central Banking in Theory And Practice, MIT Press paperback edition, 1999</w:t>
            </w:r>
          </w:p>
          <w:p w:rsidR="00643751" w:rsidRPr="00445997" w:rsidRDefault="0092249F" w:rsidP="009224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  <w:r w:rsidR="00643751" w:rsidRPr="00445997">
              <w:rPr>
                <w:rFonts w:asciiTheme="minorHAnsi" w:hAnsiTheme="minorHAnsi" w:cstheme="minorHAnsi"/>
                <w:sz w:val="22"/>
                <w:szCs w:val="22"/>
              </w:rPr>
              <w:t xml:space="preserve">P.J. Hunt &amp; J.E. Kennedy: Financial Derivatives in Theory and Practice: John </w:t>
            </w:r>
            <w:r w:rsidR="00D36328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643751" w:rsidRPr="00445997">
              <w:rPr>
                <w:rFonts w:asciiTheme="minorHAnsi" w:hAnsiTheme="minorHAnsi" w:cstheme="minorHAnsi"/>
                <w:sz w:val="22"/>
                <w:szCs w:val="22"/>
              </w:rPr>
              <w:t>iley &amp;Sons, 2004</w:t>
            </w:r>
          </w:p>
          <w:p w:rsidR="00643751" w:rsidRPr="00445997" w:rsidRDefault="0092249F" w:rsidP="009224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  <w:r w:rsidR="00643751" w:rsidRPr="00445997">
              <w:rPr>
                <w:rFonts w:asciiTheme="minorHAnsi" w:hAnsiTheme="minorHAnsi" w:cstheme="minorHAnsi"/>
                <w:sz w:val="22"/>
                <w:szCs w:val="22"/>
              </w:rPr>
              <w:t>Kid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643751" w:rsidRPr="00445997">
              <w:rPr>
                <w:rFonts w:asciiTheme="minorHAnsi" w:hAnsiTheme="minorHAnsi" w:cstheme="minorHAnsi"/>
                <w:sz w:val="22"/>
                <w:szCs w:val="22"/>
              </w:rPr>
              <w:t>ell</w:t>
            </w:r>
            <w:proofErr w:type="gramEnd"/>
            <w:r w:rsidR="00643751" w:rsidRPr="00445997">
              <w:rPr>
                <w:rFonts w:asciiTheme="minorHAnsi" w:hAnsiTheme="minorHAnsi" w:cstheme="minorHAnsi"/>
                <w:sz w:val="22"/>
                <w:szCs w:val="22"/>
              </w:rPr>
              <w:t xml:space="preserve">. D. S.: </w:t>
            </w:r>
            <w:r w:rsidR="00643751" w:rsidRPr="00445997">
              <w:rPr>
                <w:rFonts w:asciiTheme="minorHAnsi" w:hAnsiTheme="minorHAnsi" w:cstheme="minorHAnsi"/>
                <w:i/>
                <w:sz w:val="22"/>
                <w:szCs w:val="22"/>
              </w:rPr>
              <w:t>Institucionet financiare, tregjet dhe paratë</w:t>
            </w:r>
            <w:r w:rsidR="00643751" w:rsidRPr="0044599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36328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643751" w:rsidRPr="00445997">
              <w:rPr>
                <w:rFonts w:asciiTheme="minorHAnsi" w:hAnsiTheme="minorHAnsi" w:cstheme="minorHAnsi"/>
                <w:sz w:val="22"/>
                <w:szCs w:val="22"/>
              </w:rPr>
              <w:t>illey, N.Y. 2006;</w:t>
            </w:r>
          </w:p>
          <w:p w:rsidR="00643751" w:rsidRPr="00445997" w:rsidRDefault="0092249F" w:rsidP="009224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  <w:r w:rsidR="00643751" w:rsidRPr="00445997">
              <w:rPr>
                <w:rFonts w:asciiTheme="minorHAnsi" w:hAnsiTheme="minorHAnsi" w:cstheme="minorHAnsi"/>
                <w:sz w:val="22"/>
                <w:szCs w:val="22"/>
              </w:rPr>
              <w:t>Bernard J. Foley: T</w:t>
            </w:r>
            <w:r w:rsidR="00643751" w:rsidRPr="00445997">
              <w:rPr>
                <w:rFonts w:asciiTheme="minorHAnsi" w:hAnsiTheme="minorHAnsi" w:cstheme="minorHAnsi"/>
                <w:i/>
                <w:sz w:val="22"/>
                <w:szCs w:val="22"/>
              </w:rPr>
              <w:t>regjet kapitale</w:t>
            </w:r>
            <w:r w:rsidR="00643751" w:rsidRPr="00445997">
              <w:rPr>
                <w:rFonts w:asciiTheme="minorHAnsi" w:hAnsiTheme="minorHAnsi" w:cstheme="minorHAnsi"/>
                <w:sz w:val="22"/>
                <w:szCs w:val="22"/>
              </w:rPr>
              <w:t>, Macmillan Education LTD London, 1991;</w:t>
            </w:r>
          </w:p>
          <w:p w:rsidR="00643751" w:rsidRPr="00445997" w:rsidRDefault="0092249F" w:rsidP="009224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  <w:r w:rsidR="00643751" w:rsidRPr="00445997">
              <w:rPr>
                <w:rFonts w:asciiTheme="minorHAnsi" w:hAnsiTheme="minorHAnsi" w:cstheme="minorHAnsi"/>
                <w:sz w:val="22"/>
                <w:szCs w:val="22"/>
              </w:rPr>
              <w:t xml:space="preserve">Frederic S. Mishkin: </w:t>
            </w:r>
            <w:r w:rsidR="00643751" w:rsidRPr="004459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Ekonomia e parave, bankave, dhe tregjeve financiare </w:t>
            </w:r>
            <w:r w:rsidR="00643751" w:rsidRPr="00445997">
              <w:rPr>
                <w:rFonts w:asciiTheme="minorHAnsi" w:hAnsiTheme="minorHAnsi" w:cstheme="minorHAnsi"/>
                <w:sz w:val="22"/>
                <w:szCs w:val="22"/>
              </w:rPr>
              <w:t>botimi</w:t>
            </w:r>
            <w:r w:rsidR="00643751" w:rsidRPr="0044599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 </w:t>
            </w:r>
            <w:r w:rsidR="00643751" w:rsidRPr="00445997">
              <w:rPr>
                <w:rFonts w:asciiTheme="minorHAnsi" w:hAnsiTheme="minorHAnsi" w:cstheme="minorHAnsi"/>
                <w:sz w:val="22"/>
                <w:szCs w:val="22"/>
              </w:rPr>
              <w:t>8, Pearson Education Inc. 2007;</w:t>
            </w:r>
          </w:p>
          <w:p w:rsidR="00643751" w:rsidRPr="00445997" w:rsidRDefault="0092249F" w:rsidP="009224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  <w:r w:rsidR="00643751" w:rsidRPr="00445997">
              <w:rPr>
                <w:rFonts w:asciiTheme="minorHAnsi" w:hAnsiTheme="minorHAnsi" w:cstheme="minorHAnsi"/>
                <w:sz w:val="22"/>
                <w:szCs w:val="22"/>
              </w:rPr>
              <w:t>Drini Salko&amp;Orfea Dhuci: Paraja dhe Institucionet Financiare, Tiranë, 2005</w:t>
            </w:r>
          </w:p>
          <w:p w:rsidR="00643751" w:rsidRDefault="0092249F" w:rsidP="009224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  <w:r w:rsidR="00643751" w:rsidRPr="00445997">
              <w:rPr>
                <w:rFonts w:asciiTheme="minorHAnsi" w:hAnsiTheme="minorHAnsi" w:cstheme="minorHAnsi"/>
                <w:sz w:val="22"/>
                <w:szCs w:val="22"/>
              </w:rPr>
              <w:t xml:space="preserve">Zamir Iqbal &amp; Abbas Mirakhor: Hyrje në financat islame, teoria dhe praktika, John </w:t>
            </w:r>
            <w:r w:rsidR="00D36328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643751" w:rsidRPr="00445997">
              <w:rPr>
                <w:rFonts w:asciiTheme="minorHAnsi" w:hAnsiTheme="minorHAnsi" w:cstheme="minorHAnsi"/>
                <w:sz w:val="22"/>
                <w:szCs w:val="22"/>
              </w:rPr>
              <w:t>iley &amp;Sons (Asia) Pte Ltd, 2007;</w:t>
            </w:r>
          </w:p>
          <w:p w:rsidR="0092249F" w:rsidRDefault="0092249F" w:rsidP="0092249F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Alan Greenspan: Epoka e trazirave, Avantura në një botë të re, UETPres, Tiranë, 2012</w:t>
            </w:r>
          </w:p>
          <w:p w:rsidR="00536CA6" w:rsidRPr="00445997" w:rsidRDefault="00536CA6" w:rsidP="009224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13.Herbert B. Mayo: Bazat e Financës, Hyrje në institucionet Financiare, Investime dhe Drejtim, UETPres, Tiranë, 2012</w:t>
            </w:r>
          </w:p>
          <w:p w:rsidR="00911A4F" w:rsidRPr="00806F78" w:rsidRDefault="00911A4F" w:rsidP="00643751">
            <w:pPr>
              <w:pStyle w:val="NoSpacing"/>
              <w:ind w:left="351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643751" w:rsidRPr="00445997" w:rsidRDefault="00182C6C" w:rsidP="00643751">
            <w:pPr>
              <w:pStyle w:val="Heading1"/>
              <w:numPr>
                <w:ilvl w:val="0"/>
                <w:numId w:val="6"/>
              </w:numPr>
              <w:ind w:left="361" w:hanging="270"/>
              <w:jc w:val="lef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sq-AL" w:eastAsia="de-DE"/>
              </w:rPr>
            </w:pPr>
            <w:hyperlink r:id="rId8" w:history="1">
              <w:r w:rsidR="00643751" w:rsidRPr="00445997">
                <w:rPr>
                  <w:rFonts w:asciiTheme="minorHAnsi" w:hAnsiTheme="minorHAnsi" w:cstheme="minorHAnsi"/>
                  <w:color w:val="000000"/>
                  <w:sz w:val="22"/>
                  <w:szCs w:val="22"/>
                  <w:lang w:val="sq-AL" w:eastAsia="de-DE"/>
                </w:rPr>
                <w:t>David S. Kid</w:t>
              </w:r>
              <w:r w:rsidR="00D36328">
                <w:rPr>
                  <w:rFonts w:asciiTheme="minorHAnsi" w:hAnsiTheme="minorHAnsi" w:cstheme="minorHAnsi"/>
                  <w:color w:val="000000"/>
                  <w:sz w:val="22"/>
                  <w:szCs w:val="22"/>
                  <w:lang w:val="sq-AL" w:eastAsia="de-DE"/>
                </w:rPr>
                <w:t>w</w:t>
              </w:r>
              <w:r w:rsidR="00643751" w:rsidRPr="00445997">
                <w:rPr>
                  <w:rFonts w:asciiTheme="minorHAnsi" w:hAnsiTheme="minorHAnsi" w:cstheme="minorHAnsi"/>
                  <w:color w:val="000000"/>
                  <w:sz w:val="22"/>
                  <w:szCs w:val="22"/>
                  <w:lang w:val="sq-AL" w:eastAsia="de-DE"/>
                </w:rPr>
                <w:t>ell</w:t>
              </w:r>
            </w:hyperlink>
            <w:r w:rsidR="00643751" w:rsidRPr="00445997">
              <w:rPr>
                <w:rFonts w:asciiTheme="minorHAnsi" w:hAnsiTheme="minorHAnsi" w:cstheme="minorHAnsi"/>
                <w:color w:val="000000"/>
                <w:sz w:val="22"/>
                <w:szCs w:val="22"/>
                <w:lang w:val="sq-AL" w:eastAsia="de-DE"/>
              </w:rPr>
              <w:t>, </w:t>
            </w:r>
            <w:hyperlink r:id="rId9" w:history="1">
              <w:r w:rsidR="00643751" w:rsidRPr="00445997">
                <w:rPr>
                  <w:rFonts w:asciiTheme="minorHAnsi" w:hAnsiTheme="minorHAnsi" w:cstheme="minorHAnsi"/>
                  <w:color w:val="000000"/>
                  <w:sz w:val="22"/>
                  <w:szCs w:val="22"/>
                  <w:lang w:val="sq-AL" w:eastAsia="de-DE"/>
                </w:rPr>
                <w:t xml:space="preserve">David </w:t>
              </w:r>
              <w:r w:rsidR="00D36328">
                <w:rPr>
                  <w:rFonts w:asciiTheme="minorHAnsi" w:hAnsiTheme="minorHAnsi" w:cstheme="minorHAnsi"/>
                  <w:color w:val="000000"/>
                  <w:sz w:val="22"/>
                  <w:szCs w:val="22"/>
                  <w:lang w:val="sq-AL" w:eastAsia="de-DE"/>
                </w:rPr>
                <w:t>W</w:t>
              </w:r>
              <w:r w:rsidR="00643751" w:rsidRPr="00445997">
                <w:rPr>
                  <w:rFonts w:asciiTheme="minorHAnsi" w:hAnsiTheme="minorHAnsi" w:cstheme="minorHAnsi"/>
                  <w:color w:val="000000"/>
                  <w:sz w:val="22"/>
                  <w:szCs w:val="22"/>
                  <w:lang w:val="sq-AL" w:eastAsia="de-DE"/>
                </w:rPr>
                <w:t>. Black</w:t>
              </w:r>
              <w:r w:rsidR="00D36328">
                <w:rPr>
                  <w:rFonts w:asciiTheme="minorHAnsi" w:hAnsiTheme="minorHAnsi" w:cstheme="minorHAnsi"/>
                  <w:color w:val="000000"/>
                  <w:sz w:val="22"/>
                  <w:szCs w:val="22"/>
                  <w:lang w:val="sq-AL" w:eastAsia="de-DE"/>
                </w:rPr>
                <w:t>w</w:t>
              </w:r>
              <w:r w:rsidR="00643751" w:rsidRPr="00445997">
                <w:rPr>
                  <w:rFonts w:asciiTheme="minorHAnsi" w:hAnsiTheme="minorHAnsi" w:cstheme="minorHAnsi"/>
                  <w:color w:val="000000"/>
                  <w:sz w:val="22"/>
                  <w:szCs w:val="22"/>
                  <w:lang w:val="sq-AL" w:eastAsia="de-DE"/>
                </w:rPr>
                <w:t>ell</w:t>
              </w:r>
            </w:hyperlink>
            <w:r w:rsidR="00643751" w:rsidRPr="00445997">
              <w:rPr>
                <w:rFonts w:asciiTheme="minorHAnsi" w:hAnsiTheme="minorHAnsi" w:cstheme="minorHAnsi"/>
                <w:color w:val="000000"/>
                <w:sz w:val="22"/>
                <w:szCs w:val="22"/>
                <w:lang w:val="sq-AL" w:eastAsia="de-DE"/>
              </w:rPr>
              <w:t>, </w:t>
            </w:r>
            <w:hyperlink r:id="rId10" w:history="1">
              <w:r w:rsidR="00643751" w:rsidRPr="00445997">
                <w:rPr>
                  <w:rFonts w:asciiTheme="minorHAnsi" w:hAnsiTheme="minorHAnsi" w:cstheme="minorHAnsi"/>
                  <w:color w:val="000000"/>
                  <w:sz w:val="22"/>
                  <w:szCs w:val="22"/>
                  <w:lang w:val="sq-AL" w:eastAsia="de-DE"/>
                </w:rPr>
                <w:t xml:space="preserve">David A. </w:t>
              </w:r>
              <w:r w:rsidR="00D36328">
                <w:rPr>
                  <w:rFonts w:asciiTheme="minorHAnsi" w:hAnsiTheme="minorHAnsi" w:cstheme="minorHAnsi"/>
                  <w:color w:val="000000"/>
                  <w:sz w:val="22"/>
                  <w:szCs w:val="22"/>
                  <w:lang w:val="sq-AL" w:eastAsia="de-DE"/>
                </w:rPr>
                <w:t>W</w:t>
              </w:r>
              <w:r w:rsidR="00643751" w:rsidRPr="00445997">
                <w:rPr>
                  <w:rFonts w:asciiTheme="minorHAnsi" w:hAnsiTheme="minorHAnsi" w:cstheme="minorHAnsi"/>
                  <w:color w:val="000000"/>
                  <w:sz w:val="22"/>
                  <w:szCs w:val="22"/>
                  <w:lang w:val="sq-AL" w:eastAsia="de-DE"/>
                </w:rPr>
                <w:t>hidbee</w:t>
              </w:r>
            </w:hyperlink>
            <w:r w:rsidR="00643751" w:rsidRPr="00445997">
              <w:rPr>
                <w:rFonts w:asciiTheme="minorHAnsi" w:hAnsiTheme="minorHAnsi" w:cstheme="minorHAnsi"/>
                <w:color w:val="000000"/>
                <w:sz w:val="22"/>
                <w:szCs w:val="22"/>
                <w:lang w:val="sq-AL" w:eastAsia="de-DE"/>
              </w:rPr>
              <w:t>, </w:t>
            </w:r>
            <w:hyperlink r:id="rId11" w:history="1">
              <w:r w:rsidR="00643751" w:rsidRPr="00445997">
                <w:rPr>
                  <w:rFonts w:asciiTheme="minorHAnsi" w:hAnsiTheme="minorHAnsi" w:cstheme="minorHAnsi"/>
                  <w:color w:val="000000"/>
                  <w:sz w:val="22"/>
                  <w:szCs w:val="22"/>
                  <w:lang w:val="sq-AL" w:eastAsia="de-DE"/>
                </w:rPr>
                <w:t>Richard L. Peterson</w:t>
              </w:r>
            </w:hyperlink>
            <w:r w:rsidR="00643751" w:rsidRPr="00445997">
              <w:rPr>
                <w:rFonts w:asciiTheme="minorHAnsi" w:hAnsiTheme="minorHAnsi" w:cstheme="minorHAnsi"/>
                <w:color w:val="000000"/>
                <w:sz w:val="22"/>
                <w:szCs w:val="22"/>
                <w:lang w:val="sq-AL" w:eastAsia="de-DE"/>
              </w:rPr>
              <w:t xml:space="preserve">:  </w:t>
            </w:r>
            <w:r w:rsidR="00643751" w:rsidRPr="00445997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sq-AL" w:eastAsia="de-DE"/>
              </w:rPr>
              <w:t xml:space="preserve">Institucionet financiare, tregjet dhe paratë </w:t>
            </w:r>
          </w:p>
          <w:p w:rsidR="00643751" w:rsidRPr="00445997" w:rsidRDefault="00643751" w:rsidP="00643751">
            <w:pPr>
              <w:pStyle w:val="Heading1"/>
              <w:numPr>
                <w:ilvl w:val="0"/>
                <w:numId w:val="6"/>
              </w:numPr>
              <w:ind w:left="361" w:hanging="270"/>
              <w:jc w:val="lef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sq-AL" w:eastAsia="de-DE"/>
              </w:rPr>
            </w:pPr>
            <w:r w:rsidRPr="00445997">
              <w:rPr>
                <w:rFonts w:asciiTheme="minorHAnsi" w:hAnsiTheme="minorHAnsi" w:cstheme="minorHAnsi"/>
                <w:color w:val="000000"/>
                <w:sz w:val="22"/>
                <w:szCs w:val="22"/>
                <w:lang w:val="sq-AL" w:eastAsia="de-DE"/>
              </w:rPr>
              <w:t xml:space="preserve">Stephen Cecchetti, Kemit Schoenholtz: </w:t>
            </w:r>
            <w:r w:rsidRPr="00445997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sq-AL" w:eastAsia="de-DE"/>
              </w:rPr>
              <w:t xml:space="preserve">Paratë, bankat dhe tregjet financiare </w:t>
            </w:r>
          </w:p>
          <w:p w:rsidR="00643751" w:rsidRPr="00445997" w:rsidRDefault="00643751" w:rsidP="00643751">
            <w:pPr>
              <w:pStyle w:val="Heading1"/>
              <w:numPr>
                <w:ilvl w:val="0"/>
                <w:numId w:val="6"/>
              </w:numPr>
              <w:ind w:left="361" w:hanging="270"/>
              <w:jc w:val="lef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sq-AL" w:eastAsia="de-DE"/>
              </w:rPr>
            </w:pPr>
            <w:r w:rsidRPr="00445997">
              <w:rPr>
                <w:rFonts w:asciiTheme="minorHAnsi" w:hAnsiTheme="minorHAnsi" w:cstheme="minorHAnsi"/>
                <w:color w:val="000000"/>
                <w:sz w:val="22"/>
                <w:szCs w:val="22"/>
                <w:lang w:val="sq-AL" w:eastAsia="de-DE"/>
              </w:rPr>
              <w:t xml:space="preserve">Linda Allen: </w:t>
            </w:r>
            <w:r w:rsidRPr="00445997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val="sq-AL" w:eastAsia="de-DE"/>
              </w:rPr>
              <w:t xml:space="preserve">Tregjet kapitale dhe institucionet: një pikëpamje globale </w:t>
            </w:r>
          </w:p>
          <w:p w:rsidR="00643751" w:rsidRPr="00445997" w:rsidRDefault="00643751" w:rsidP="006437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599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Gazetat dhe materialet tjera</w:t>
            </w:r>
          </w:p>
          <w:p w:rsidR="00643751" w:rsidRPr="00445997" w:rsidRDefault="00D36328" w:rsidP="00643751">
            <w:pPr>
              <w:pStyle w:val="Heading1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sq-AL" w:eastAsia="de-D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q-AL" w:eastAsia="de-DE"/>
              </w:rPr>
              <w:t>www</w:t>
            </w:r>
            <w:r w:rsidR="00643751" w:rsidRPr="00445997">
              <w:rPr>
                <w:rFonts w:asciiTheme="minorHAnsi" w:hAnsiTheme="minorHAnsi" w:cstheme="minorHAnsi"/>
                <w:color w:val="000000"/>
                <w:sz w:val="22"/>
                <w:szCs w:val="22"/>
                <w:lang w:val="sq-AL" w:eastAsia="de-DE"/>
              </w:rPr>
              <w:t>.q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q-AL" w:eastAsia="de-DE"/>
              </w:rPr>
              <w:t>w</w:t>
            </w:r>
            <w:r w:rsidR="00643751" w:rsidRPr="00445997">
              <w:rPr>
                <w:rFonts w:asciiTheme="minorHAnsi" w:hAnsiTheme="minorHAnsi" w:cstheme="minorHAnsi"/>
                <w:color w:val="000000"/>
                <w:sz w:val="22"/>
                <w:szCs w:val="22"/>
                <w:lang w:val="sq-AL" w:eastAsia="de-DE"/>
              </w:rPr>
              <w:t>.com/mishkineakins (student resources);</w:t>
            </w:r>
          </w:p>
          <w:p w:rsidR="00643751" w:rsidRPr="00445997" w:rsidRDefault="00D36328" w:rsidP="00643751">
            <w:pPr>
              <w:pStyle w:val="Heading1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sq-AL" w:eastAsia="de-D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q-AL" w:eastAsia="de-DE"/>
              </w:rPr>
              <w:t>www</w:t>
            </w:r>
            <w:r w:rsidR="00643751" w:rsidRPr="00445997">
              <w:rPr>
                <w:rFonts w:asciiTheme="minorHAnsi" w:hAnsiTheme="minorHAnsi" w:cstheme="minorHAnsi"/>
                <w:color w:val="000000"/>
                <w:sz w:val="22"/>
                <w:szCs w:val="22"/>
                <w:lang w:val="sq-AL" w:eastAsia="de-DE"/>
              </w:rPr>
              <w:t>.federalreserve.gov</w:t>
            </w:r>
          </w:p>
          <w:p w:rsidR="00643751" w:rsidRPr="00445997" w:rsidRDefault="00D36328" w:rsidP="00643751">
            <w:pPr>
              <w:pStyle w:val="Heading1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sq-AL" w:eastAsia="de-D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q-AL" w:eastAsia="de-DE"/>
              </w:rPr>
              <w:t>www</w:t>
            </w:r>
            <w:r w:rsidR="00643751" w:rsidRPr="00445997">
              <w:rPr>
                <w:rFonts w:asciiTheme="minorHAnsi" w:hAnsiTheme="minorHAnsi" w:cstheme="minorHAnsi"/>
                <w:color w:val="000000"/>
                <w:sz w:val="22"/>
                <w:szCs w:val="22"/>
                <w:lang w:val="sq-AL" w:eastAsia="de-DE"/>
              </w:rPr>
              <w:t>.forecasts.org/data/index.htm</w:t>
            </w:r>
          </w:p>
          <w:p w:rsidR="00643751" w:rsidRPr="00445997" w:rsidRDefault="00182C6C" w:rsidP="00643751">
            <w:pPr>
              <w:pStyle w:val="Heading1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sq-AL" w:eastAsia="de-DE"/>
              </w:rPr>
            </w:pPr>
            <w:hyperlink r:id="rId12" w:history="1">
              <w:r w:rsidR="00D36328" w:rsidRPr="0023604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 w:eastAsia="de-DE"/>
                </w:rPr>
                <w:t>www.quicken.com</w:t>
              </w:r>
            </w:hyperlink>
          </w:p>
          <w:p w:rsidR="008F18A9" w:rsidRPr="00643751" w:rsidRDefault="00D36328" w:rsidP="00643751">
            <w:pPr>
              <w:pStyle w:val="Heading1"/>
              <w:jc w:val="left"/>
              <w:rPr>
                <w:rFonts w:ascii="Trebuchet MS" w:hAnsi="Trebuchet MS" w:cs="Arial"/>
                <w:color w:val="000000"/>
                <w:sz w:val="22"/>
                <w:szCs w:val="22"/>
                <w:lang w:val="sq-AL" w:eastAsia="de-D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q-AL" w:eastAsia="de-DE"/>
              </w:rPr>
              <w:t>www</w:t>
            </w:r>
            <w:r w:rsidR="00643751" w:rsidRPr="00445997">
              <w:rPr>
                <w:rFonts w:asciiTheme="minorHAnsi" w:hAnsiTheme="minorHAnsi" w:cstheme="minorHAnsi"/>
                <w:color w:val="000000"/>
                <w:sz w:val="22"/>
                <w:szCs w:val="22"/>
                <w:lang w:val="sq-AL" w:eastAsia="de-DE"/>
              </w:rPr>
              <w:t>.nymex.com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6138"/>
      </w:tblGrid>
      <w:tr w:rsidR="00D67209" w:rsidRPr="00777D28" w:rsidTr="00521C98">
        <w:trPr>
          <w:trHeight w:val="416"/>
        </w:trPr>
        <w:tc>
          <w:tcPr>
            <w:tcW w:w="8856" w:type="dxa"/>
            <w:gridSpan w:val="2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lastRenderedPageBreak/>
              <w:t xml:space="preserve">Plani i dizejnuar i mësimit:  </w:t>
            </w:r>
          </w:p>
        </w:tc>
      </w:tr>
      <w:tr w:rsidR="00D67209" w:rsidRPr="00777D28" w:rsidTr="00CD6E12">
        <w:tc>
          <w:tcPr>
            <w:tcW w:w="2718" w:type="dxa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Ligjerata q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do t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zhvillohet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:rsidR="00D67209" w:rsidRPr="00D36328" w:rsidRDefault="00445997" w:rsidP="00C3625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>Sistemi financiar; Teoria e strukturës financiare; Faktet parësore për strukturën financiare në botë; Financimi direkt dhe ndërmjetësimi financiar; Oferta dhe kërkesa në tregun financiar; rregullimi i sistemit financiar; institucionet rregullative dhe të mbikëqyrjes; Kostot transaksionale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dytë:</w:t>
            </w:r>
          </w:p>
        </w:tc>
        <w:tc>
          <w:tcPr>
            <w:tcW w:w="6138" w:type="dxa"/>
          </w:tcPr>
          <w:p w:rsidR="00445997" w:rsidRPr="00D36328" w:rsidRDefault="00445997" w:rsidP="00C3625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 xml:space="preserve">Tregjet financiare- klasifikimi; Kuptimi dhe struktura e institucioneve financiare; </w:t>
            </w:r>
            <w:r w:rsidR="003E329D" w:rsidRPr="00D36328">
              <w:rPr>
                <w:rFonts w:asciiTheme="minorHAnsi" w:hAnsiTheme="minorHAnsi" w:cstheme="minorHAnsi"/>
                <w:sz w:val="22"/>
                <w:szCs w:val="22"/>
              </w:rPr>
              <w:t>Historia e tregjeve financiare; Qëllimi dhe r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="003E329D" w:rsidRPr="00D36328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="003E329D" w:rsidRPr="00D36328">
              <w:rPr>
                <w:rFonts w:asciiTheme="minorHAnsi" w:hAnsiTheme="minorHAnsi" w:cstheme="minorHAnsi"/>
                <w:sz w:val="22"/>
                <w:szCs w:val="22"/>
              </w:rPr>
              <w:t xml:space="preserve">sia e tregjeve financiare; Pjesëmarrësit në tregjet financiare; Ndarja e tregjeve financiare; </w:t>
            </w:r>
          </w:p>
          <w:p w:rsidR="00D67209" w:rsidRPr="00D36328" w:rsidRDefault="00445997" w:rsidP="00C3625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 xml:space="preserve">Banka Qendrore; karakteristikat dhe funksionet; </w:t>
            </w:r>
          </w:p>
        </w:tc>
      </w:tr>
      <w:tr w:rsidR="00D67209" w:rsidRPr="00777D28" w:rsidTr="00D67209">
        <w:tc>
          <w:tcPr>
            <w:tcW w:w="271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tretë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D67209" w:rsidRPr="00D36328" w:rsidRDefault="003E329D" w:rsidP="00C3625B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>Tregjet e parasë; Tregjet e kapitalit; T</w:t>
            </w:r>
            <w:r w:rsidR="008E036B" w:rsidRPr="00D36328">
              <w:rPr>
                <w:rFonts w:asciiTheme="minorHAnsi" w:hAnsiTheme="minorHAnsi" w:cstheme="minorHAnsi"/>
                <w:sz w:val="22"/>
                <w:szCs w:val="22"/>
              </w:rPr>
              <w:t>regjet devizore (valutore)</w:t>
            </w:r>
            <w:r w:rsidR="005D3556" w:rsidRPr="00D3632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8E036B" w:rsidRPr="00D363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8E036B" w:rsidRPr="00D36328">
              <w:rPr>
                <w:rFonts w:asciiTheme="minorHAnsi" w:hAnsiTheme="minorHAnsi" w:cstheme="minorHAnsi"/>
                <w:sz w:val="22"/>
                <w:szCs w:val="22"/>
              </w:rPr>
              <w:t xml:space="preserve">dhe </w:t>
            </w:r>
            <w:r w:rsidR="00A660C0" w:rsidRPr="00D363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>Tregjet</w:t>
            </w:r>
            <w:proofErr w:type="gramEnd"/>
            <w:r w:rsidRPr="00D36328">
              <w:rPr>
                <w:rFonts w:asciiTheme="minorHAnsi" w:hAnsiTheme="minorHAnsi" w:cstheme="minorHAnsi"/>
                <w:sz w:val="22"/>
                <w:szCs w:val="22"/>
              </w:rPr>
              <w:t xml:space="preserve"> e letrave me vlerë të derivuar</w:t>
            </w:r>
            <w:r w:rsidR="005D3556" w:rsidRPr="00D36328">
              <w:rPr>
                <w:rFonts w:asciiTheme="minorHAnsi" w:hAnsiTheme="minorHAnsi" w:cstheme="minorHAnsi"/>
                <w:sz w:val="22"/>
                <w:szCs w:val="22"/>
              </w:rPr>
              <w:t xml:space="preserve">; Tregjet financiare- klasifikimi; </w:t>
            </w:r>
            <w:r w:rsidR="005D3556" w:rsidRPr="00D36328">
              <w:rPr>
                <w:rFonts w:asciiTheme="minorHAnsi" w:hAnsiTheme="minorHAnsi" w:cstheme="minorHAnsi"/>
                <w:bCs/>
                <w:sz w:val="22"/>
                <w:szCs w:val="22"/>
              </w:rPr>
              <w:t>Blerësit dhe shit</w:t>
            </w:r>
            <w:r w:rsidR="00C3625B" w:rsidRPr="00D36328">
              <w:rPr>
                <w:rFonts w:asciiTheme="minorHAnsi" w:hAnsiTheme="minorHAnsi" w:cstheme="minorHAnsi"/>
                <w:bCs/>
                <w:sz w:val="22"/>
                <w:szCs w:val="22"/>
              </w:rPr>
              <w:t>ë</w:t>
            </w:r>
            <w:r w:rsidR="005D3556" w:rsidRPr="00D36328">
              <w:rPr>
                <w:rFonts w:asciiTheme="minorHAnsi" w:hAnsiTheme="minorHAnsi" w:cstheme="minorHAnsi"/>
                <w:bCs/>
                <w:sz w:val="22"/>
                <w:szCs w:val="22"/>
              </w:rPr>
              <w:t>sit në tregjet financiare</w:t>
            </w:r>
            <w:r w:rsidR="005D3556" w:rsidRPr="00D36328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5D3556" w:rsidRPr="00D36328">
              <w:rPr>
                <w:rFonts w:asciiTheme="minorHAnsi" w:hAnsiTheme="minorHAnsi" w:cstheme="minorHAnsi"/>
                <w:bCs/>
                <w:sz w:val="22"/>
                <w:szCs w:val="22"/>
              </w:rPr>
              <w:t>Si funksionon tregu global financiar</w:t>
            </w:r>
            <w:r w:rsidR="005D3556" w:rsidRPr="00D36328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?; </w:t>
            </w:r>
            <w:r w:rsidR="005D3556" w:rsidRPr="00D36328">
              <w:rPr>
                <w:rFonts w:asciiTheme="minorHAnsi" w:hAnsiTheme="minorHAnsi" w:cstheme="minorHAnsi"/>
                <w:bCs/>
                <w:sz w:val="22"/>
                <w:szCs w:val="22"/>
              </w:rPr>
              <w:t>Tregjet tjera financiare; Agjentët pjes</w:t>
            </w:r>
            <w:r w:rsidR="00C3625B" w:rsidRPr="00D36328">
              <w:rPr>
                <w:rFonts w:asciiTheme="minorHAnsi" w:hAnsiTheme="minorHAnsi" w:cstheme="minorHAnsi"/>
                <w:bCs/>
                <w:sz w:val="22"/>
                <w:szCs w:val="22"/>
              </w:rPr>
              <w:t>ë</w:t>
            </w:r>
            <w:r w:rsidR="005D3556" w:rsidRPr="00D36328">
              <w:rPr>
                <w:rFonts w:asciiTheme="minorHAnsi" w:hAnsiTheme="minorHAnsi" w:cstheme="minorHAnsi"/>
                <w:bCs/>
                <w:sz w:val="22"/>
                <w:szCs w:val="22"/>
              </w:rPr>
              <w:t>marr</w:t>
            </w:r>
            <w:r w:rsidR="00C3625B" w:rsidRPr="00D36328">
              <w:rPr>
                <w:rFonts w:asciiTheme="minorHAnsi" w:hAnsiTheme="minorHAnsi" w:cstheme="minorHAnsi"/>
                <w:bCs/>
                <w:sz w:val="22"/>
                <w:szCs w:val="22"/>
              </w:rPr>
              <w:t>ë</w:t>
            </w:r>
            <w:r w:rsidR="005D3556" w:rsidRPr="00D36328">
              <w:rPr>
                <w:rFonts w:asciiTheme="minorHAnsi" w:hAnsiTheme="minorHAnsi" w:cstheme="minorHAnsi"/>
                <w:bCs/>
                <w:sz w:val="22"/>
                <w:szCs w:val="22"/>
              </w:rPr>
              <w:t>s në tregun financiar.</w:t>
            </w:r>
          </w:p>
        </w:tc>
      </w:tr>
      <w:tr w:rsidR="00EB2839" w:rsidRPr="00777D28" w:rsidTr="00D67209">
        <w:tc>
          <w:tcPr>
            <w:tcW w:w="2718" w:type="dxa"/>
          </w:tcPr>
          <w:p w:rsidR="00EB2839" w:rsidRPr="00777D28" w:rsidRDefault="00EB2839" w:rsidP="00EB283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6138" w:type="dxa"/>
          </w:tcPr>
          <w:p w:rsidR="00EB2839" w:rsidRPr="00D36328" w:rsidRDefault="005D3556" w:rsidP="00C3625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 xml:space="preserve">Tregjet financiare- klasifikimi; Tregu i kapitalit (obligacioneve); Tregu i aksioneve; Tregjet e derivative; Risku dhe Tregjet financiare; </w:t>
            </w:r>
            <w:r w:rsidRPr="00D36328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sr-Latn-CS"/>
              </w:rPr>
              <w:t>Ri</w:t>
            </w:r>
            <w:r w:rsidRPr="00D3632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sku dhe pasiguri; Menaxhimi me riskun në tregjet financiare; </w:t>
            </w:r>
            <w:r w:rsidRPr="00D36328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sr-Latn-CS"/>
              </w:rPr>
              <w:t>Strategj</w:t>
            </w:r>
            <w:r w:rsidRPr="00D3632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itë për parandalimin e riskut</w:t>
            </w:r>
            <w:r w:rsidR="00D80699" w:rsidRPr="00D3632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; Llojet e risqeve.</w:t>
            </w:r>
          </w:p>
        </w:tc>
      </w:tr>
      <w:tr w:rsidR="00EB2839" w:rsidRPr="00777D28" w:rsidTr="00D67209">
        <w:tc>
          <w:tcPr>
            <w:tcW w:w="2718" w:type="dxa"/>
          </w:tcPr>
          <w:p w:rsidR="00EB2839" w:rsidRPr="00777D28" w:rsidRDefault="00EB2839" w:rsidP="00EB283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pestë: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EB2839" w:rsidRPr="00D36328" w:rsidRDefault="00D80699" w:rsidP="00C3625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>rmjet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>suesit financiar; Rëndësia e institucioneve financiare; Bankat dhe klasifikimi i tyre; Objektivat e bankave; Veprimataria e depozitave dhe e kreditimit; Procesi i marrjes së kredisë bankare; Struktura dhe rregullimi i industris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 xml:space="preserve"> bankare.    </w:t>
            </w:r>
          </w:p>
        </w:tc>
      </w:tr>
      <w:tr w:rsidR="00EB2839" w:rsidRPr="00777D28" w:rsidTr="00D67209">
        <w:tc>
          <w:tcPr>
            <w:tcW w:w="2718" w:type="dxa"/>
          </w:tcPr>
          <w:p w:rsidR="00EB2839" w:rsidRPr="00777D28" w:rsidRDefault="00EB2839" w:rsidP="00EB283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gjashtë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EB2839" w:rsidRPr="00D36328" w:rsidRDefault="00D80699" w:rsidP="00D363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>Llojet e institucioneve financiare; Veprimtarit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 xml:space="preserve"> kryesore t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 xml:space="preserve"> bankave; Llojet e fondeve investive sipas llojit të a</w:t>
            </w:r>
            <w:r w:rsidR="00D36328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>tiv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36328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; Funkcionet e bankave tradicionale dhe atyre moderne; Faktor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ë</w:t>
            </w:r>
            <w:r w:rsidRPr="00D36328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t q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ë</w:t>
            </w:r>
            <w:r w:rsidRPr="00D36328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 xml:space="preserve"> ndikojn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ë</w:t>
            </w:r>
            <w:r w:rsidRPr="00D36328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 xml:space="preserve"> n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ë</w:t>
            </w:r>
            <w:r w:rsidRPr="00D36328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 xml:space="preserve"> ndryshimin e struktur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ë</w:t>
            </w:r>
            <w:r w:rsidRPr="00D36328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s n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>ë</w:t>
            </w:r>
            <w:r w:rsidRPr="00D36328">
              <w:rPr>
                <w:rFonts w:asciiTheme="minorHAnsi" w:hAnsiTheme="minorHAnsi" w:cstheme="minorHAnsi"/>
                <w:sz w:val="22"/>
                <w:szCs w:val="22"/>
                <w:lang w:val="sr-Latn-CS"/>
              </w:rPr>
              <w:t xml:space="preserve"> sektorin bankar; </w:t>
            </w:r>
          </w:p>
        </w:tc>
      </w:tr>
      <w:tr w:rsidR="00EB2839" w:rsidRPr="00777D28" w:rsidTr="00D67209">
        <w:tc>
          <w:tcPr>
            <w:tcW w:w="2718" w:type="dxa"/>
          </w:tcPr>
          <w:p w:rsidR="00EB2839" w:rsidRPr="00777D28" w:rsidRDefault="00EB2839" w:rsidP="00EB283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shtatë: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EB2839" w:rsidRPr="00D36328" w:rsidRDefault="00FF739F" w:rsidP="00D363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 xml:space="preserve">Karakteristikat organizative të modeleve të bankave bashkëkohore; Këshilli Qendror Kreditor–struktura; Këshilli Qendror Kreditor–detyrat; </w:t>
            </w:r>
            <w:r w:rsidRPr="00D36328">
              <w:rPr>
                <w:rFonts w:asciiTheme="minorHAnsi" w:eastAsia="+mj-ea" w:hAnsiTheme="minorHAnsi" w:cstheme="minorHAnsi"/>
                <w:color w:val="000000"/>
                <w:kern w:val="24"/>
                <w:sz w:val="70"/>
                <w:szCs w:val="70"/>
              </w:rPr>
              <w:t xml:space="preserve"> </w:t>
            </w: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>Këshilli për menaxhimin e aktivës dhe pasivës së bankës (ALCO); Sistemi  pagesave; Linja e kreditimit dhe investimeve.</w:t>
            </w:r>
          </w:p>
        </w:tc>
      </w:tr>
      <w:tr w:rsidR="00EB2839" w:rsidRPr="00777D28" w:rsidTr="00D67209">
        <w:tc>
          <w:tcPr>
            <w:tcW w:w="2718" w:type="dxa"/>
          </w:tcPr>
          <w:p w:rsidR="00EB2839" w:rsidRPr="00777D28" w:rsidRDefault="00EB2839" w:rsidP="00EB28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tetë: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EB2839" w:rsidRPr="00D36328" w:rsidRDefault="00FF739F" w:rsidP="00C3625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>Karakteristikat e bankave bashk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 xml:space="preserve">kohore; </w:t>
            </w:r>
            <w:r w:rsidRPr="00D3632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Procesi </w:t>
            </w: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 xml:space="preserve">i ndryshimit të formës dhe </w:t>
            </w:r>
            <w:r w:rsidRPr="00D3632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funkci</w:t>
            </w: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 xml:space="preserve">oneve të institucioneve </w:t>
            </w:r>
            <w:r w:rsidRPr="00D3632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finan</w:t>
            </w: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 xml:space="preserve">ciare; </w:t>
            </w:r>
            <w:r w:rsidRPr="00D36328">
              <w:rPr>
                <w:rFonts w:asciiTheme="minorHAnsi" w:eastAsia="+mj-ea" w:hAnsiTheme="minorHAnsi" w:cstheme="minorHAnsi"/>
                <w:color w:val="000000"/>
                <w:kern w:val="24"/>
                <w:sz w:val="64"/>
                <w:szCs w:val="64"/>
                <w:lang w:val="hr-HR"/>
              </w:rPr>
              <w:t xml:space="preserve"> </w:t>
            </w:r>
            <w:r w:rsidRPr="00D3632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Strategj</w:t>
            </w: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 xml:space="preserve">ia e ofrimit të shërbimeve bankare; </w:t>
            </w:r>
          </w:p>
        </w:tc>
      </w:tr>
      <w:tr w:rsidR="00EB2839" w:rsidRPr="00777D28" w:rsidTr="00D67209">
        <w:tc>
          <w:tcPr>
            <w:tcW w:w="2718" w:type="dxa"/>
          </w:tcPr>
          <w:p w:rsidR="00EB2839" w:rsidRPr="00777D28" w:rsidRDefault="00EB2839" w:rsidP="00EB28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nëntë: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EB2839" w:rsidRPr="00D36328" w:rsidRDefault="00FF739F" w:rsidP="00D363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>Instrumentet Financiare; Roli dhe r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 xml:space="preserve">sia e instrumenteve 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</w:rPr>
              <w:t>financiare</w:t>
            </w: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 xml:space="preserve">; Llojet e instrumenteve financiare; </w:t>
            </w:r>
            <w:r w:rsidRPr="00D36328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Instrumentet monetare; Instrumentet derivative financiare; </w:t>
            </w: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>Letrat me vlerë.</w:t>
            </w:r>
          </w:p>
        </w:tc>
      </w:tr>
      <w:tr w:rsidR="00EB2839" w:rsidRPr="00777D28" w:rsidTr="00D67209">
        <w:tc>
          <w:tcPr>
            <w:tcW w:w="2718" w:type="dxa"/>
          </w:tcPr>
          <w:p w:rsidR="00EB2839" w:rsidRPr="00777D28" w:rsidRDefault="00EB2839" w:rsidP="00EB28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lastRenderedPageBreak/>
              <w:t>Java e dhjetë:</w:t>
            </w:r>
          </w:p>
        </w:tc>
        <w:tc>
          <w:tcPr>
            <w:tcW w:w="6138" w:type="dxa"/>
          </w:tcPr>
          <w:p w:rsidR="00EB2839" w:rsidRPr="00D36328" w:rsidRDefault="00FF739F" w:rsidP="00C3625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6328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Nocioni dhe r</w:t>
            </w:r>
            <w:r w:rsidR="00C3625B" w:rsidRPr="00D36328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ë</w:t>
            </w:r>
            <w:r w:rsidRPr="00D36328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nd</w:t>
            </w:r>
            <w:r w:rsidR="00C3625B" w:rsidRPr="00D36328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ë</w:t>
            </w:r>
            <w:r w:rsidRPr="00D36328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sia e aksioneve; Tregtimi me ak</w:t>
            </w:r>
            <w:r w:rsidRPr="00D36328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Pr="00D36328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ione</w:t>
            </w:r>
            <w:r w:rsidR="00AF32BA" w:rsidRPr="00D36328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dhe indeksi i aksioneve</w:t>
            </w:r>
            <w:r w:rsidRPr="00D36328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>;</w:t>
            </w:r>
            <w:r w:rsidR="00AF32BA" w:rsidRPr="00D36328"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  <w:t xml:space="preserve"> </w:t>
            </w:r>
            <w:r w:rsidRPr="00D36328">
              <w:rPr>
                <w:rFonts w:asciiTheme="minorHAnsi" w:hAnsiTheme="minorHAnsi" w:cstheme="minorHAnsi"/>
                <w:bCs/>
                <w:sz w:val="22"/>
                <w:szCs w:val="22"/>
              </w:rPr>
              <w:t>Instrumentet e kapitalit aksionar; Aksionet e zakonshme dhe preferuara</w:t>
            </w:r>
            <w:r w:rsidR="00AF32BA" w:rsidRPr="00D363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Tregu devizor – valuator-valutat e huaja; </w:t>
            </w:r>
          </w:p>
        </w:tc>
      </w:tr>
      <w:tr w:rsidR="00EB2839" w:rsidRPr="00777D28" w:rsidTr="00D67209">
        <w:tc>
          <w:tcPr>
            <w:tcW w:w="2718" w:type="dxa"/>
          </w:tcPr>
          <w:p w:rsidR="00EB2839" w:rsidRPr="00777D28" w:rsidRDefault="00EB2839" w:rsidP="00EB28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njëmbedhjetë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EB2839" w:rsidRPr="00D36328" w:rsidRDefault="008D6FDC" w:rsidP="00C3625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 w:rsidRPr="00D36328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Nocioni dhe r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ë</w:t>
            </w:r>
            <w:r w:rsidRPr="00D36328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nd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ë</w:t>
            </w:r>
            <w:r w:rsidRPr="00D36328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sia e Derivateve-Kontratave financiare; Llojet e derivative financiare; P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ë</w:t>
            </w:r>
            <w:r w:rsidRPr="00D36328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rpar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ë</w:t>
            </w:r>
            <w:r w:rsidRPr="00D36328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sit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ë</w:t>
            </w:r>
            <w:r w:rsidRPr="00D36328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dhe t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ë</w:t>
            </w:r>
            <w:r w:rsidRPr="00D36328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 mang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ë</w:t>
            </w:r>
            <w:r w:rsidRPr="00D36328"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sit e derivative; Kontratat fjuçers dhe kontratat opsion; Kontratat fjuçers të mallrave; Kontratat financiare fjuçers; </w:t>
            </w:r>
          </w:p>
        </w:tc>
      </w:tr>
      <w:tr w:rsidR="00EB2839" w:rsidRPr="00777D28" w:rsidTr="00D67209">
        <w:tc>
          <w:tcPr>
            <w:tcW w:w="2718" w:type="dxa"/>
          </w:tcPr>
          <w:p w:rsidR="00EB2839" w:rsidRPr="00777D28" w:rsidRDefault="00EB2839" w:rsidP="00EB28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dymbëdhjetë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EB2839" w:rsidRPr="00D36328" w:rsidRDefault="008D6FDC" w:rsidP="00D363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 xml:space="preserve">Indekset më të njohura të tregut, nga të cilat derivohen fjuçersat; Dallimet në mes forvardëve dhe fjuçersave; Karakteristikat e </w:t>
            </w:r>
            <w:r w:rsidRPr="00D36328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Fjuçersa</w:t>
            </w: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>ve; Karakteristikat e opcioneve;</w:t>
            </w:r>
            <w:r w:rsidR="00D363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 xml:space="preserve">Karakteristikat e Hexhingut; </w:t>
            </w:r>
          </w:p>
        </w:tc>
      </w:tr>
      <w:tr w:rsidR="00EB2839" w:rsidRPr="00777D28" w:rsidTr="00D67209">
        <w:tc>
          <w:tcPr>
            <w:tcW w:w="2718" w:type="dxa"/>
          </w:tcPr>
          <w:p w:rsidR="00EB2839" w:rsidRPr="00777D28" w:rsidRDefault="00EB2839" w:rsidP="00EB28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trembëdhjetë</w:t>
            </w:r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EB2839" w:rsidRPr="00D36328" w:rsidRDefault="008D6FDC" w:rsidP="00C3625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>Nocioni dhe r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>nd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</w:rPr>
              <w:t>ë</w:t>
            </w: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 xml:space="preserve">sia e obligacioneve; Llojet e obligacioneve; </w:t>
            </w:r>
            <w:r w:rsidRPr="00D36328">
              <w:rPr>
                <w:rFonts w:asciiTheme="minorHAnsi" w:hAnsiTheme="minorHAnsi" w:cstheme="minorHAnsi"/>
                <w:bCs/>
                <w:sz w:val="22"/>
                <w:szCs w:val="22"/>
              </w:rPr>
              <w:t>Reitingu i obligacioneve; Globalizimi dhe modernizimi i tregjeve financiare; Inovacionet financiare; Sekuritizimi.</w:t>
            </w:r>
          </w:p>
        </w:tc>
      </w:tr>
      <w:tr w:rsidR="00EB2839" w:rsidRPr="00777D28" w:rsidTr="00D67209">
        <w:tc>
          <w:tcPr>
            <w:tcW w:w="2718" w:type="dxa"/>
          </w:tcPr>
          <w:p w:rsidR="00EB2839" w:rsidRPr="00777D28" w:rsidRDefault="00EB2839" w:rsidP="00EB28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katërmbëdhjetë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EB2839" w:rsidRPr="00D36328" w:rsidRDefault="008D6FDC" w:rsidP="00C3625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6328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Masat dhe legjislacioni antimonopolistik 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në sektorin financiar; 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egjislacioni antimonopolistik; 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egjislacioni antimonopolistik</w:t>
            </w:r>
            <w:r w:rsidR="00C3625B" w:rsidRPr="00D36328">
              <w:rPr>
                <w:rFonts w:asciiTheme="minorHAnsi" w:hAnsiTheme="minorHAnsi" w:cstheme="minorHAnsi"/>
                <w:sz w:val="22"/>
                <w:szCs w:val="22"/>
              </w:rPr>
              <w:t xml:space="preserve"> në BE dhe SHBA; Arsyet e paraqitjës së krizave financiare dhe instrumentet që më së shpeshti përdoren për tejkalimin e këtyre krizave.</w:t>
            </w:r>
          </w:p>
        </w:tc>
      </w:tr>
      <w:tr w:rsidR="00EB2839" w:rsidRPr="00777D28" w:rsidTr="00D67209">
        <w:tc>
          <w:tcPr>
            <w:tcW w:w="2718" w:type="dxa"/>
          </w:tcPr>
          <w:p w:rsidR="00EB2839" w:rsidRPr="00777D28" w:rsidRDefault="00EB2839" w:rsidP="00EB28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pesëmbëdhjetë</w:t>
            </w:r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EB2839" w:rsidRPr="00D36328" w:rsidRDefault="00C3625B" w:rsidP="00D363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 xml:space="preserve">Zhvillimi </w:t>
            </w:r>
            <w:r w:rsidR="00D3632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 xml:space="preserve"> sektorit financiar në Republikën e Kosovës, sukseset dhe problemet me të cilat ndeshet; Sektori Bankar, Sektori </w:t>
            </w:r>
            <w:r w:rsidR="00D3632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 xml:space="preserve"> sigurimeve; Sektori mikrofinanciar; Sektori pensional; Fondi Kosovar për Garanci Kreditore; Legjislacioni </w:t>
            </w:r>
            <w:r w:rsidR="00D36328">
              <w:rPr>
                <w:rFonts w:asciiTheme="minorHAnsi" w:hAnsiTheme="minorHAnsi" w:cstheme="minorHAnsi"/>
                <w:sz w:val="22"/>
                <w:szCs w:val="22"/>
              </w:rPr>
              <w:t xml:space="preserve">actual </w:t>
            </w:r>
            <w:r w:rsidRPr="00D36328">
              <w:rPr>
                <w:rFonts w:asciiTheme="minorHAnsi" w:hAnsiTheme="minorHAnsi" w:cstheme="minorHAnsi"/>
                <w:sz w:val="22"/>
                <w:szCs w:val="22"/>
              </w:rPr>
              <w:t>që rregullonë sektorin Financiar; Banka Qendrore e Kosovës.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CF116F" w:rsidRPr="00777D28" w:rsidTr="00CD6E12">
        <w:tc>
          <w:tcPr>
            <w:tcW w:w="8856" w:type="dxa"/>
            <w:shd w:val="clear" w:color="auto" w:fill="D9D9D9"/>
          </w:tcPr>
          <w:p w:rsidR="00CF116F" w:rsidRPr="00777D28" w:rsidRDefault="00CF116F" w:rsidP="007E6202">
            <w:pPr>
              <w:jc w:val="center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CF116F" w:rsidRPr="00777D28" w:rsidTr="007E6202">
        <w:trPr>
          <w:trHeight w:val="1088"/>
        </w:trPr>
        <w:tc>
          <w:tcPr>
            <w:tcW w:w="8856" w:type="dxa"/>
          </w:tcPr>
          <w:p w:rsidR="009A144B" w:rsidRPr="00400820" w:rsidRDefault="009A144B" w:rsidP="009A144B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400820">
              <w:rPr>
                <w:rFonts w:ascii="Calibri" w:hAnsi="Calibri"/>
                <w:b/>
                <w:i/>
                <w:sz w:val="22"/>
                <w:szCs w:val="22"/>
              </w:rPr>
              <w:t>Sjelljet e poshtëshënuara janë në kundërshtim me politikat akademike dhe rregullat e mirësjelljes:</w:t>
            </w:r>
          </w:p>
          <w:p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  <w:t>Vonesa në ligjerata dhe ushtrime;</w:t>
            </w:r>
          </w:p>
          <w:p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  <w:t>Lëshimi i sallës gjatë ligjeratave ose ushtrimeve (pa arsyeje të nevojshme);</w:t>
            </w:r>
          </w:p>
          <w:p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  <w:t>Tregimi i shenjave të qarta të mosinteresimit dhe të folurit të pandërprerë ose formave tjera të sjelljes që pengojnë procesin e rregullt të mësimit;</w:t>
            </w:r>
          </w:p>
          <w:p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  <w:t>Mbajtja e telefonit celular të hapur gjatë ligjeratave ose ushtrimeve, do të rezultojnë me humbje të pikëve për shkak të sjelljes joprofesionale.</w:t>
            </w:r>
          </w:p>
          <w:p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10"/>
                <w:szCs w:val="10"/>
              </w:rPr>
            </w:pPr>
          </w:p>
          <w:p w:rsidR="009A144B" w:rsidRPr="009A144B" w:rsidRDefault="009A144B" w:rsidP="009A144B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b/>
                <w:i/>
                <w:sz w:val="22"/>
                <w:szCs w:val="22"/>
              </w:rPr>
              <w:t>Shkelja e integritetit akademik përfshin një ose më shumë nga veprimet në vijim:</w:t>
            </w:r>
          </w:p>
          <w:p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  <w:t>Kopjimi gjatë provimit ose testit;</w:t>
            </w:r>
          </w:p>
          <w:p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  <w:t>Shfrytëzimi i shenimeve ose librave të palejuara gjatë testit ose provimit;</w:t>
            </w:r>
          </w:p>
          <w:p w:rsidR="009A144B" w:rsidRPr="009A144B" w:rsidRDefault="009A144B" w:rsidP="009A144B">
            <w:pPr>
              <w:ind w:left="567" w:hanging="283"/>
              <w:rPr>
                <w:rFonts w:ascii="Calibri" w:hAnsi="Calibri"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  <w:t>Shkëmbimi i informatave me një student tjetër gjatë provimit;</w:t>
            </w:r>
          </w:p>
          <w:p w:rsidR="006F116D" w:rsidRPr="009A144B" w:rsidRDefault="009A144B" w:rsidP="009A144B">
            <w:pPr>
              <w:ind w:left="567" w:hanging="283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9A144B">
              <w:rPr>
                <w:rFonts w:ascii="Calibri" w:hAnsi="Calibri"/>
                <w:i/>
                <w:sz w:val="22"/>
                <w:szCs w:val="22"/>
              </w:rPr>
              <w:t>•</w:t>
            </w:r>
            <w:r w:rsidRPr="009A144B">
              <w:rPr>
                <w:rFonts w:ascii="Calibri" w:hAnsi="Calibri"/>
                <w:i/>
                <w:sz w:val="22"/>
                <w:szCs w:val="22"/>
              </w:rPr>
              <w:tab/>
              <w:t>Dhënja e deklaratave të rrejshme për të arsyetuar dikë nga mësimi, ushtrimi apo provimi.</w:t>
            </w:r>
          </w:p>
        </w:tc>
      </w:tr>
    </w:tbl>
    <w:p w:rsidR="00CF116F" w:rsidRPr="00CF116F" w:rsidRDefault="00CF116F">
      <w:pPr>
        <w:rPr>
          <w:rFonts w:ascii="Calibri" w:hAnsi="Calibri"/>
          <w:b/>
          <w:sz w:val="28"/>
          <w:szCs w:val="28"/>
        </w:rPr>
      </w:pPr>
    </w:p>
    <w:p w:rsidR="00DA03C2" w:rsidRPr="00CF116F" w:rsidRDefault="00DA03C2" w:rsidP="00DA03C2">
      <w:pPr>
        <w:pStyle w:val="Default"/>
        <w:rPr>
          <w:rFonts w:ascii="Calibri" w:hAnsi="Calibri"/>
          <w:b/>
          <w:sz w:val="28"/>
          <w:szCs w:val="28"/>
        </w:rPr>
      </w:pPr>
    </w:p>
    <w:sectPr w:rsidR="00DA03C2" w:rsidRPr="00CF116F" w:rsidSect="00252736"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A8C" w:rsidRDefault="00B75A8C">
      <w:r>
        <w:separator/>
      </w:r>
    </w:p>
  </w:endnote>
  <w:endnote w:type="continuationSeparator" w:id="0">
    <w:p w:rsidR="00B75A8C" w:rsidRDefault="00B75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182C6C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182C6C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3034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A8C" w:rsidRDefault="00B75A8C">
      <w:r>
        <w:separator/>
      </w:r>
    </w:p>
  </w:footnote>
  <w:footnote w:type="continuationSeparator" w:id="0">
    <w:p w:rsidR="00B75A8C" w:rsidRDefault="00B75A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2E5"/>
    <w:multiLevelType w:val="hybridMultilevel"/>
    <w:tmpl w:val="8D56B6F2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0DF403E4"/>
    <w:multiLevelType w:val="hybridMultilevel"/>
    <w:tmpl w:val="ED243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332CA"/>
    <w:multiLevelType w:val="hybridMultilevel"/>
    <w:tmpl w:val="AABEEB94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">
    <w:nsid w:val="43CD63F5"/>
    <w:multiLevelType w:val="hybridMultilevel"/>
    <w:tmpl w:val="61266C56"/>
    <w:lvl w:ilvl="0" w:tplc="9350CF5E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A6453"/>
    <w:multiLevelType w:val="hybridMultilevel"/>
    <w:tmpl w:val="396A0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36B85"/>
    <w:multiLevelType w:val="hybridMultilevel"/>
    <w:tmpl w:val="32DEB4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C3527"/>
    <w:multiLevelType w:val="hybridMultilevel"/>
    <w:tmpl w:val="7D9AE0DE"/>
    <w:lvl w:ilvl="0" w:tplc="9070985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85202A"/>
    <w:multiLevelType w:val="hybridMultilevel"/>
    <w:tmpl w:val="6110178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CCA"/>
    <w:rsid w:val="00000A0B"/>
    <w:rsid w:val="00004B39"/>
    <w:rsid w:val="00012981"/>
    <w:rsid w:val="00031020"/>
    <w:rsid w:val="0004155C"/>
    <w:rsid w:val="00043592"/>
    <w:rsid w:val="000456DE"/>
    <w:rsid w:val="00060E9F"/>
    <w:rsid w:val="000670A0"/>
    <w:rsid w:val="00067DE6"/>
    <w:rsid w:val="000947C2"/>
    <w:rsid w:val="000A46AC"/>
    <w:rsid w:val="000A5373"/>
    <w:rsid w:val="000E0EA4"/>
    <w:rsid w:val="000E3203"/>
    <w:rsid w:val="000F55C6"/>
    <w:rsid w:val="00102557"/>
    <w:rsid w:val="00102CD9"/>
    <w:rsid w:val="00105B75"/>
    <w:rsid w:val="00105C2D"/>
    <w:rsid w:val="00132604"/>
    <w:rsid w:val="00133A7C"/>
    <w:rsid w:val="00180EEF"/>
    <w:rsid w:val="00182C6C"/>
    <w:rsid w:val="00183923"/>
    <w:rsid w:val="001B1477"/>
    <w:rsid w:val="001F3922"/>
    <w:rsid w:val="0021580C"/>
    <w:rsid w:val="002177ED"/>
    <w:rsid w:val="00224C28"/>
    <w:rsid w:val="002466FE"/>
    <w:rsid w:val="00252736"/>
    <w:rsid w:val="002610A3"/>
    <w:rsid w:val="002750A3"/>
    <w:rsid w:val="0028000E"/>
    <w:rsid w:val="002805B2"/>
    <w:rsid w:val="002A3691"/>
    <w:rsid w:val="002B534D"/>
    <w:rsid w:val="002C00FA"/>
    <w:rsid w:val="002D3069"/>
    <w:rsid w:val="0030354C"/>
    <w:rsid w:val="00332C59"/>
    <w:rsid w:val="00335933"/>
    <w:rsid w:val="00356DC6"/>
    <w:rsid w:val="00381B41"/>
    <w:rsid w:val="003B625C"/>
    <w:rsid w:val="003C195A"/>
    <w:rsid w:val="003D7376"/>
    <w:rsid w:val="003E3193"/>
    <w:rsid w:val="003E329D"/>
    <w:rsid w:val="003F691E"/>
    <w:rsid w:val="00400820"/>
    <w:rsid w:val="004071F4"/>
    <w:rsid w:val="00445954"/>
    <w:rsid w:val="00445997"/>
    <w:rsid w:val="0045417A"/>
    <w:rsid w:val="004718DA"/>
    <w:rsid w:val="0049754C"/>
    <w:rsid w:val="004C0CCA"/>
    <w:rsid w:val="00521C98"/>
    <w:rsid w:val="00532446"/>
    <w:rsid w:val="00536CA6"/>
    <w:rsid w:val="005804E4"/>
    <w:rsid w:val="00591EEF"/>
    <w:rsid w:val="005D3556"/>
    <w:rsid w:val="00603DD2"/>
    <w:rsid w:val="00616074"/>
    <w:rsid w:val="00643751"/>
    <w:rsid w:val="00654484"/>
    <w:rsid w:val="006607C8"/>
    <w:rsid w:val="00673962"/>
    <w:rsid w:val="00691BD2"/>
    <w:rsid w:val="006D7FB4"/>
    <w:rsid w:val="006E132B"/>
    <w:rsid w:val="006F116D"/>
    <w:rsid w:val="006F1DDB"/>
    <w:rsid w:val="007038CC"/>
    <w:rsid w:val="00746D8D"/>
    <w:rsid w:val="00756789"/>
    <w:rsid w:val="00764ADB"/>
    <w:rsid w:val="0077169C"/>
    <w:rsid w:val="00777D28"/>
    <w:rsid w:val="00781805"/>
    <w:rsid w:val="007914DC"/>
    <w:rsid w:val="00792D20"/>
    <w:rsid w:val="007A7791"/>
    <w:rsid w:val="007B1510"/>
    <w:rsid w:val="007B68A2"/>
    <w:rsid w:val="007C3132"/>
    <w:rsid w:val="007E6202"/>
    <w:rsid w:val="007F46C5"/>
    <w:rsid w:val="00802B81"/>
    <w:rsid w:val="00806F78"/>
    <w:rsid w:val="00846160"/>
    <w:rsid w:val="00857A8D"/>
    <w:rsid w:val="00861E6D"/>
    <w:rsid w:val="008674A0"/>
    <w:rsid w:val="008A439B"/>
    <w:rsid w:val="008A716D"/>
    <w:rsid w:val="008B43FD"/>
    <w:rsid w:val="008C0C69"/>
    <w:rsid w:val="008C0D14"/>
    <w:rsid w:val="008C1FEF"/>
    <w:rsid w:val="008D0608"/>
    <w:rsid w:val="008D6FDC"/>
    <w:rsid w:val="008E036B"/>
    <w:rsid w:val="008F18A9"/>
    <w:rsid w:val="008F746A"/>
    <w:rsid w:val="00903474"/>
    <w:rsid w:val="00911A4F"/>
    <w:rsid w:val="0092249F"/>
    <w:rsid w:val="00926032"/>
    <w:rsid w:val="009333F3"/>
    <w:rsid w:val="00965D67"/>
    <w:rsid w:val="00995F87"/>
    <w:rsid w:val="009A144B"/>
    <w:rsid w:val="009A1B9A"/>
    <w:rsid w:val="009B3F0A"/>
    <w:rsid w:val="009C760F"/>
    <w:rsid w:val="009E2AF8"/>
    <w:rsid w:val="00A13305"/>
    <w:rsid w:val="00A16BFE"/>
    <w:rsid w:val="00A509D9"/>
    <w:rsid w:val="00A51945"/>
    <w:rsid w:val="00A545BA"/>
    <w:rsid w:val="00A55804"/>
    <w:rsid w:val="00A62102"/>
    <w:rsid w:val="00A660C0"/>
    <w:rsid w:val="00A662A0"/>
    <w:rsid w:val="00A8493F"/>
    <w:rsid w:val="00A970E8"/>
    <w:rsid w:val="00AA2C57"/>
    <w:rsid w:val="00AA3C2B"/>
    <w:rsid w:val="00AC08ED"/>
    <w:rsid w:val="00AD0179"/>
    <w:rsid w:val="00AF32BA"/>
    <w:rsid w:val="00B15A32"/>
    <w:rsid w:val="00B35215"/>
    <w:rsid w:val="00B41687"/>
    <w:rsid w:val="00B55430"/>
    <w:rsid w:val="00B75A8C"/>
    <w:rsid w:val="00B815D1"/>
    <w:rsid w:val="00BA6E9C"/>
    <w:rsid w:val="00BB1A1A"/>
    <w:rsid w:val="00BD7290"/>
    <w:rsid w:val="00C03413"/>
    <w:rsid w:val="00C0381F"/>
    <w:rsid w:val="00C13F12"/>
    <w:rsid w:val="00C3625B"/>
    <w:rsid w:val="00C6155B"/>
    <w:rsid w:val="00CD6E12"/>
    <w:rsid w:val="00CF116F"/>
    <w:rsid w:val="00D10BC6"/>
    <w:rsid w:val="00D32D9F"/>
    <w:rsid w:val="00D3610E"/>
    <w:rsid w:val="00D36328"/>
    <w:rsid w:val="00D3775C"/>
    <w:rsid w:val="00D56A3D"/>
    <w:rsid w:val="00D62643"/>
    <w:rsid w:val="00D65271"/>
    <w:rsid w:val="00D67209"/>
    <w:rsid w:val="00D80699"/>
    <w:rsid w:val="00DA03C2"/>
    <w:rsid w:val="00DA1368"/>
    <w:rsid w:val="00DA3034"/>
    <w:rsid w:val="00DB2823"/>
    <w:rsid w:val="00DF6543"/>
    <w:rsid w:val="00E64FDE"/>
    <w:rsid w:val="00E8153B"/>
    <w:rsid w:val="00E866BC"/>
    <w:rsid w:val="00EA09C9"/>
    <w:rsid w:val="00EA7DBE"/>
    <w:rsid w:val="00EB024C"/>
    <w:rsid w:val="00EB2839"/>
    <w:rsid w:val="00EE2485"/>
    <w:rsid w:val="00EF57F9"/>
    <w:rsid w:val="00EF7329"/>
    <w:rsid w:val="00F04222"/>
    <w:rsid w:val="00F309DE"/>
    <w:rsid w:val="00F34158"/>
    <w:rsid w:val="00F47480"/>
    <w:rsid w:val="00F5660C"/>
    <w:rsid w:val="00F64FE6"/>
    <w:rsid w:val="00FB050B"/>
    <w:rsid w:val="00FC340B"/>
    <w:rsid w:val="00FD423C"/>
    <w:rsid w:val="00FE2028"/>
    <w:rsid w:val="00FE43C2"/>
    <w:rsid w:val="00FF739F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73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3751"/>
    <w:pPr>
      <w:keepNext/>
      <w:jc w:val="center"/>
      <w:outlineLvl w:val="0"/>
    </w:pPr>
    <w:rPr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1F392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18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1A4F"/>
    <w:pPr>
      <w:ind w:left="720"/>
      <w:contextualSpacing/>
    </w:pPr>
  </w:style>
  <w:style w:type="paragraph" w:customStyle="1" w:styleId="Default">
    <w:name w:val="Default"/>
    <w:rsid w:val="00DA03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C1FEF"/>
    <w:rPr>
      <w:rFonts w:ascii="Tahoma" w:hAnsi="Tahoma" w:cs="Tahoma"/>
      <w:color w:val="000000"/>
      <w:sz w:val="16"/>
      <w:szCs w:val="16"/>
      <w:lang w:val="sq-AL" w:eastAsia="de-DE"/>
    </w:rPr>
  </w:style>
  <w:style w:type="character" w:customStyle="1" w:styleId="BalloonTextChar">
    <w:name w:val="Balloon Text Char"/>
    <w:basedOn w:val="DefaultParagraphFont"/>
    <w:link w:val="BalloonText"/>
    <w:rsid w:val="008C1FEF"/>
    <w:rPr>
      <w:rFonts w:ascii="Tahoma" w:hAnsi="Tahoma" w:cs="Tahoma"/>
      <w:color w:val="000000"/>
      <w:sz w:val="16"/>
      <w:szCs w:val="16"/>
      <w:lang w:val="sq-AL" w:eastAsia="de-DE"/>
    </w:rPr>
  </w:style>
  <w:style w:type="character" w:customStyle="1" w:styleId="Heading1Char">
    <w:name w:val="Heading 1 Char"/>
    <w:basedOn w:val="DefaultParagraphFont"/>
    <w:link w:val="Heading1"/>
    <w:rsid w:val="00643751"/>
    <w:rPr>
      <w:sz w:val="32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5D355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David-S.-Kidwell/e/B001H6V5DM/ref=ntt_athr_dp_pel_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jdi.bektashi@uni-pr.edu" TargetMode="External"/><Relationship Id="rId12" Type="http://schemas.openxmlformats.org/officeDocument/2006/relationships/hyperlink" Target="http://www.quicken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mazon.com/s/ref=ntt_athr_dp_sr_4?_encoding=UTF8&amp;sort=relevancerank&amp;search-alias=books&amp;field-author=Richard%20L.%20Peters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mazon.com/s/ref=ntt_athr_dp_sr_3?_encoding=UTF8&amp;sort=relevancerank&amp;search-alias=books&amp;field-author=David%20A.%20Whidb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azon.com/s/ref=ntt_athr_dp_sr_2?_encoding=UTF8&amp;sort=relevancerank&amp;search-alias=books&amp;field-author=David%20W.%20Blackwel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13261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Mejdi</cp:lastModifiedBy>
  <cp:revision>17</cp:revision>
  <cp:lastPrinted>2011-03-07T08:39:00Z</cp:lastPrinted>
  <dcterms:created xsi:type="dcterms:W3CDTF">2022-08-24T09:38:00Z</dcterms:created>
  <dcterms:modified xsi:type="dcterms:W3CDTF">2023-11-08T12:09:00Z</dcterms:modified>
</cp:coreProperties>
</file>