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BA5D" w14:textId="063A516E" w:rsidR="0082447D" w:rsidRPr="00455BB7" w:rsidRDefault="0082447D" w:rsidP="0082447D">
      <w:pPr>
        <w:rPr>
          <w:rFonts w:cstheme="minorHAnsi"/>
          <w:b/>
          <w:sz w:val="28"/>
          <w:szCs w:val="28"/>
        </w:rPr>
      </w:pPr>
      <w:r w:rsidRPr="00455BB7">
        <w:rPr>
          <w:b/>
          <w:sz w:val="28"/>
          <w:szCs w:val="28"/>
        </w:rPr>
        <w:t>Course title:</w:t>
      </w:r>
      <w:r w:rsidR="00EE5774" w:rsidRPr="00455BB7">
        <w:rPr>
          <w:b/>
          <w:sz w:val="28"/>
          <w:szCs w:val="28"/>
        </w:rPr>
        <w:t xml:space="preserve"> </w:t>
      </w:r>
      <w:r w:rsidR="00EE5774" w:rsidRPr="00455BB7">
        <w:rPr>
          <w:rFonts w:cstheme="minorHAnsi"/>
          <w:b/>
          <w:sz w:val="28"/>
          <w:szCs w:val="28"/>
        </w:rPr>
        <w:t xml:space="preserve">Flood </w:t>
      </w:r>
      <w:r w:rsidR="00073DCA" w:rsidRPr="00455BB7">
        <w:rPr>
          <w:rFonts w:cstheme="minorHAnsi"/>
          <w:b/>
          <w:sz w:val="28"/>
          <w:szCs w:val="28"/>
        </w:rPr>
        <w:t xml:space="preserve">and </w:t>
      </w:r>
      <w:r w:rsidR="00073DCA" w:rsidRPr="00455BB7">
        <w:rPr>
          <w:rFonts w:cstheme="minorHAnsi"/>
          <w:b/>
          <w:sz w:val="28"/>
          <w:szCs w:val="28"/>
          <w:lang w:val="en-AU"/>
        </w:rPr>
        <w:t>Drought</w:t>
      </w:r>
      <w:r w:rsidR="00073DCA" w:rsidRPr="00455BB7">
        <w:rPr>
          <w:rFonts w:cstheme="minorHAnsi"/>
          <w:b/>
          <w:sz w:val="28"/>
          <w:szCs w:val="28"/>
        </w:rPr>
        <w:t xml:space="preserve"> Management</w:t>
      </w:r>
    </w:p>
    <w:tbl>
      <w:tblPr>
        <w:tblW w:w="14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  <w:gridCol w:w="2044"/>
        <w:gridCol w:w="2044"/>
        <w:gridCol w:w="2044"/>
      </w:tblGrid>
      <w:tr w:rsidR="0082447D" w:rsidRPr="00237B21" w14:paraId="010EED7B" w14:textId="77777777" w:rsidTr="00F669F5">
        <w:trPr>
          <w:gridAfter w:val="3"/>
          <w:wAfter w:w="6132" w:type="dxa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3AB6358" w14:textId="77777777" w:rsidR="0082447D" w:rsidRPr="00237B21" w:rsidRDefault="0082447D" w:rsidP="001E3C40">
            <w:pPr>
              <w:pStyle w:val="NoSpacing"/>
              <w:rPr>
                <w:rFonts w:asciiTheme="minorHAnsi" w:hAnsiTheme="minorHAnsi"/>
                <w:b/>
              </w:rPr>
            </w:pPr>
            <w:r w:rsidRPr="00237B21">
              <w:rPr>
                <w:rFonts w:asciiTheme="minorHAnsi" w:hAnsiTheme="minorHAnsi"/>
                <w:b/>
              </w:rPr>
              <w:t>Course Basic Information</w:t>
            </w:r>
          </w:p>
        </w:tc>
      </w:tr>
      <w:tr w:rsidR="00EE5774" w:rsidRPr="00455BB7" w14:paraId="1FCE2ED5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383D" w14:textId="77777777" w:rsidR="00EE5774" w:rsidRPr="00455BB7" w:rsidRDefault="00EE5774" w:rsidP="001E3C40">
            <w:pPr>
              <w:pStyle w:val="NoSpacing"/>
              <w:rPr>
                <w:b/>
              </w:rPr>
            </w:pPr>
            <w:r w:rsidRPr="00455BB7">
              <w:rPr>
                <w:b/>
              </w:rPr>
              <w:t xml:space="preserve">Academic Unit: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4A9D" w14:textId="77777777" w:rsidR="00EE5774" w:rsidRPr="00455BB7" w:rsidRDefault="00EE5774" w:rsidP="00F16566">
            <w:pPr>
              <w:pStyle w:val="NoSpacing"/>
            </w:pPr>
            <w:r w:rsidRPr="00455BB7">
              <w:t xml:space="preserve">Faculty of Civil Engineering </w:t>
            </w:r>
          </w:p>
        </w:tc>
      </w:tr>
      <w:tr w:rsidR="00EE5774" w:rsidRPr="00455BB7" w14:paraId="4EB286CA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6F9B" w14:textId="77777777" w:rsidR="00EE5774" w:rsidRPr="00455BB7" w:rsidRDefault="00EE5774" w:rsidP="001E3C40">
            <w:pPr>
              <w:pStyle w:val="NoSpacing"/>
              <w:rPr>
                <w:b/>
              </w:rPr>
            </w:pPr>
            <w:r w:rsidRPr="00455BB7">
              <w:rPr>
                <w:b/>
              </w:rPr>
              <w:t>Course title: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5910" w14:textId="11D213D5" w:rsidR="00EE5774" w:rsidRPr="00455BB7" w:rsidRDefault="00EE5774" w:rsidP="00AB26AD">
            <w:pPr>
              <w:pStyle w:val="NoSpacing"/>
            </w:pPr>
            <w:r w:rsidRPr="00455BB7">
              <w:t xml:space="preserve">Flood </w:t>
            </w:r>
            <w:r w:rsidR="00F1399D" w:rsidRPr="00455BB7">
              <w:t>and Drought Management</w:t>
            </w:r>
          </w:p>
        </w:tc>
      </w:tr>
      <w:tr w:rsidR="00EE5774" w:rsidRPr="00455BB7" w14:paraId="5B4BA559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D444" w14:textId="77777777" w:rsidR="00EE5774" w:rsidRPr="00455BB7" w:rsidRDefault="00EE5774" w:rsidP="001E3C40">
            <w:pPr>
              <w:pStyle w:val="NoSpacing"/>
              <w:rPr>
                <w:b/>
              </w:rPr>
            </w:pPr>
            <w:r w:rsidRPr="00455BB7">
              <w:rPr>
                <w:b/>
              </w:rPr>
              <w:t>Level: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0938" w14:textId="76290E5D" w:rsidR="00EE5774" w:rsidRPr="00455BB7" w:rsidRDefault="00F1399D" w:rsidP="00AB26AD">
            <w:pPr>
              <w:pStyle w:val="NoSpacing"/>
            </w:pPr>
            <w:r w:rsidRPr="00455BB7">
              <w:t>Master</w:t>
            </w:r>
          </w:p>
        </w:tc>
      </w:tr>
      <w:tr w:rsidR="00EE5774" w:rsidRPr="00455BB7" w14:paraId="3F15C9DF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38DA" w14:textId="77777777" w:rsidR="00EE5774" w:rsidRPr="00455BB7" w:rsidRDefault="00EE5774" w:rsidP="001E3C40">
            <w:pPr>
              <w:pStyle w:val="NoSpacing"/>
              <w:rPr>
                <w:b/>
              </w:rPr>
            </w:pPr>
            <w:r w:rsidRPr="00455BB7">
              <w:rPr>
                <w:b/>
              </w:rPr>
              <w:t>Course Status: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BDC9" w14:textId="20AE9B87" w:rsidR="00EE5774" w:rsidRPr="00455BB7" w:rsidRDefault="00F1399D" w:rsidP="00AB26AD">
            <w:pPr>
              <w:pStyle w:val="NoSpacing"/>
            </w:pPr>
            <w:r w:rsidRPr="00455BB7">
              <w:t>M</w:t>
            </w:r>
            <w:r w:rsidR="00660F6E">
              <w:t>andatory</w:t>
            </w:r>
          </w:p>
        </w:tc>
      </w:tr>
      <w:tr w:rsidR="00EE5774" w:rsidRPr="00455BB7" w14:paraId="65E6432A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4F3F" w14:textId="77777777" w:rsidR="00EE5774" w:rsidRPr="00455BB7" w:rsidRDefault="00EE5774" w:rsidP="001E3C40">
            <w:pPr>
              <w:pStyle w:val="NoSpacing"/>
              <w:rPr>
                <w:b/>
              </w:rPr>
            </w:pPr>
            <w:r w:rsidRPr="00455BB7">
              <w:rPr>
                <w:b/>
              </w:rPr>
              <w:t>Year of Study: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F88E" w14:textId="010EF2C1" w:rsidR="00EE5774" w:rsidRPr="00455BB7" w:rsidRDefault="004E6072" w:rsidP="00AB26AD">
            <w:pPr>
              <w:pStyle w:val="NoSpacing"/>
            </w:pPr>
            <w:r w:rsidRPr="00455BB7">
              <w:t>I</w:t>
            </w:r>
            <w:r w:rsidR="00F1399D" w:rsidRPr="00455BB7">
              <w:t xml:space="preserve"> </w:t>
            </w:r>
            <w:r w:rsidR="00414EAC" w:rsidRPr="00455BB7">
              <w:t>year</w:t>
            </w:r>
            <w:r w:rsidRPr="00455BB7">
              <w:t xml:space="preserve">, </w:t>
            </w:r>
            <w:r w:rsidR="00F1399D" w:rsidRPr="00455BB7">
              <w:t>II</w:t>
            </w:r>
            <w:r w:rsidR="00EE5774" w:rsidRPr="00455BB7">
              <w:t xml:space="preserve"> semester</w:t>
            </w:r>
          </w:p>
        </w:tc>
      </w:tr>
      <w:tr w:rsidR="00EE5774" w:rsidRPr="00455BB7" w14:paraId="3C67A6FB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8B88" w14:textId="77777777" w:rsidR="00EE5774" w:rsidRPr="00455BB7" w:rsidRDefault="00EE5774" w:rsidP="001E3C40">
            <w:pPr>
              <w:pStyle w:val="NoSpacing"/>
              <w:rPr>
                <w:b/>
              </w:rPr>
            </w:pPr>
            <w:r w:rsidRPr="00455BB7">
              <w:rPr>
                <w:b/>
              </w:rPr>
              <w:t>Number of Classes per Week: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C21D" w14:textId="72601551" w:rsidR="00EE5774" w:rsidRPr="00455BB7" w:rsidRDefault="00EE5774" w:rsidP="00AB26AD">
            <w:pPr>
              <w:pStyle w:val="NoSpacing"/>
            </w:pPr>
            <w:r w:rsidRPr="00455BB7">
              <w:t>2+</w:t>
            </w:r>
            <w:r w:rsidR="00731520" w:rsidRPr="00455BB7">
              <w:t>0</w:t>
            </w:r>
          </w:p>
        </w:tc>
      </w:tr>
      <w:tr w:rsidR="00EE5774" w:rsidRPr="00455BB7" w14:paraId="28880AF4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B9DB" w14:textId="77777777" w:rsidR="00EE5774" w:rsidRPr="00455BB7" w:rsidRDefault="00EE5774" w:rsidP="001E3C40">
            <w:pPr>
              <w:pStyle w:val="NoSpacing"/>
              <w:rPr>
                <w:b/>
              </w:rPr>
            </w:pPr>
            <w:r w:rsidRPr="00455BB7">
              <w:rPr>
                <w:b/>
              </w:rPr>
              <w:t>ECTS Credits: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FC1F" w14:textId="77777777" w:rsidR="00EE5774" w:rsidRPr="00455BB7" w:rsidRDefault="00EE5774" w:rsidP="00AB26AD">
            <w:pPr>
              <w:pStyle w:val="NoSpacing"/>
            </w:pPr>
            <w:r w:rsidRPr="00455BB7">
              <w:t>3</w:t>
            </w:r>
          </w:p>
        </w:tc>
      </w:tr>
      <w:tr w:rsidR="00EE5774" w:rsidRPr="00455BB7" w14:paraId="415722B4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F661" w14:textId="77777777" w:rsidR="00EE5774" w:rsidRPr="00455BB7" w:rsidRDefault="00EE5774" w:rsidP="001E3C40">
            <w:pPr>
              <w:pStyle w:val="NoSpacing"/>
              <w:rPr>
                <w:b/>
              </w:rPr>
            </w:pPr>
            <w:r w:rsidRPr="00455BB7">
              <w:rPr>
                <w:b/>
              </w:rPr>
              <w:t>Time /Location: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A283" w14:textId="45C5552A" w:rsidR="00EE5774" w:rsidRPr="00455BB7" w:rsidRDefault="00EE5774" w:rsidP="00AB26AD">
            <w:pPr>
              <w:pStyle w:val="NoSpacing"/>
            </w:pPr>
          </w:p>
        </w:tc>
      </w:tr>
      <w:tr w:rsidR="00EE5774" w:rsidRPr="00455BB7" w14:paraId="3079BD7A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2630" w14:textId="77777777" w:rsidR="00EE5774" w:rsidRPr="00455BB7" w:rsidRDefault="00EE5774" w:rsidP="001E3C40">
            <w:pPr>
              <w:pStyle w:val="NoSpacing"/>
              <w:rPr>
                <w:b/>
              </w:rPr>
            </w:pPr>
            <w:r w:rsidRPr="00455BB7">
              <w:rPr>
                <w:b/>
              </w:rPr>
              <w:t>Teacher: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CE43" w14:textId="1F0D23CC" w:rsidR="00EE5774" w:rsidRPr="00455BB7" w:rsidRDefault="00942599" w:rsidP="00AB26AD">
            <w:pPr>
              <w:pStyle w:val="NoSpacing"/>
            </w:pPr>
            <w:r w:rsidRPr="00455BB7">
              <w:t xml:space="preserve">Prof. </w:t>
            </w:r>
            <w:proofErr w:type="spellStart"/>
            <w:r w:rsidRPr="00455BB7">
              <w:t>asoc</w:t>
            </w:r>
            <w:proofErr w:type="spellEnd"/>
            <w:r w:rsidRPr="00455BB7">
              <w:t xml:space="preserve">. </w:t>
            </w:r>
            <w:r w:rsidR="001F666D">
              <w:t xml:space="preserve">Dr. </w:t>
            </w:r>
            <w:r w:rsidR="00EE5774" w:rsidRPr="00455BB7">
              <w:t>Laura Kusari</w:t>
            </w:r>
          </w:p>
        </w:tc>
      </w:tr>
      <w:tr w:rsidR="00EE5774" w:rsidRPr="00455BB7" w14:paraId="0F09976C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C2B1" w14:textId="77777777" w:rsidR="00EE5774" w:rsidRPr="00455BB7" w:rsidRDefault="00EE5774" w:rsidP="001E3C40">
            <w:pPr>
              <w:pStyle w:val="NoSpacing"/>
              <w:rPr>
                <w:b/>
              </w:rPr>
            </w:pPr>
            <w:r w:rsidRPr="00455BB7">
              <w:rPr>
                <w:b/>
              </w:rPr>
              <w:t xml:space="preserve">Contact Details: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E42F" w14:textId="77777777" w:rsidR="00EE5774" w:rsidRPr="00455BB7" w:rsidRDefault="00EE5774" w:rsidP="00AB26AD">
            <w:pPr>
              <w:pStyle w:val="NoSpacing"/>
            </w:pPr>
            <w:r w:rsidRPr="00455BB7">
              <w:t xml:space="preserve">Email: </w:t>
            </w:r>
            <w:hyperlink r:id="rId5" w:history="1">
              <w:r w:rsidRPr="00455BB7">
                <w:rPr>
                  <w:rStyle w:val="Hyperlink"/>
                </w:rPr>
                <w:t>laura.kusari@uni-pr.edu</w:t>
              </w:r>
            </w:hyperlink>
          </w:p>
        </w:tc>
      </w:tr>
      <w:tr w:rsidR="00EE5774" w:rsidRPr="00455BB7" w14:paraId="4D9E9979" w14:textId="77777777" w:rsidTr="00F669F5">
        <w:trPr>
          <w:gridAfter w:val="3"/>
          <w:wAfter w:w="6132" w:type="dxa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E02D47C" w14:textId="77777777" w:rsidR="00EE5774" w:rsidRPr="00455BB7" w:rsidRDefault="00EE5774" w:rsidP="001E3C40">
            <w:pPr>
              <w:pStyle w:val="NoSpacing"/>
            </w:pPr>
          </w:p>
        </w:tc>
      </w:tr>
      <w:tr w:rsidR="00EE5774" w:rsidRPr="00455BB7" w14:paraId="30F35276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4A86" w14:textId="77777777" w:rsidR="00DE7E59" w:rsidRPr="00455BB7" w:rsidRDefault="00DE7E59" w:rsidP="001E3C40">
            <w:pPr>
              <w:pStyle w:val="NoSpacing"/>
              <w:rPr>
                <w:b/>
                <w:i/>
                <w:iCs/>
              </w:rPr>
            </w:pPr>
          </w:p>
          <w:p w14:paraId="18557DC0" w14:textId="3226EB22" w:rsidR="00EE5774" w:rsidRPr="00455BB7" w:rsidRDefault="00EE5774" w:rsidP="001E3C40">
            <w:pPr>
              <w:pStyle w:val="NoSpacing"/>
              <w:rPr>
                <w:b/>
                <w:i/>
                <w:iCs/>
              </w:rPr>
            </w:pPr>
            <w:r w:rsidRPr="00455BB7">
              <w:rPr>
                <w:b/>
                <w:i/>
                <w:iCs/>
              </w:rPr>
              <w:t>Course Description:</w:t>
            </w:r>
          </w:p>
          <w:p w14:paraId="616F7065" w14:textId="61AE3F37" w:rsidR="0063518B" w:rsidRPr="00455BB7" w:rsidRDefault="0063518B" w:rsidP="006351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58729DAF" w14:textId="68144BEA" w:rsidR="00C263EA" w:rsidRPr="00455BB7" w:rsidRDefault="00C263EA" w:rsidP="0063518B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044D" w14:textId="506A8079" w:rsidR="00C951C4" w:rsidRPr="00455BB7" w:rsidRDefault="0099692A" w:rsidP="00B07934">
            <w:pPr>
              <w:shd w:val="clear" w:color="auto" w:fill="FFFFFF"/>
              <w:spacing w:before="240"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  <w:r w:rsidR="0038460E"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 the theory of flood </w:t>
            </w:r>
            <w:r w:rsidR="00DE7E59"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and drought </w:t>
            </w: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risk management. </w:t>
            </w:r>
            <w:r w:rsidR="00DE7E59" w:rsidRPr="00455BB7">
              <w:rPr>
                <w:rFonts w:ascii="Times New Roman" w:hAnsi="Times New Roman" w:cs="Times New Roman"/>
                <w:sz w:val="24"/>
                <w:szCs w:val="24"/>
              </w:rPr>
              <w:t>Basic hydrology and river’s catchment morphology. Flood types. Flood detection systems, warning and forecasting</w:t>
            </w: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7E59" w:rsidRPr="00455BB7">
              <w:rPr>
                <w:rFonts w:ascii="Times New Roman" w:hAnsi="Times New Roman" w:cs="Times New Roman"/>
                <w:sz w:val="24"/>
                <w:szCs w:val="24"/>
              </w:rPr>
              <w:t>Flood mitigation measures, non-structural, structural measures. Flood protection in urban areas. Flood plain areas</w:t>
            </w:r>
            <w:r w:rsidR="00B07934"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 in flood protection</w:t>
            </w: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7934"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1C4"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Introduction to drought risk concept</w:t>
            </w:r>
            <w:r w:rsidR="00B07934"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d</w:t>
            </w:r>
            <w:r w:rsidR="00C951C4"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rought types classification and their impacts.  </w:t>
            </w:r>
            <w:r w:rsidR="00B07934"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Assessing and monitoring drought variability. Analyses, d</w:t>
            </w:r>
            <w:r w:rsidR="00C951C4"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rought</w:t>
            </w:r>
            <w:r w:rsidR="00B07934"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forecasting. Drought monitoring</w:t>
            </w:r>
            <w:r w:rsidR="006948C6"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and early warning.</w:t>
            </w:r>
            <w:r w:rsidR="0063518B"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Drought risk management strategies.</w:t>
            </w:r>
            <w:r w:rsidR="00B07934"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Non-structural and  structural</w:t>
            </w:r>
            <w:r w:rsidR="0063518B"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07934"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measures.</w:t>
            </w:r>
            <w:r w:rsidR="0063518B"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Drought adaption measures.</w:t>
            </w:r>
          </w:p>
          <w:p w14:paraId="245A8F7C" w14:textId="77777777" w:rsidR="00BD4D5D" w:rsidRPr="00455BB7" w:rsidRDefault="00BD4D5D" w:rsidP="0099692A">
            <w:pPr>
              <w:pStyle w:val="NormalWeb"/>
              <w:spacing w:before="0" w:beforeAutospacing="0" w:after="0" w:afterAutospacing="0" w:line="312" w:lineRule="atLeast"/>
              <w:rPr>
                <w:lang w:val="sq-AL"/>
              </w:rPr>
            </w:pPr>
          </w:p>
          <w:p w14:paraId="7831FE3D" w14:textId="77777777" w:rsidR="00EE5774" w:rsidRPr="00455BB7" w:rsidRDefault="00EE5774" w:rsidP="0082447D">
            <w:pPr>
              <w:pStyle w:val="NoSpacing"/>
              <w:spacing w:line="240" w:lineRule="exact"/>
              <w:rPr>
                <w:lang w:val="sq-AL"/>
              </w:rPr>
            </w:pPr>
          </w:p>
        </w:tc>
      </w:tr>
      <w:tr w:rsidR="00EE5774" w:rsidRPr="00455BB7" w14:paraId="768D47EA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4CB7" w14:textId="77777777" w:rsidR="00EE5774" w:rsidRPr="00455BB7" w:rsidRDefault="00EE5774" w:rsidP="001E3C40">
            <w:pPr>
              <w:pStyle w:val="NoSpacing"/>
              <w:rPr>
                <w:b/>
              </w:rPr>
            </w:pPr>
            <w:r w:rsidRPr="00455BB7">
              <w:rPr>
                <w:b/>
              </w:rPr>
              <w:t>Course Goals: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06BC" w14:textId="6A6C76B9" w:rsidR="00EE5774" w:rsidRPr="00455BB7" w:rsidRDefault="0017623E" w:rsidP="00BC5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Understanding and applying the methods and concepts of the integrated flood </w:t>
            </w:r>
            <w:r w:rsidR="00F403DC" w:rsidRPr="00455BB7">
              <w:rPr>
                <w:rFonts w:ascii="Times New Roman" w:hAnsi="Times New Roman" w:cs="Times New Roman"/>
                <w:sz w:val="24"/>
                <w:szCs w:val="24"/>
              </w:rPr>
              <w:t>and drought management.</w:t>
            </w: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E41"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 Understanding and applying main scientific concepts, needed data and tools for the assessment and integrated management of </w:t>
            </w:r>
            <w:proofErr w:type="gramStart"/>
            <w:r w:rsidR="00BC5E41"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flood </w:t>
            </w:r>
            <w:r w:rsidR="007F31A6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proofErr w:type="gramEnd"/>
            <w:r w:rsidR="007F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E41" w:rsidRPr="00455BB7">
              <w:rPr>
                <w:rFonts w:ascii="Times New Roman" w:hAnsi="Times New Roman" w:cs="Times New Roman"/>
                <w:sz w:val="24"/>
                <w:szCs w:val="24"/>
              </w:rPr>
              <w:t>drought.</w:t>
            </w:r>
          </w:p>
        </w:tc>
      </w:tr>
      <w:tr w:rsidR="00EE5774" w:rsidRPr="00455BB7" w14:paraId="32FE264E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B1EB9B0" w14:textId="77777777" w:rsidR="00EE5774" w:rsidRPr="00455BB7" w:rsidRDefault="00EE5774" w:rsidP="001E3C40">
            <w:pPr>
              <w:pStyle w:val="NoSpacing"/>
              <w:rPr>
                <w:b/>
              </w:rPr>
            </w:pPr>
            <w:r w:rsidRPr="00455BB7">
              <w:rPr>
                <w:b/>
              </w:rPr>
              <w:t>Expected Learning Outcomes:</w:t>
            </w:r>
          </w:p>
          <w:p w14:paraId="250CD23F" w14:textId="78DAED98" w:rsidR="00C263EA" w:rsidRPr="00455BB7" w:rsidRDefault="00C263EA" w:rsidP="00E46D5D">
            <w:pPr>
              <w:shd w:val="clear" w:color="auto" w:fill="FFFFFF"/>
              <w:spacing w:before="240" w:after="240" w:line="36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19D6FDC" w14:textId="77777777" w:rsidR="007057DA" w:rsidRPr="00455BB7" w:rsidRDefault="007057DA" w:rsidP="006E1D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Upon completion, the participant should be able to:</w:t>
            </w:r>
          </w:p>
          <w:p w14:paraId="091F8903" w14:textId="4679B0ED" w:rsidR="003B1B46" w:rsidRPr="00455BB7" w:rsidRDefault="007057DA" w:rsidP="006E1D2F">
            <w:pPr>
              <w:numPr>
                <w:ilvl w:val="0"/>
                <w:numId w:val="12"/>
              </w:numPr>
              <w:spacing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Understand </w:t>
            </w:r>
            <w:r w:rsidR="003B1B46" w:rsidRPr="0045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flood and drought conce</w:t>
            </w:r>
            <w:r w:rsidR="00E46D5D" w:rsidRPr="0045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pts,</w:t>
            </w:r>
          </w:p>
          <w:p w14:paraId="6BBB9ECA" w14:textId="503E2D9F" w:rsidR="00E46D5D" w:rsidRPr="00455BB7" w:rsidRDefault="00E46D5D" w:rsidP="006E1D2F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</w:pPr>
            <w:r w:rsidRPr="00455BB7">
              <w:t>Identify flood and drought risk factors and mitigation measures associated,</w:t>
            </w:r>
          </w:p>
          <w:p w14:paraId="7C69107D" w14:textId="45A8250E" w:rsidR="00E46D5D" w:rsidRPr="00455BB7" w:rsidRDefault="00E46D5D" w:rsidP="006E1D2F">
            <w:pPr>
              <w:numPr>
                <w:ilvl w:val="0"/>
                <w:numId w:val="12"/>
              </w:numPr>
              <w:spacing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Understand and explain the main principles of flood and drought forecasting and warning and uncertainty issues associated with flood and drought forecasts,</w:t>
            </w:r>
          </w:p>
          <w:p w14:paraId="45205B3C" w14:textId="120B8909" w:rsidR="00E46D5D" w:rsidRPr="00455BB7" w:rsidRDefault="00E46D5D" w:rsidP="006E1D2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 able to </w:t>
            </w:r>
            <w:r w:rsidR="006E1D2F" w:rsidRPr="0045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455B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elect site </w:t>
            </w:r>
            <w:r w:rsidR="007F31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specific </w:t>
            </w:r>
            <w:r w:rsidRPr="00455B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adequate adaptation measures to cope with floods and drought</w:t>
            </w:r>
            <w:r w:rsidR="006E1D2F" w:rsidRPr="00455B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24859050" w14:textId="71E64E02" w:rsidR="00BC5E41" w:rsidRPr="003925B3" w:rsidRDefault="006E1D2F" w:rsidP="003925B3">
            <w:pPr>
              <w:numPr>
                <w:ilvl w:val="0"/>
                <w:numId w:val="12"/>
              </w:numPr>
              <w:spacing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Conceptualize and a</w:t>
            </w:r>
            <w:r w:rsidR="007057DA" w:rsidRPr="0045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pply the main principles of flood</w:t>
            </w:r>
            <w:r w:rsidR="003B1B46" w:rsidRPr="0045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drought </w:t>
            </w:r>
            <w:r w:rsidR="007057DA" w:rsidRPr="0045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risk </w:t>
            </w:r>
            <w:r w:rsidRPr="0045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assessment and </w:t>
            </w:r>
            <w:r w:rsidR="007057DA" w:rsidRPr="0045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management</w:t>
            </w:r>
            <w:r w:rsidRPr="00455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EE5774" w:rsidRPr="00455BB7" w14:paraId="193F541F" w14:textId="77777777" w:rsidTr="00F669F5">
        <w:trPr>
          <w:gridAfter w:val="3"/>
          <w:wAfter w:w="6132" w:type="dxa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B103EA0" w14:textId="77777777" w:rsidR="00EE5774" w:rsidRPr="00455BB7" w:rsidRDefault="00EE5774" w:rsidP="006E1D2F">
            <w:pPr>
              <w:pStyle w:val="NoSpacing"/>
              <w:rPr>
                <w:i/>
                <w:lang w:val="sq-AL"/>
              </w:rPr>
            </w:pPr>
          </w:p>
        </w:tc>
      </w:tr>
      <w:tr w:rsidR="00EE5774" w:rsidRPr="00455BB7" w14:paraId="46D24756" w14:textId="77777777" w:rsidTr="00F669F5">
        <w:trPr>
          <w:gridAfter w:val="3"/>
          <w:wAfter w:w="6132" w:type="dxa"/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D8AF47E" w14:textId="77777777" w:rsidR="00EE5774" w:rsidRPr="00455BB7" w:rsidRDefault="00EE5774" w:rsidP="006E1D2F">
            <w:pPr>
              <w:pStyle w:val="NoSpacing"/>
              <w:jc w:val="center"/>
              <w:rPr>
                <w:b/>
                <w:lang w:val="sq-AL"/>
              </w:rPr>
            </w:pPr>
            <w:r w:rsidRPr="00455BB7">
              <w:rPr>
                <w:b/>
                <w:lang w:val="sq-AL"/>
              </w:rPr>
              <w:t>Student Workload (should be in compliance with student’s Learnign Outcomes)</w:t>
            </w:r>
          </w:p>
        </w:tc>
      </w:tr>
      <w:tr w:rsidR="00EE5774" w:rsidRPr="00455BB7" w14:paraId="249F17AB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C07859D" w14:textId="77777777" w:rsidR="00EE5774" w:rsidRPr="00455BB7" w:rsidRDefault="00EE5774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79D8392" w14:textId="77777777" w:rsidR="00EE5774" w:rsidRPr="00455BB7" w:rsidRDefault="00EE5774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0CD3FF9" w14:textId="77777777" w:rsidR="00EE5774" w:rsidRPr="00455BB7" w:rsidRDefault="00EE5774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sz w:val="24"/>
                <w:szCs w:val="24"/>
              </w:rPr>
              <w:t>Day/ Week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D1BF552" w14:textId="77777777" w:rsidR="00EE5774" w:rsidRPr="00455BB7" w:rsidRDefault="00EE5774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F669F5" w:rsidRPr="00455BB7" w14:paraId="7CE9E33D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5BBC8A" w14:textId="77777777" w:rsidR="00F669F5" w:rsidRPr="00455BB7" w:rsidRDefault="00F669F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Lectures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5C9D34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0787AA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C724E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669F5" w:rsidRPr="00455BB7" w14:paraId="4A92FDCF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F9140" w14:textId="77777777" w:rsidR="00F669F5" w:rsidRPr="00455BB7" w:rsidRDefault="00F669F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Theory/ Lab Work/Exercises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3401EA" w14:textId="022CC3F9" w:rsidR="00F669F5" w:rsidRPr="00455BB7" w:rsidRDefault="00810FF4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3A5AA8" w14:textId="0A66D3AB" w:rsidR="00F669F5" w:rsidRPr="00455BB7" w:rsidRDefault="00810FF4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4A10B" w14:textId="25D3010C" w:rsidR="00F669F5" w:rsidRPr="00455BB7" w:rsidRDefault="00810FF4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</w:tr>
      <w:tr w:rsidR="00F669F5" w:rsidRPr="00455BB7" w14:paraId="2BE34C5D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1FD933" w14:textId="77777777" w:rsidR="00F669F5" w:rsidRPr="00455BB7" w:rsidRDefault="00F669F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Practical 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DC3BB0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EAB7B1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B23C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</w:tr>
      <w:tr w:rsidR="00F669F5" w:rsidRPr="00455BB7" w14:paraId="7DF4DA6D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F557D6" w14:textId="2EBD29BB" w:rsidR="00F669F5" w:rsidRPr="00455BB7" w:rsidRDefault="00F669F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Consultations with the tea</w:t>
            </w:r>
            <w:r w:rsidR="006E1D2F" w:rsidRPr="00455BB7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c</w:t>
            </w:r>
            <w:r w:rsidRPr="00455BB7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her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379497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4C5B9E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3926A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</w:tr>
      <w:tr w:rsidR="00F669F5" w:rsidRPr="00455BB7" w14:paraId="75C59CBA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6C7358" w14:textId="77777777" w:rsidR="00F669F5" w:rsidRPr="00455BB7" w:rsidRDefault="00F669F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Field 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91D89A" w14:textId="4FBEF2EC" w:rsidR="00F669F5" w:rsidRPr="00455BB7" w:rsidRDefault="00810FF4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2F596C" w14:textId="47F23FC4" w:rsidR="00F669F5" w:rsidRPr="00455BB7" w:rsidRDefault="00810FF4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65709" w14:textId="12C5B85D" w:rsidR="00F669F5" w:rsidRPr="00455BB7" w:rsidRDefault="00810FF4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</w:tr>
      <w:tr w:rsidR="00F669F5" w:rsidRPr="00455BB7" w14:paraId="7FEE69C8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1A8F12" w14:textId="77777777" w:rsidR="00F669F5" w:rsidRPr="00455BB7" w:rsidRDefault="00F669F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Test, seminar paper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EF76FC" w14:textId="670E3F5F" w:rsidR="00F669F5" w:rsidRPr="00455BB7" w:rsidRDefault="00810FF4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B48C65" w14:textId="6ABF2E28" w:rsidR="00F669F5" w:rsidRPr="00455BB7" w:rsidRDefault="00810FF4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AD948" w14:textId="7F2E0FB0" w:rsidR="00F669F5" w:rsidRPr="00455BB7" w:rsidRDefault="00810FF4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F669F5" w:rsidRPr="00455BB7" w14:paraId="72CAE929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5D1A8F" w14:textId="77777777" w:rsidR="00F669F5" w:rsidRPr="00455BB7" w:rsidRDefault="00F669F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Homework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D0D85C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09175E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231BD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</w:tr>
      <w:tr w:rsidR="00F669F5" w:rsidRPr="00455BB7" w14:paraId="0EB060F2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5FD15D" w14:textId="77777777" w:rsidR="00F669F5" w:rsidRPr="00455BB7" w:rsidRDefault="00F669F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Self-study (library or home)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EFC636" w14:textId="5B4A9B84" w:rsidR="00F669F5" w:rsidRPr="00455BB7" w:rsidRDefault="00810FF4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93CEF8" w14:textId="65EC7DF1" w:rsidR="00F669F5" w:rsidRPr="00455BB7" w:rsidRDefault="00005642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F9A1" w14:textId="50E2CD09" w:rsidR="00F669F5" w:rsidRPr="00455BB7" w:rsidRDefault="00005642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</w:tr>
      <w:tr w:rsidR="00F669F5" w:rsidRPr="00455BB7" w14:paraId="3ADA87BC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83D405" w14:textId="77777777" w:rsidR="00F669F5" w:rsidRPr="00455BB7" w:rsidRDefault="00F669F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Preparation for final exam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698ED2" w14:textId="7C830041" w:rsidR="00F669F5" w:rsidRPr="00455BB7" w:rsidRDefault="00810FF4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98E150" w14:textId="77AE27D2" w:rsidR="00F669F5" w:rsidRPr="00455BB7" w:rsidRDefault="00005642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8776E" w14:textId="687EB4D0" w:rsidR="00F669F5" w:rsidRPr="00455BB7" w:rsidRDefault="00005642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</w:tr>
      <w:tr w:rsidR="00F669F5" w:rsidRPr="00455BB7" w14:paraId="1C0AEF1D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9609CA" w14:textId="77777777" w:rsidR="00F669F5" w:rsidRPr="00455BB7" w:rsidRDefault="00F669F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Assessment time (test, quiz, final exam)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028A0F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774F12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356A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</w:tr>
      <w:tr w:rsidR="00F669F5" w:rsidRPr="00455BB7" w14:paraId="752E342D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A83E993" w14:textId="77777777" w:rsidR="00F669F5" w:rsidRPr="00455BB7" w:rsidRDefault="00F669F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Projects, presentations, etc.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1A49586" w14:textId="216D25CB" w:rsidR="00F669F5" w:rsidRPr="00455BB7" w:rsidRDefault="00005642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2092FD1" w14:textId="5034172B" w:rsidR="00F669F5" w:rsidRPr="00455BB7" w:rsidRDefault="00005642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57C1B40" w14:textId="674BB5B5" w:rsidR="00F669F5" w:rsidRPr="00455BB7" w:rsidRDefault="00005642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</w:tr>
      <w:tr w:rsidR="00F669F5" w:rsidRPr="00455BB7" w14:paraId="38D786DD" w14:textId="77777777" w:rsidTr="00F669F5">
        <w:trPr>
          <w:gridAfter w:val="3"/>
          <w:wAfter w:w="6132" w:type="dxa"/>
          <w:trHeight w:val="107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8948F99" w14:textId="77777777" w:rsidR="00F669F5" w:rsidRPr="00455BB7" w:rsidRDefault="00F669F5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6558DC4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B2C5FFC" w14:textId="77777777" w:rsidR="00F669F5" w:rsidRPr="00455BB7" w:rsidRDefault="00F669F5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06B20D6" w14:textId="73CD9293" w:rsidR="00F669F5" w:rsidRPr="00455BB7" w:rsidRDefault="002F1158" w:rsidP="00AB26A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5642" w:rsidRPr="00455B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69F5" w:rsidRPr="00455BB7" w14:paraId="2A8539D8" w14:textId="77777777" w:rsidTr="00F669F5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F5D8CF3" w14:textId="77777777" w:rsidR="00F669F5" w:rsidRPr="00455BB7" w:rsidRDefault="00F669F5" w:rsidP="001E3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14:paraId="02F516C1" w14:textId="77777777" w:rsidR="00F669F5" w:rsidRPr="00455BB7" w:rsidRDefault="00F669F5" w:rsidP="00AB26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76A0BD" w14:textId="77777777" w:rsidR="00F669F5" w:rsidRPr="00455BB7" w:rsidRDefault="00F669F5" w:rsidP="00AB26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5013619" w14:textId="77777777" w:rsidR="00F669F5" w:rsidRPr="00455BB7" w:rsidRDefault="00F669F5" w:rsidP="00AB26A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669F5" w:rsidRPr="00455BB7" w14:paraId="12D3E61F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E85D" w14:textId="77777777" w:rsidR="00F669F5" w:rsidRPr="00455BB7" w:rsidRDefault="00F669F5" w:rsidP="001E3C40">
            <w:pPr>
              <w:pStyle w:val="NoSpacing"/>
              <w:rPr>
                <w:b/>
              </w:rPr>
            </w:pPr>
            <w:r w:rsidRPr="00455BB7">
              <w:rPr>
                <w:b/>
              </w:rPr>
              <w:t xml:space="preserve">Teaching Methods:  </w:t>
            </w:r>
          </w:p>
        </w:tc>
        <w:tc>
          <w:tcPr>
            <w:tcW w:w="523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09E7" w14:textId="78844366" w:rsidR="00F669F5" w:rsidRPr="00455BB7" w:rsidRDefault="00F669F5" w:rsidP="0099692A">
            <w:pPr>
              <w:pStyle w:val="NoSpacing"/>
              <w:jc w:val="both"/>
              <w:rPr>
                <w:i/>
              </w:rPr>
            </w:pPr>
            <w:r w:rsidRPr="00455BB7">
              <w:t>Frontal lecture,</w:t>
            </w:r>
            <w:r w:rsidR="00142B55">
              <w:t xml:space="preserve"> individual assignments, </w:t>
            </w:r>
            <w:r w:rsidR="00AD73B7" w:rsidRPr="00455BB7">
              <w:t>group</w:t>
            </w:r>
            <w:r w:rsidRPr="00455BB7">
              <w:t xml:space="preserve"> discussion</w:t>
            </w:r>
            <w:r w:rsidR="00AD73B7" w:rsidRPr="00455BB7">
              <w:t>s,</w:t>
            </w:r>
            <w:r w:rsidR="003819EC" w:rsidRPr="00455BB7">
              <w:t xml:space="preserve"> </w:t>
            </w:r>
            <w:r w:rsidRPr="00455BB7">
              <w:t xml:space="preserve">individual seminar work, </w:t>
            </w:r>
            <w:r w:rsidR="00AD73B7" w:rsidRPr="00455BB7">
              <w:t>presentations to class</w:t>
            </w:r>
            <w:r w:rsidR="006E1D2F" w:rsidRPr="00455BB7">
              <w:t>.</w:t>
            </w:r>
          </w:p>
        </w:tc>
      </w:tr>
      <w:tr w:rsidR="00F669F5" w:rsidRPr="00455BB7" w14:paraId="7AFD4854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E8D5" w14:textId="77777777" w:rsidR="00F669F5" w:rsidRPr="00455BB7" w:rsidRDefault="00F669F5" w:rsidP="001E3C40">
            <w:pPr>
              <w:pStyle w:val="NoSpacing"/>
              <w:spacing w:line="240" w:lineRule="exact"/>
              <w:rPr>
                <w:b/>
              </w:rPr>
            </w:pPr>
            <w:r w:rsidRPr="00455BB7">
              <w:rPr>
                <w:b/>
              </w:rPr>
              <w:t>Assessment Methods: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2EB6" w14:textId="63568782" w:rsidR="00873EFE" w:rsidRPr="00455BB7" w:rsidRDefault="00873EFE" w:rsidP="0087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eastAsia="Times New Roman" w:hAnsi="Times New Roman" w:cs="Times New Roman"/>
                <w:sz w:val="24"/>
                <w:szCs w:val="24"/>
              </w:rPr>
              <w:t>First midterm evaluation 40%,</w:t>
            </w:r>
          </w:p>
          <w:p w14:paraId="5680D535" w14:textId="77777777" w:rsidR="00873EFE" w:rsidRPr="00455BB7" w:rsidRDefault="00873EFE" w:rsidP="0087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eastAsia="Times New Roman" w:hAnsi="Times New Roman" w:cs="Times New Roman"/>
                <w:sz w:val="24"/>
                <w:szCs w:val="24"/>
              </w:rPr>
              <w:t>Second evaluation 40%</w:t>
            </w:r>
          </w:p>
          <w:p w14:paraId="27802AF9" w14:textId="1D113C53" w:rsidR="00F669F5" w:rsidRPr="00455BB7" w:rsidRDefault="00873EFE" w:rsidP="00873EFE">
            <w:pPr>
              <w:spacing w:after="0"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Seminars, </w:t>
            </w:r>
            <w:r w:rsidR="00AE6DC9" w:rsidRPr="00455BB7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assignments</w:t>
            </w:r>
            <w:r w:rsidR="00142B55">
              <w:rPr>
                <w:rFonts w:ascii="Times New Roman" w:eastAsia="Times New Roman" w:hAnsi="Times New Roman" w:cs="Times New Roman"/>
                <w:sz w:val="24"/>
                <w:szCs w:val="24"/>
              </w:rPr>
              <w:t>, presentations</w:t>
            </w:r>
            <w:r w:rsidRPr="00455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20%</w:t>
            </w:r>
          </w:p>
        </w:tc>
      </w:tr>
      <w:tr w:rsidR="00F669F5" w:rsidRPr="00455BB7" w14:paraId="0470252E" w14:textId="77777777" w:rsidTr="00F669F5">
        <w:trPr>
          <w:gridAfter w:val="3"/>
          <w:wAfter w:w="6132" w:type="dxa"/>
        </w:trPr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1CCAF5B" w14:textId="77777777" w:rsidR="00F669F5" w:rsidRPr="00455BB7" w:rsidRDefault="00F669F5" w:rsidP="001E3C40">
            <w:pPr>
              <w:pStyle w:val="NoSpacing"/>
              <w:spacing w:line="240" w:lineRule="exact"/>
              <w:rPr>
                <w:b/>
              </w:rPr>
            </w:pPr>
          </w:p>
        </w:tc>
      </w:tr>
      <w:tr w:rsidR="00F669F5" w:rsidRPr="00455BB7" w14:paraId="4A8DCE5D" w14:textId="77777777" w:rsidTr="00F669F5">
        <w:trPr>
          <w:gridAfter w:val="3"/>
          <w:wAfter w:w="6132" w:type="dxa"/>
          <w:trHeight w:val="45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177F" w14:textId="77777777" w:rsidR="00F669F5" w:rsidRPr="00455BB7" w:rsidRDefault="00F669F5" w:rsidP="001E3C40">
            <w:pPr>
              <w:pStyle w:val="NoSpacing"/>
              <w:spacing w:line="240" w:lineRule="exact"/>
              <w:rPr>
                <w:b/>
              </w:rPr>
            </w:pPr>
            <w:r w:rsidRPr="00455BB7">
              <w:rPr>
                <w:b/>
              </w:rPr>
              <w:t xml:space="preserve">Primary Literature: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4F69" w14:textId="77777777" w:rsidR="00F669F5" w:rsidRPr="00455BB7" w:rsidRDefault="00F669F5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</w:p>
          <w:p w14:paraId="040434AF" w14:textId="740C4D4B" w:rsidR="00F669F5" w:rsidRPr="00455BB7" w:rsidRDefault="00F669F5" w:rsidP="003913E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ind w:left="433" w:hanging="433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Kusari, L., </w:t>
            </w:r>
            <w:r w:rsidR="003913E3" w:rsidRPr="00455BB7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="00731520" w:rsidRPr="00455B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913E3"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Lecture notes</w:t>
            </w:r>
          </w:p>
          <w:p w14:paraId="3065C044" w14:textId="77777777" w:rsidR="00F669F5" w:rsidRPr="00455BB7" w:rsidRDefault="00F669F5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</w:p>
        </w:tc>
      </w:tr>
      <w:tr w:rsidR="00F669F5" w:rsidRPr="00455BB7" w14:paraId="6537DFEA" w14:textId="77777777" w:rsidTr="00F669F5">
        <w:trPr>
          <w:gridAfter w:val="3"/>
          <w:wAfter w:w="6132" w:type="dxa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D32A193" w14:textId="77777777" w:rsidR="00F669F5" w:rsidRPr="00455BB7" w:rsidRDefault="00F669F5" w:rsidP="001E3C40">
            <w:pPr>
              <w:pStyle w:val="NoSpacing"/>
              <w:spacing w:line="240" w:lineRule="exact"/>
              <w:rPr>
                <w:b/>
              </w:rPr>
            </w:pPr>
            <w:r w:rsidRPr="00455BB7">
              <w:rPr>
                <w:b/>
              </w:rPr>
              <w:lastRenderedPageBreak/>
              <w:t xml:space="preserve">Additional Literature: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A6D4B6F" w14:textId="77777777" w:rsidR="00F669F5" w:rsidRPr="00455BB7" w:rsidRDefault="00F669F5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</w:p>
          <w:p w14:paraId="59543624" w14:textId="2C62FBD8" w:rsidR="00E77EAC" w:rsidRPr="00455BB7" w:rsidRDefault="00E77EAC" w:rsidP="003913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Environment Agency (2020), National Flood and Coastal Erosion Risk Management Strategy for England, APS Group.</w:t>
            </w:r>
          </w:p>
          <w:p w14:paraId="2DF3C2A8" w14:textId="6A910AB2" w:rsidR="003913E3" w:rsidRPr="00455BB7" w:rsidRDefault="003913E3" w:rsidP="003913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Watson, D., Adams, M., (2011), Design for Flooding, Architecture, Landscape and Urban Design for Resilience to Climate Change, John Wiley and Sons.</w:t>
            </w:r>
          </w:p>
          <w:p w14:paraId="11BFAFF9" w14:textId="4A4D176D" w:rsidR="00F669F5" w:rsidRPr="00455BB7" w:rsidRDefault="003913E3" w:rsidP="003913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Schanze, J., Zeman, E., </w:t>
            </w:r>
            <w:proofErr w:type="spellStart"/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Marsalek</w:t>
            </w:r>
            <w:proofErr w:type="spellEnd"/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, J., (2004), Flood Risk Management: Hazards, Vulnerability and Mitigation Measures, Springer</w:t>
            </w:r>
          </w:p>
          <w:p w14:paraId="7B7F7EFE" w14:textId="2B7BF0B4" w:rsidR="00E736DE" w:rsidRPr="00455BB7" w:rsidRDefault="000018A7" w:rsidP="003913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CM"/>
              </w:rPr>
              <w:t xml:space="preserve">EU Commission. </w:t>
            </w:r>
            <w:r w:rsidRPr="00455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JRC Technical Reports (2018). Drought Risk Assessment and Management- A conceptual Framework, Vogt et.al.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82447D" w:rsidRPr="00455BB7" w14:paraId="35B502C2" w14:textId="77777777" w:rsidTr="001E3C40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B9607C6" w14:textId="77777777" w:rsidR="0082447D" w:rsidRPr="00455BB7" w:rsidRDefault="0082447D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sz w:val="24"/>
                <w:szCs w:val="24"/>
              </w:rPr>
              <w:t>Designed teaching plan</w:t>
            </w:r>
          </w:p>
        </w:tc>
      </w:tr>
      <w:tr w:rsidR="0082447D" w:rsidRPr="00455BB7" w14:paraId="7D70E1AD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C379F6B" w14:textId="77777777" w:rsidR="0082447D" w:rsidRPr="00455BB7" w:rsidRDefault="0082447D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CEBCEFE" w14:textId="77777777" w:rsidR="0082447D" w:rsidRPr="00455BB7" w:rsidRDefault="0082447D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sz w:val="24"/>
                <w:szCs w:val="24"/>
              </w:rPr>
              <w:t>Title of the Lecture</w:t>
            </w:r>
          </w:p>
        </w:tc>
      </w:tr>
      <w:tr w:rsidR="00F669F5" w:rsidRPr="00455BB7" w14:paraId="473448D8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B057" w14:textId="77777777" w:rsidR="00F669F5" w:rsidRPr="00455BB7" w:rsidRDefault="00F669F5" w:rsidP="00F669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Week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FB9A" w14:textId="2B462540" w:rsidR="00F669F5" w:rsidRPr="00455BB7" w:rsidRDefault="00F669F5" w:rsidP="00F669F5">
            <w:pPr>
              <w:tabs>
                <w:tab w:val="num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Introduction to the </w:t>
            </w:r>
            <w:r w:rsidR="004B7093" w:rsidRPr="00455BB7">
              <w:rPr>
                <w:rFonts w:ascii="Times New Roman" w:hAnsi="Times New Roman" w:cs="Times New Roman"/>
                <w:sz w:val="24"/>
                <w:szCs w:val="24"/>
              </w:rPr>
              <w:t>Flood and Drought Risk Management theory</w:t>
            </w: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, problems to be treated and the possible solutions.</w:t>
            </w:r>
          </w:p>
        </w:tc>
      </w:tr>
      <w:tr w:rsidR="00F669F5" w:rsidRPr="00455BB7" w14:paraId="17E874A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50B9" w14:textId="77777777" w:rsidR="00F669F5" w:rsidRPr="00455BB7" w:rsidRDefault="00F669F5" w:rsidP="00F669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Week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A345" w14:textId="106AC635" w:rsidR="00F669F5" w:rsidRPr="00455BB7" w:rsidRDefault="00F669F5" w:rsidP="00F669F5">
            <w:pPr>
              <w:tabs>
                <w:tab w:val="num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Hydrology and rivers catchment morphology. </w:t>
            </w:r>
            <w:r w:rsidR="001779DD" w:rsidRPr="00455BB7">
              <w:rPr>
                <w:rFonts w:ascii="Times New Roman" w:hAnsi="Times New Roman" w:cs="Times New Roman"/>
                <w:sz w:val="24"/>
                <w:szCs w:val="24"/>
              </w:rPr>
              <w:t>River’s</w:t>
            </w: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 creation and the processes taking place in it. Fluvial processes.</w:t>
            </w:r>
          </w:p>
        </w:tc>
      </w:tr>
      <w:tr w:rsidR="00F669F5" w:rsidRPr="00455BB7" w14:paraId="13C9C59B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AAF8" w14:textId="77777777" w:rsidR="00F669F5" w:rsidRPr="00455BB7" w:rsidRDefault="00F669F5" w:rsidP="00F669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Week 3</w:t>
            </w:r>
            <w:r w:rsidRPr="00455B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BB71" w14:textId="58FA35B4" w:rsidR="00F669F5" w:rsidRPr="00455BB7" w:rsidRDefault="003819EC" w:rsidP="00F6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Flood types, causes and their impacts. </w:t>
            </w:r>
            <w:r w:rsidR="001779DD" w:rsidRPr="00455BB7">
              <w:rPr>
                <w:rFonts w:ascii="Times New Roman" w:hAnsi="Times New Roman" w:cs="Times New Roman"/>
                <w:sz w:val="24"/>
                <w:szCs w:val="24"/>
              </w:rPr>
              <w:t>Floods</w:t>
            </w:r>
            <w:r w:rsidR="00F669F5"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 in the region.</w:t>
            </w: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 Flood prone risk areas in Kosovo</w:t>
            </w:r>
            <w:r w:rsidR="006E1D2F" w:rsidRPr="00455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9F5" w:rsidRPr="00455BB7" w14:paraId="49CE1BF1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7FFC" w14:textId="77777777" w:rsidR="00F669F5" w:rsidRPr="00455BB7" w:rsidRDefault="00F669F5" w:rsidP="00F669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Week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B49F" w14:textId="74781592" w:rsidR="00F669F5" w:rsidRPr="00455BB7" w:rsidRDefault="00F669F5" w:rsidP="00F669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Flood </w:t>
            </w:r>
            <w:r w:rsidR="003819EC" w:rsidRPr="00455BB7">
              <w:rPr>
                <w:rFonts w:ascii="Times New Roman" w:hAnsi="Times New Roman" w:cs="Times New Roman"/>
                <w:sz w:val="24"/>
                <w:szCs w:val="24"/>
              </w:rPr>
              <w:t>detection systems. Flood forecasting and flood warning methods.</w:t>
            </w:r>
          </w:p>
        </w:tc>
      </w:tr>
      <w:tr w:rsidR="00F669F5" w:rsidRPr="00455BB7" w14:paraId="46051F98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C0C6" w14:textId="77777777" w:rsidR="00F669F5" w:rsidRPr="00455BB7" w:rsidRDefault="00F669F5" w:rsidP="00F669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Week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25B4" w14:textId="2068CFDA" w:rsidR="00F669F5" w:rsidRPr="00455BB7" w:rsidRDefault="00F669F5" w:rsidP="00F6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Flood </w:t>
            </w:r>
            <w:r w:rsidR="00692B15"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risk analyses. Flood </w:t>
            </w:r>
            <w:r w:rsidR="003819EC" w:rsidRPr="00455BB7">
              <w:rPr>
                <w:rFonts w:ascii="Times New Roman" w:hAnsi="Times New Roman" w:cs="Times New Roman"/>
                <w:sz w:val="24"/>
                <w:szCs w:val="24"/>
              </w:rPr>
              <w:t>mitigation measures. No</w:t>
            </w:r>
            <w:r w:rsidR="00692B15" w:rsidRPr="00455B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819EC" w:rsidRPr="00455BB7">
              <w:rPr>
                <w:rFonts w:ascii="Times New Roman" w:hAnsi="Times New Roman" w:cs="Times New Roman"/>
                <w:sz w:val="24"/>
                <w:szCs w:val="24"/>
              </w:rPr>
              <w:t>structural measures</w:t>
            </w:r>
            <w:r w:rsidR="00692B15" w:rsidRPr="00455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9F5" w:rsidRPr="00455BB7" w14:paraId="3B45B53A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D358" w14:textId="77777777" w:rsidR="00F669F5" w:rsidRPr="00455BB7" w:rsidRDefault="00F669F5" w:rsidP="00F669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Week 6</w:t>
            </w:r>
            <w:r w:rsidRPr="00455B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A87E" w14:textId="5A0BF9BA" w:rsidR="00F669F5" w:rsidRPr="00455BB7" w:rsidRDefault="00F669F5" w:rsidP="00F6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Design discharge for flood protection.</w:t>
            </w:r>
            <w:r w:rsidR="00692B15"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 Flood mitigation structural measures.</w:t>
            </w:r>
          </w:p>
        </w:tc>
      </w:tr>
      <w:tr w:rsidR="00692B15" w:rsidRPr="00455BB7" w14:paraId="1C878ED0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4889" w14:textId="77777777" w:rsidR="00692B15" w:rsidRPr="00455BB7" w:rsidRDefault="00692B15" w:rsidP="00692B1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Week 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A123" w14:textId="0A1B42E6" w:rsidR="00692B15" w:rsidRPr="00455BB7" w:rsidRDefault="00692B15" w:rsidP="006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Flood protection in urban areas. Sustainable drainage systems.</w:t>
            </w:r>
          </w:p>
        </w:tc>
      </w:tr>
      <w:tr w:rsidR="00692B15" w:rsidRPr="00455BB7" w14:paraId="14DFE521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85E6" w14:textId="77777777" w:rsidR="00692B15" w:rsidRPr="00455BB7" w:rsidRDefault="00692B15" w:rsidP="00692B15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Week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9534" w14:textId="132A032B" w:rsidR="00692B15" w:rsidRPr="00455BB7" w:rsidRDefault="00692B15" w:rsidP="00692B15">
            <w:pPr>
              <w:tabs>
                <w:tab w:val="num" w:pos="21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Natural measures.  Flood plains role in flood protection</w:t>
            </w:r>
            <w:r w:rsidR="006E1D2F"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692B15" w:rsidRPr="00455BB7" w14:paraId="109B492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D291" w14:textId="77777777" w:rsidR="00692B15" w:rsidRPr="00455BB7" w:rsidRDefault="00692B15" w:rsidP="00692B15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Week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EBA1" w14:textId="4A895FB8" w:rsidR="00692B15" w:rsidRPr="00455BB7" w:rsidRDefault="00692B15" w:rsidP="0069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Introduction to drought risk, drought type classification</w:t>
            </w:r>
            <w:r w:rsidR="008B1198"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 and drought impacts. Environmental, social and</w:t>
            </w:r>
            <w:r w:rsidR="006E1D2F"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 economic</w:t>
            </w:r>
            <w:r w:rsidR="008B1198"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 aspects.</w:t>
            </w:r>
          </w:p>
        </w:tc>
      </w:tr>
      <w:tr w:rsidR="00692B15" w:rsidRPr="00455BB7" w14:paraId="4ED7EE71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920" w14:textId="77777777" w:rsidR="00692B15" w:rsidRPr="00455BB7" w:rsidRDefault="00692B15" w:rsidP="00692B15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Week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5B71" w14:textId="6307E127" w:rsidR="00692B15" w:rsidRPr="00455BB7" w:rsidRDefault="008B1198" w:rsidP="0069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Drought severity assessment. </w:t>
            </w:r>
            <w:r w:rsidR="00692B15" w:rsidRPr="00455BB7">
              <w:rPr>
                <w:rFonts w:ascii="Times New Roman" w:hAnsi="Times New Roman" w:cs="Times New Roman"/>
                <w:sz w:val="24"/>
                <w:szCs w:val="24"/>
              </w:rPr>
              <w:t>Main principles in assessing and monitoring drought variability</w:t>
            </w: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2B15" w:rsidRPr="00455BB7" w14:paraId="02B4E017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5093" w14:textId="77777777" w:rsidR="00692B15" w:rsidRPr="00455BB7" w:rsidRDefault="00692B15" w:rsidP="00692B15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Week 11</w:t>
            </w:r>
            <w:r w:rsidRPr="00455B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E3FB" w14:textId="588CA4A5" w:rsidR="00692B15" w:rsidRPr="00455BB7" w:rsidRDefault="00AE1E83" w:rsidP="00692B15">
            <w:pPr>
              <w:tabs>
                <w:tab w:val="num" w:pos="21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Analyses and drought forecasting by the use of modelling tools.</w:t>
            </w:r>
            <w:r w:rsidR="008B1198"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Drought  early warning.</w:t>
            </w:r>
          </w:p>
        </w:tc>
      </w:tr>
      <w:tr w:rsidR="00692B15" w:rsidRPr="00455BB7" w14:paraId="4F2A6301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85E7" w14:textId="77777777" w:rsidR="00692B15" w:rsidRPr="00455BB7" w:rsidRDefault="00692B15" w:rsidP="00692B15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Week 12</w:t>
            </w:r>
            <w:r w:rsidRPr="00455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EDED" w14:textId="26953F3C" w:rsidR="00692B15" w:rsidRPr="00455BB7" w:rsidRDefault="00AE1E83" w:rsidP="0069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Drought management cycle</w:t>
            </w:r>
            <w:r w:rsidR="008B1198" w:rsidRPr="00455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2B15" w:rsidRPr="00455BB7" w14:paraId="6971B859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0943" w14:textId="77777777" w:rsidR="00692B15" w:rsidRPr="00455BB7" w:rsidRDefault="00692B15" w:rsidP="00692B15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Week 13</w:t>
            </w:r>
            <w:r w:rsidRPr="00455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1865" w14:textId="6A758C93" w:rsidR="00692B15" w:rsidRPr="00455BB7" w:rsidRDefault="00AE1E83" w:rsidP="00692B15">
            <w:pPr>
              <w:tabs>
                <w:tab w:val="num" w:pos="21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Drought monitoring and </w:t>
            </w:r>
            <w:r w:rsidR="008B1198"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water scarcity management in urban, industrial and agricultural sectors.</w:t>
            </w:r>
          </w:p>
        </w:tc>
      </w:tr>
      <w:tr w:rsidR="00692B15" w:rsidRPr="00455BB7" w14:paraId="0EBBFC9A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307B" w14:textId="77777777" w:rsidR="00692B15" w:rsidRPr="00455BB7" w:rsidRDefault="00692B15" w:rsidP="00692B15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Week 14</w:t>
            </w:r>
            <w:r w:rsidRPr="00455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CC14" w14:textId="43EEC915" w:rsidR="00692B15" w:rsidRPr="00455BB7" w:rsidRDefault="00AE1E83" w:rsidP="00692B15">
            <w:pPr>
              <w:tabs>
                <w:tab w:val="num" w:pos="21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Drought management. </w:t>
            </w:r>
            <w:r w:rsidR="008B1198"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Drought mitigation. </w:t>
            </w:r>
            <w:r w:rsidRPr="00455B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Non structural measures. Sructural measures.</w:t>
            </w:r>
          </w:p>
        </w:tc>
      </w:tr>
      <w:tr w:rsidR="00692B15" w:rsidRPr="00455BB7" w14:paraId="0A667168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518C" w14:textId="77777777" w:rsidR="00692B15" w:rsidRPr="00455BB7" w:rsidRDefault="00692B15" w:rsidP="00692B15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Week 15</w:t>
            </w:r>
            <w:r w:rsidRPr="00455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4B24" w14:textId="15CA7BDA" w:rsidR="00692B15" w:rsidRPr="00455BB7" w:rsidRDefault="00692B15" w:rsidP="0069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B7">
              <w:rPr>
                <w:rFonts w:ascii="Times New Roman" w:hAnsi="Times New Roman" w:cs="Times New Roman"/>
                <w:sz w:val="24"/>
                <w:szCs w:val="24"/>
              </w:rPr>
              <w:t>Adaption measures in line with drought risk management.</w:t>
            </w:r>
            <w:r w:rsidR="0076096D"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 Long term and </w:t>
            </w:r>
            <w:r w:rsidR="006E1D2F" w:rsidRPr="00455BB7">
              <w:rPr>
                <w:rFonts w:ascii="Times New Roman" w:hAnsi="Times New Roman" w:cs="Times New Roman"/>
                <w:sz w:val="24"/>
                <w:szCs w:val="24"/>
              </w:rPr>
              <w:t>short-term</w:t>
            </w:r>
            <w:r w:rsidR="0076096D" w:rsidRPr="00455BB7">
              <w:rPr>
                <w:rFonts w:ascii="Times New Roman" w:hAnsi="Times New Roman" w:cs="Times New Roman"/>
                <w:sz w:val="24"/>
                <w:szCs w:val="24"/>
              </w:rPr>
              <w:t xml:space="preserve"> measures.</w:t>
            </w:r>
          </w:p>
        </w:tc>
      </w:tr>
    </w:tbl>
    <w:p w14:paraId="427389D7" w14:textId="77777777" w:rsidR="00B37F62" w:rsidRPr="00237B21" w:rsidRDefault="00B37F62" w:rsidP="0082447D">
      <w:pPr>
        <w:pStyle w:val="NoSpacing"/>
        <w:rPr>
          <w:rFonts w:asciiTheme="minorHAnsi" w:hAnsiTheme="minorHAnsi"/>
        </w:rPr>
      </w:pPr>
    </w:p>
    <w:p w14:paraId="657BDEF6" w14:textId="77777777" w:rsidR="0082447D" w:rsidRPr="00237B21" w:rsidRDefault="0082447D" w:rsidP="0082447D">
      <w:pPr>
        <w:pStyle w:val="NoSpacing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82447D" w:rsidRPr="00237B21" w14:paraId="21BD3D2F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C2565BF" w14:textId="77777777" w:rsidR="0082447D" w:rsidRPr="00237B21" w:rsidRDefault="0082447D" w:rsidP="001E3C40">
            <w:pPr>
              <w:spacing w:after="0" w:line="240" w:lineRule="exact"/>
              <w:jc w:val="center"/>
              <w:rPr>
                <w:b/>
                <w:sz w:val="24"/>
                <w:szCs w:val="24"/>
              </w:rPr>
            </w:pPr>
            <w:bookmarkStart w:id="0" w:name="_Hlk505257718"/>
            <w:r w:rsidRPr="00237B21">
              <w:rPr>
                <w:b/>
                <w:sz w:val="24"/>
                <w:szCs w:val="24"/>
              </w:rPr>
              <w:t>Academic Policies and Code of Conduct</w:t>
            </w:r>
            <w:bookmarkEnd w:id="0"/>
          </w:p>
        </w:tc>
      </w:tr>
      <w:tr w:rsidR="0082447D" w:rsidRPr="00237B21" w14:paraId="44F1D774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A230" w14:textId="77777777" w:rsidR="0082447D" w:rsidRPr="00237B21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237B21">
              <w:rPr>
                <w:rFonts w:cstheme="minorHAnsi"/>
                <w:i/>
                <w:sz w:val="24"/>
                <w:szCs w:val="24"/>
                <w:lang w:val="sq-AL"/>
              </w:rPr>
              <w:t xml:space="preserve"> We start and finish class on time.</w:t>
            </w:r>
          </w:p>
          <w:p w14:paraId="28FBB626" w14:textId="77777777" w:rsidR="0082447D" w:rsidRPr="00237B21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237B21">
              <w:rPr>
                <w:rFonts w:cstheme="minorHAnsi"/>
                <w:i/>
                <w:sz w:val="24"/>
                <w:szCs w:val="24"/>
                <w:lang w:val="sq-AL"/>
              </w:rPr>
              <w:t>Tools used during class must be cleaned and stored away at the end of class.</w:t>
            </w:r>
          </w:p>
          <w:p w14:paraId="5B8797CF" w14:textId="77777777" w:rsidR="0082447D" w:rsidRPr="00237B21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237B21">
              <w:rPr>
                <w:rFonts w:cstheme="minorHAnsi"/>
                <w:i/>
                <w:sz w:val="24"/>
                <w:szCs w:val="24"/>
                <w:lang w:val="sq-AL"/>
              </w:rPr>
              <w:t xml:space="preserve">Mobile/smart  phones, and other electronic devices (e.g. iPods) must be turned off (or on vibrate) and hidden from view during class time. </w:t>
            </w:r>
          </w:p>
          <w:p w14:paraId="7BD7CF64" w14:textId="77777777" w:rsidR="0082447D" w:rsidRPr="00237B21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237B21">
              <w:rPr>
                <w:rFonts w:cstheme="minorHAnsi"/>
                <w:i/>
                <w:sz w:val="24"/>
                <w:szCs w:val="24"/>
                <w:lang w:val="sq-AL"/>
              </w:rPr>
              <w:t>Laptop and tablet computers are allowed for quiet use only; other activities such as checking personal e-mail or browsing the Internet are prohibited.</w:t>
            </w:r>
          </w:p>
          <w:p w14:paraId="1A68E3A4" w14:textId="77777777" w:rsidR="0082447D" w:rsidRPr="00237B21" w:rsidRDefault="0082447D" w:rsidP="001E3C40">
            <w:pPr>
              <w:spacing w:after="0" w:line="240" w:lineRule="exact"/>
              <w:contextualSpacing/>
              <w:jc w:val="both"/>
              <w:rPr>
                <w:i/>
                <w:sz w:val="24"/>
                <w:szCs w:val="24"/>
                <w:lang w:val="sq-AL"/>
              </w:rPr>
            </w:pPr>
          </w:p>
        </w:tc>
      </w:tr>
    </w:tbl>
    <w:p w14:paraId="0CE364EB" w14:textId="77777777" w:rsidR="0082447D" w:rsidRPr="00237B21" w:rsidRDefault="0082447D" w:rsidP="0082447D">
      <w:pPr>
        <w:rPr>
          <w:b/>
          <w:sz w:val="24"/>
          <w:szCs w:val="24"/>
          <w:lang w:val="sq-AL"/>
        </w:rPr>
      </w:pPr>
      <w:r w:rsidRPr="00237B21">
        <w:rPr>
          <w:b/>
          <w:sz w:val="24"/>
          <w:szCs w:val="24"/>
          <w:lang w:val="sq-AL"/>
        </w:rPr>
        <w:t>Note | If a student has more than 3 class assignements evaluated below 50% he/she loses the right on taking the final  exam. Evaluation is done from 0-100 %.</w:t>
      </w:r>
    </w:p>
    <w:p w14:paraId="0AA354CE" w14:textId="77777777" w:rsidR="00CA2D9E" w:rsidRPr="00237B21" w:rsidRDefault="00CA2D9E">
      <w:pPr>
        <w:rPr>
          <w:sz w:val="24"/>
          <w:szCs w:val="24"/>
        </w:rPr>
      </w:pPr>
    </w:p>
    <w:sectPr w:rsidR="00CA2D9E" w:rsidRPr="00237B21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A98"/>
    <w:multiLevelType w:val="multilevel"/>
    <w:tmpl w:val="BBFC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F1417"/>
    <w:multiLevelType w:val="hybridMultilevel"/>
    <w:tmpl w:val="BA12F5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40EDB"/>
    <w:multiLevelType w:val="hybridMultilevel"/>
    <w:tmpl w:val="B81EF062"/>
    <w:lvl w:ilvl="0" w:tplc="CBAC2BE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A32B4"/>
    <w:multiLevelType w:val="multilevel"/>
    <w:tmpl w:val="A2BA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15A39"/>
    <w:multiLevelType w:val="multilevel"/>
    <w:tmpl w:val="FAFE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D7051"/>
    <w:multiLevelType w:val="multilevel"/>
    <w:tmpl w:val="2A30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44520"/>
    <w:multiLevelType w:val="multilevel"/>
    <w:tmpl w:val="648E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E4FCA"/>
    <w:multiLevelType w:val="multilevel"/>
    <w:tmpl w:val="8688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54377D"/>
    <w:multiLevelType w:val="hybridMultilevel"/>
    <w:tmpl w:val="8A489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72F5F"/>
    <w:multiLevelType w:val="hybridMultilevel"/>
    <w:tmpl w:val="3AD42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57865"/>
    <w:multiLevelType w:val="multilevel"/>
    <w:tmpl w:val="2BE8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C4C51"/>
    <w:multiLevelType w:val="multilevel"/>
    <w:tmpl w:val="E6A4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7D"/>
    <w:rsid w:val="000018A7"/>
    <w:rsid w:val="00005642"/>
    <w:rsid w:val="00073DCA"/>
    <w:rsid w:val="00142B55"/>
    <w:rsid w:val="0017623E"/>
    <w:rsid w:val="001779DD"/>
    <w:rsid w:val="001809E9"/>
    <w:rsid w:val="001F666D"/>
    <w:rsid w:val="00237B21"/>
    <w:rsid w:val="002600A8"/>
    <w:rsid w:val="0027054F"/>
    <w:rsid w:val="002F1158"/>
    <w:rsid w:val="003819EC"/>
    <w:rsid w:val="0038460E"/>
    <w:rsid w:val="003913E3"/>
    <w:rsid w:val="003925B3"/>
    <w:rsid w:val="003B1B46"/>
    <w:rsid w:val="003B786D"/>
    <w:rsid w:val="003F7361"/>
    <w:rsid w:val="00414EAC"/>
    <w:rsid w:val="00455BB7"/>
    <w:rsid w:val="004B7093"/>
    <w:rsid w:val="004C5AC6"/>
    <w:rsid w:val="004E6072"/>
    <w:rsid w:val="0052059C"/>
    <w:rsid w:val="005B56B5"/>
    <w:rsid w:val="006334C6"/>
    <w:rsid w:val="0063518B"/>
    <w:rsid w:val="00660F6E"/>
    <w:rsid w:val="00692B15"/>
    <w:rsid w:val="006948C6"/>
    <w:rsid w:val="006E07ED"/>
    <w:rsid w:val="006E1D2F"/>
    <w:rsid w:val="006F7B8B"/>
    <w:rsid w:val="007057DA"/>
    <w:rsid w:val="00731520"/>
    <w:rsid w:val="007577E8"/>
    <w:rsid w:val="00760151"/>
    <w:rsid w:val="0076096D"/>
    <w:rsid w:val="007D19FA"/>
    <w:rsid w:val="007F31A6"/>
    <w:rsid w:val="00810FF4"/>
    <w:rsid w:val="008208AA"/>
    <w:rsid w:val="0082447D"/>
    <w:rsid w:val="00827270"/>
    <w:rsid w:val="00856174"/>
    <w:rsid w:val="008655CD"/>
    <w:rsid w:val="00873EFE"/>
    <w:rsid w:val="00874E61"/>
    <w:rsid w:val="008B1198"/>
    <w:rsid w:val="009038C9"/>
    <w:rsid w:val="00942599"/>
    <w:rsid w:val="00987DBC"/>
    <w:rsid w:val="009959BE"/>
    <w:rsid w:val="0099692A"/>
    <w:rsid w:val="009D7638"/>
    <w:rsid w:val="00A404D5"/>
    <w:rsid w:val="00AB5E64"/>
    <w:rsid w:val="00AD73B7"/>
    <w:rsid w:val="00AE1E83"/>
    <w:rsid w:val="00AE6DC9"/>
    <w:rsid w:val="00B07934"/>
    <w:rsid w:val="00B33EA9"/>
    <w:rsid w:val="00B37F62"/>
    <w:rsid w:val="00BC5E41"/>
    <w:rsid w:val="00BD4D5D"/>
    <w:rsid w:val="00C05656"/>
    <w:rsid w:val="00C13D1D"/>
    <w:rsid w:val="00C263EA"/>
    <w:rsid w:val="00C275D3"/>
    <w:rsid w:val="00C62A73"/>
    <w:rsid w:val="00C951C4"/>
    <w:rsid w:val="00CA2D9E"/>
    <w:rsid w:val="00CD6C1D"/>
    <w:rsid w:val="00D46308"/>
    <w:rsid w:val="00DE168A"/>
    <w:rsid w:val="00DE7E59"/>
    <w:rsid w:val="00E340ED"/>
    <w:rsid w:val="00E46D5D"/>
    <w:rsid w:val="00E548F4"/>
    <w:rsid w:val="00E70529"/>
    <w:rsid w:val="00E736DE"/>
    <w:rsid w:val="00E77EAC"/>
    <w:rsid w:val="00EB5B9C"/>
    <w:rsid w:val="00EE5774"/>
    <w:rsid w:val="00F1399D"/>
    <w:rsid w:val="00F16566"/>
    <w:rsid w:val="00F220FD"/>
    <w:rsid w:val="00F403DC"/>
    <w:rsid w:val="00F669F5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4C38"/>
  <w15:docId w15:val="{186FC669-7CC0-4A30-A20F-C6A43F28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47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2447D"/>
    <w:pPr>
      <w:ind w:left="720"/>
      <w:contextualSpacing/>
    </w:pPr>
  </w:style>
  <w:style w:type="paragraph" w:styleId="NoSpacing">
    <w:name w:val="No Spacing"/>
    <w:qFormat/>
    <w:rsid w:val="0082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2447D"/>
  </w:style>
  <w:style w:type="character" w:styleId="Hyperlink">
    <w:name w:val="Hyperlink"/>
    <w:basedOn w:val="DefaultParagraphFont"/>
    <w:rsid w:val="00EE577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9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63EA"/>
    <w:rPr>
      <w:b/>
      <w:bCs/>
    </w:rPr>
  </w:style>
  <w:style w:type="character" w:styleId="Emphasis">
    <w:name w:val="Emphasis"/>
    <w:basedOn w:val="DefaultParagraphFont"/>
    <w:uiPriority w:val="20"/>
    <w:qFormat/>
    <w:rsid w:val="00C26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.kusar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Laura Kusari</cp:lastModifiedBy>
  <cp:revision>13</cp:revision>
  <dcterms:created xsi:type="dcterms:W3CDTF">2022-01-23T17:57:00Z</dcterms:created>
  <dcterms:modified xsi:type="dcterms:W3CDTF">2022-01-24T20:34:00Z</dcterms:modified>
</cp:coreProperties>
</file>