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78" w:rsidRPr="00B663C5" w:rsidRDefault="00B42078" w:rsidP="00B42078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B663C5">
        <w:rPr>
          <w:rFonts w:asciiTheme="minorHAnsi" w:hAnsiTheme="minorHAnsi"/>
          <w:b/>
          <w:sz w:val="28"/>
          <w:szCs w:val="28"/>
        </w:rPr>
        <w:t>Formular për SYLLABUS të Lëndës PROTETIKA FIKSE  (Klinikë)</w:t>
      </w:r>
    </w:p>
    <w:p w:rsidR="00B42078" w:rsidRPr="00CF116F" w:rsidRDefault="00B42078" w:rsidP="00B42078">
      <w:pPr>
        <w:rPr>
          <w:rFonts w:ascii="Calibri" w:hAnsi="Calibri"/>
        </w:rPr>
      </w:pPr>
    </w:p>
    <w:tbl>
      <w:tblPr>
        <w:tblW w:w="14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  <w:gridCol w:w="5239"/>
      </w:tblGrid>
      <w:tr w:rsidR="00B42078" w:rsidRPr="00777D28" w:rsidTr="0053595E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Dega e Stomatologjisë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 xml:space="preserve">Protetika </w:t>
            </w:r>
            <w:r>
              <w:rPr>
                <w:rFonts w:asciiTheme="minorHAnsi" w:hAnsiTheme="minorHAnsi"/>
                <w:b/>
                <w:szCs w:val="28"/>
              </w:rPr>
              <w:t xml:space="preserve">fikse </w:t>
            </w:r>
            <w:r w:rsidRPr="00516D19">
              <w:rPr>
                <w:rFonts w:asciiTheme="minorHAnsi" w:hAnsiTheme="minorHAnsi"/>
                <w:b/>
                <w:szCs w:val="28"/>
              </w:rPr>
              <w:t xml:space="preserve"> (klinikë)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Bachelor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Obligative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V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E0264D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1+</w:t>
            </w:r>
            <w:r>
              <w:rPr>
                <w:rFonts w:asciiTheme="minorHAnsi" w:hAnsiTheme="minorHAnsi"/>
                <w:b/>
                <w:szCs w:val="28"/>
              </w:rPr>
              <w:t>3</w:t>
            </w:r>
            <w:r w:rsidR="00E0264D">
              <w:rPr>
                <w:rFonts w:asciiTheme="minorHAnsi" w:hAnsiTheme="minorHAnsi"/>
                <w:b/>
                <w:szCs w:val="28"/>
              </w:rPr>
              <w:t xml:space="preserve"> (semestri I IX) dhe 1+3 ( semestri I X)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E0264D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4</w:t>
            </w:r>
            <w:r w:rsidR="00E0264D">
              <w:rPr>
                <w:rFonts w:asciiTheme="minorHAnsi" w:hAnsiTheme="minorHAnsi"/>
                <w:b/>
                <w:szCs w:val="28"/>
              </w:rPr>
              <w:t>+4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B42078" w:rsidRPr="00516D19" w:rsidRDefault="00B42078" w:rsidP="0053595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QKSUK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E0264D" w:rsidRDefault="00E0264D" w:rsidP="00E0264D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</w:p>
          <w:p w:rsidR="00E0264D" w:rsidRDefault="00E0264D" w:rsidP="00E0264D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Gloria Staka</w:t>
            </w:r>
          </w:p>
          <w:p w:rsidR="00E0264D" w:rsidRPr="00516D19" w:rsidRDefault="00E0264D" w:rsidP="00E0264D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 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6D6711" w:rsidRPr="005A4C3D" w:rsidRDefault="006D6711" w:rsidP="006D671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83716D"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6D6711" w:rsidRPr="005A4C3D" w:rsidRDefault="006D6711" w:rsidP="006D671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ora 12:00-13:00</w:t>
            </w:r>
          </w:p>
          <w:p w:rsidR="006D6711" w:rsidRPr="0083716D" w:rsidRDefault="006D6711" w:rsidP="006D671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Prof.Asoc. Gloria Staka </w:t>
            </w:r>
            <w:r w:rsidRPr="0083716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6D6711" w:rsidRPr="0083716D" w:rsidRDefault="006D6711" w:rsidP="006D671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 ora 09:00-10</w:t>
            </w:r>
            <w:r w:rsidRPr="0083716D">
              <w:rPr>
                <w:rFonts w:ascii="Calibri" w:hAnsi="Calibri"/>
                <w:sz w:val="22"/>
                <w:szCs w:val="22"/>
              </w:rPr>
              <w:t>:00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6D6711" w:rsidRPr="0083716D" w:rsidRDefault="006D6711" w:rsidP="006D671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B42078" w:rsidRPr="00AD0999" w:rsidRDefault="006D6711" w:rsidP="0053595E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enjte  ora 13:00-14:0</w:t>
            </w:r>
            <w:r w:rsidRPr="0083716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B42078" w:rsidRPr="00777D28" w:rsidTr="0053595E">
        <w:tc>
          <w:tcPr>
            <w:tcW w:w="8856" w:type="dxa"/>
            <w:gridSpan w:val="4"/>
            <w:shd w:val="clear" w:color="auto" w:fill="B8CCE4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239" w:type="dxa"/>
          </w:tcPr>
          <w:p w:rsidR="00B42078" w:rsidRPr="00DA5707" w:rsidRDefault="00B42078" w:rsidP="0053595E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B42078" w:rsidRPr="00D67209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Ky modul ju mundëson studentëve të njoftohen me të gjitha fazat </w:t>
            </w:r>
            <w:r>
              <w:rPr>
                <w:rFonts w:asciiTheme="minorHAnsi" w:hAnsiTheme="minorHAnsi"/>
                <w:lang w:val="sq-AL"/>
              </w:rPr>
              <w:t xml:space="preserve">klinike të </w:t>
            </w:r>
            <w:r w:rsidRPr="00DA5707">
              <w:rPr>
                <w:rFonts w:asciiTheme="minorHAnsi" w:hAnsiTheme="minorHAnsi"/>
                <w:lang w:val="sq-AL"/>
              </w:rPr>
              <w:t xml:space="preserve"> punimit të punimeve protetikore </w:t>
            </w:r>
            <w:r>
              <w:rPr>
                <w:rFonts w:asciiTheme="minorHAnsi" w:hAnsiTheme="minorHAnsi"/>
                <w:lang w:val="sq-AL"/>
              </w:rPr>
              <w:t>fikse.</w:t>
            </w:r>
            <w:r w:rsidRPr="00DA5707">
              <w:rPr>
                <w:rFonts w:asciiTheme="minorHAnsi" w:hAnsiTheme="minorHAnsi"/>
                <w:lang w:val="sq-AL"/>
              </w:rPr>
              <w:t xml:space="preserve"> Studentët  do të kenë mundësinë të mësojnë dhe ushtrojnë </w:t>
            </w:r>
            <w:r>
              <w:rPr>
                <w:rFonts w:asciiTheme="minorHAnsi" w:hAnsiTheme="minorHAnsi"/>
                <w:lang w:val="sq-AL"/>
              </w:rPr>
              <w:t>rehabilitimin protetikorë të pacientëve me padhëmbësi parciale.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B42078" w:rsidRPr="00D67209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Qëllimi kryesor është që studentëve tu mundësohet përfitimi i njohurive nga pjesa  klinike e punimit të punimeve protetikore </w:t>
            </w:r>
            <w:r>
              <w:rPr>
                <w:rFonts w:asciiTheme="minorHAnsi" w:hAnsiTheme="minorHAnsi"/>
                <w:lang w:val="sq-AL"/>
              </w:rPr>
              <w:t>fikse dhe rehabilitimi i pacientëve me punimet protetikore fikse.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B42078" w:rsidRPr="00D67209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Studentët do të aftësohen për punimin </w:t>
            </w:r>
            <w:r>
              <w:rPr>
                <w:rFonts w:asciiTheme="minorHAnsi" w:hAnsiTheme="minorHAnsi"/>
                <w:lang w:val="sq-AL"/>
              </w:rPr>
              <w:t xml:space="preserve">e pavarur të </w:t>
            </w:r>
            <w:r w:rsidRPr="00DA5707">
              <w:rPr>
                <w:rFonts w:asciiTheme="minorHAnsi" w:hAnsiTheme="minorHAnsi"/>
                <w:lang w:val="sq-AL"/>
              </w:rPr>
              <w:t xml:space="preserve"> të gjitha </w:t>
            </w:r>
            <w:r>
              <w:rPr>
                <w:rFonts w:asciiTheme="minorHAnsi" w:hAnsiTheme="minorHAnsi"/>
                <w:lang w:val="sq-AL"/>
              </w:rPr>
              <w:t>punimeve protetikore fikse.</w:t>
            </w:r>
            <w:r w:rsidRPr="00DA5707">
              <w:rPr>
                <w:rFonts w:asciiTheme="minorHAnsi" w:hAnsiTheme="minorHAnsi"/>
                <w:color w:val="000000"/>
                <w:lang w:val="sq-AL"/>
              </w:rPr>
              <w:t xml:space="preserve"> </w:t>
            </w:r>
            <w:r w:rsidRPr="00DA5707">
              <w:rPr>
                <w:rFonts w:asciiTheme="minorHAnsi" w:hAnsiTheme="minorHAnsi"/>
                <w:i/>
                <w:color w:val="000000"/>
                <w:lang w:val="sq-AL"/>
              </w:rPr>
              <w:t xml:space="preserve"> 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42078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42078" w:rsidRPr="00183923" w:rsidRDefault="00B42078" w:rsidP="0053595E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E0264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</w:t>
            </w:r>
            <w:r w:rsidR="00E0264D"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E0264D" w:rsidP="00E0264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E0264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</w:t>
            </w:r>
            <w:r w:rsidR="00E0264D"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E0264D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3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2078" w:rsidRDefault="00B42078" w:rsidP="0053595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B42078" w:rsidRPr="007C3132" w:rsidRDefault="00B42078" w:rsidP="0053595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2078" w:rsidRPr="007C3132" w:rsidRDefault="00B42078" w:rsidP="0053595E">
            <w:pPr>
              <w:rPr>
                <w:rFonts w:ascii="Calibri" w:hAnsi="Calibri" w:cs="Arial"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42078" w:rsidRDefault="00B42078" w:rsidP="0053595E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B42078" w:rsidRPr="007C3132" w:rsidRDefault="00E0264D" w:rsidP="00E0264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222/8.8ECTS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42078" w:rsidRPr="007C3132" w:rsidRDefault="00B42078" w:rsidP="0053595E">
            <w:pPr>
              <w:rPr>
                <w:rFonts w:ascii="Calibri" w:hAnsi="Calibri" w:cs="Arial"/>
                <w:b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B42078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42078" w:rsidRPr="006F172F" w:rsidRDefault="00B42078" w:rsidP="0053595E">
            <w:pPr>
              <w:pStyle w:val="NoSpacing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6F172F">
              <w:rPr>
                <w:rFonts w:asciiTheme="minorHAnsi" w:hAnsiTheme="minorHAnsi"/>
              </w:rPr>
              <w:t>Studentët do të marrin njohurit në formë të ligjeratave teorike dhe  demostrimit praktik në ushtrime .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B42078" w:rsidRDefault="00B42078" w:rsidP="0053595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B42078" w:rsidRPr="00B663C5" w:rsidRDefault="00B42078" w:rsidP="0053595E">
            <w:pPr>
              <w:pStyle w:val="ListParagraph"/>
              <w:shd w:val="clear" w:color="auto" w:fill="FFFFFF"/>
              <w:spacing w:after="360" w:line="36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663C5">
              <w:rPr>
                <w:rFonts w:asciiTheme="minorHAnsi" w:hAnsiTheme="minorHAnsi"/>
                <w:sz w:val="24"/>
                <w:szCs w:val="24"/>
              </w:rPr>
              <w:t xml:space="preserve">Parakusht për dhënjen e provimit nga Protetika Fikse  është dhënja e kolokiumit nga lënda gjegjëse.Provimi përbëhet nga pjesa praktike dhe teorike. 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42078" w:rsidRPr="00B663C5" w:rsidRDefault="00B42078" w:rsidP="0053595E">
            <w:pPr>
              <w:pStyle w:val="NoSpacing"/>
              <w:rPr>
                <w:rFonts w:asciiTheme="minorHAnsi" w:hAnsiTheme="minorHAnsi"/>
              </w:rPr>
            </w:pPr>
            <w:r w:rsidRPr="00B663C5">
              <w:rPr>
                <w:rFonts w:asciiTheme="minorHAnsi" w:hAnsiTheme="minorHAnsi"/>
              </w:rPr>
              <w:t xml:space="preserve">Literatura </w:t>
            </w: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B42078" w:rsidRPr="00B663C5" w:rsidRDefault="00B42078" w:rsidP="0053595E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B663C5">
              <w:rPr>
                <w:rFonts w:asciiTheme="minorHAnsi" w:hAnsiTheme="minorHAnsi"/>
              </w:rPr>
              <w:t>1.Bazat e protetikës fikse nga Herbert T.Shillinburg, përkëthyer nga Msc. Sidrit   Beqiraj dhe Ermelinda Gina</w:t>
            </w:r>
          </w:p>
          <w:p w:rsidR="00B42078" w:rsidRPr="00B663C5" w:rsidRDefault="00B42078" w:rsidP="0053595E">
            <w:pPr>
              <w:spacing w:line="360" w:lineRule="auto"/>
              <w:rPr>
                <w:rFonts w:asciiTheme="minorHAnsi" w:hAnsiTheme="minorHAnsi"/>
                <w:i/>
              </w:rPr>
            </w:pPr>
          </w:p>
        </w:tc>
      </w:tr>
      <w:tr w:rsidR="00B42078" w:rsidRPr="00777D28" w:rsidTr="0053595E">
        <w:trPr>
          <w:gridAfter w:val="1"/>
          <w:wAfter w:w="5239" w:type="dxa"/>
        </w:trPr>
        <w:tc>
          <w:tcPr>
            <w:tcW w:w="3617" w:type="dxa"/>
          </w:tcPr>
          <w:p w:rsidR="00B42078" w:rsidRPr="00777D28" w:rsidRDefault="00B42078" w:rsidP="0053595E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B42078" w:rsidRPr="00B663C5" w:rsidRDefault="00B42078" w:rsidP="0053595E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B663C5">
              <w:rPr>
                <w:rFonts w:asciiTheme="minorHAnsi" w:hAnsiTheme="minorHAnsi"/>
              </w:rPr>
              <w:t xml:space="preserve">1.Tylman’S.D. Theory and Practice of Fixed Prosthodontics, William F.P Malone, David L. Koth ,St Louis1990, botimi i tetë </w:t>
            </w:r>
          </w:p>
          <w:p w:rsidR="00B42078" w:rsidRPr="00B663C5" w:rsidRDefault="00B42078" w:rsidP="0053595E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B42078" w:rsidRPr="00777D28" w:rsidTr="0053595E">
        <w:tc>
          <w:tcPr>
            <w:tcW w:w="8856" w:type="dxa"/>
            <w:gridSpan w:val="2"/>
            <w:shd w:val="clear" w:color="auto" w:fill="B8CCE4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</w:p>
        </w:tc>
      </w:tr>
      <w:tr w:rsidR="00B42078" w:rsidRPr="00777D28" w:rsidTr="0053595E">
        <w:tc>
          <w:tcPr>
            <w:tcW w:w="2718" w:type="dxa"/>
            <w:shd w:val="clear" w:color="auto" w:fill="B8CCE4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 ( semestri IX)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Konceptet themelore të okluzionit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dytë: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Regjistrimet interokluzale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Plani i terapisë për zëvendësimin e një dhëmbi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Format e urave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Principet e dekortikimit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Masat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Kontrolli i fluideve dhe trajtimi i indeve të buta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Dekortikimi për kurorat e plota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Dekortikimi për kurorat e pjesërishme</w:t>
            </w:r>
          </w:p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Preparimet për restaurimet intrakoronale</w:t>
            </w:r>
          </w:p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Preparimet e dhëmbëve shumë të dëmtuar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Preparimi i dhëmbëve me probleme parodontale</w:t>
            </w:r>
          </w:p>
        </w:tc>
      </w:tr>
      <w:tr w:rsidR="00B42078" w:rsidRPr="00777D28" w:rsidTr="0053595E">
        <w:trPr>
          <w:trHeight w:val="557"/>
        </w:trPr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Restaurimet provizore-kurorat e përkohëshme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Lustrimi dhe cementimi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 xml:space="preserve">Konsideratet estetike </w:t>
            </w:r>
          </w:p>
        </w:tc>
      </w:tr>
      <w:tr w:rsidR="00B42078" w:rsidRPr="00777D28" w:rsidTr="0053595E">
        <w:tc>
          <w:tcPr>
            <w:tcW w:w="2718" w:type="dxa"/>
          </w:tcPr>
          <w:p w:rsidR="00B42078" w:rsidRPr="00777D28" w:rsidRDefault="00B42078" w:rsidP="0053595E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Punimet nga  porcelani</w:t>
            </w:r>
          </w:p>
          <w:p w:rsidR="00B42078" w:rsidRPr="00A314F9" w:rsidRDefault="00B42078" w:rsidP="0053595E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314F9">
              <w:rPr>
                <w:rFonts w:asciiTheme="minorHAnsi" w:hAnsiTheme="minorHAnsi"/>
                <w:b/>
              </w:rPr>
              <w:t>Anëtarët e mesëm dhe kreshtat alveolare</w:t>
            </w:r>
          </w:p>
        </w:tc>
      </w:tr>
    </w:tbl>
    <w:p w:rsidR="00B42078" w:rsidRPr="00D67209" w:rsidRDefault="00B42078" w:rsidP="00B42078">
      <w:pPr>
        <w:pStyle w:val="NoSpacing"/>
        <w:rPr>
          <w:szCs w:val="28"/>
        </w:rPr>
      </w:pPr>
    </w:p>
    <w:p w:rsidR="00B42078" w:rsidRDefault="00B42078" w:rsidP="00B42078"/>
    <w:p w:rsidR="00B42078" w:rsidRDefault="00B42078" w:rsidP="00B42078"/>
    <w:p w:rsidR="0092581E" w:rsidRDefault="0092581E" w:rsidP="00B42078"/>
    <w:p w:rsidR="0092581E" w:rsidRDefault="0092581E" w:rsidP="00B42078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A077C0" w:rsidRPr="00777D28" w:rsidTr="00AB33E0">
        <w:tc>
          <w:tcPr>
            <w:tcW w:w="8856" w:type="dxa"/>
            <w:gridSpan w:val="2"/>
            <w:shd w:val="clear" w:color="auto" w:fill="B8CCE4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</w:p>
        </w:tc>
      </w:tr>
      <w:tr w:rsidR="00A077C0" w:rsidRPr="00777D28" w:rsidTr="00AB33E0">
        <w:tc>
          <w:tcPr>
            <w:tcW w:w="2718" w:type="dxa"/>
            <w:shd w:val="clear" w:color="auto" w:fill="B8CCE4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 ( semestri X)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A077C0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Rendesia e rehabilimtimit me proteza fikse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Caqet dhe fusha e rehabilitimit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Bashkpunimi me pacientin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Ekzaminimi klinik dhe anamnestik</w:t>
            </w:r>
          </w:p>
          <w:p w:rsidR="00A077C0" w:rsidRPr="00CD195B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Ekzaminimet RTG dhe i modlave studjues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A077C0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Indikacionet dhe kundërindikacionet për kunora artificial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Profilaktike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Estetike</w:t>
            </w:r>
          </w:p>
          <w:p w:rsidR="00A077C0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Protetike</w:t>
            </w:r>
          </w:p>
          <w:p w:rsidR="00A077C0" w:rsidRPr="00CD195B" w:rsidRDefault="00A077C0" w:rsidP="00A077C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Kundërindikacionet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Pregaditja e dhëmbit për dekortikim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Preparimi I dhëmbit për kunora artificial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Ndryshimet reaktive në pulpë dhe mbrojtja e dhëmbit të dekortikuar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Marrja e masës në protetiken fikse- aspektet klinike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Provat e kunorave dhe cementimi I tyre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estetike</w:t>
            </w:r>
          </w:p>
        </w:tc>
      </w:tr>
      <w:tr w:rsidR="00A077C0" w:rsidRPr="00777D28" w:rsidTr="00AB33E0">
        <w:trPr>
          <w:trHeight w:val="260"/>
        </w:trPr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e njëpëjeshme te derdhura nga aliazhet metalike</w:t>
            </w:r>
          </w:p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e fasetuara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estetike pa metal</w:t>
            </w:r>
          </w:p>
        </w:tc>
      </w:tr>
      <w:tr w:rsidR="00A077C0" w:rsidRPr="00777D28" w:rsidTr="00AB33E0">
        <w:trPr>
          <w:trHeight w:val="557"/>
        </w:trPr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teleskopike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Inlay,Onley dhe kunorat e pjesëhme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Laminanet , Veeners</w:t>
            </w:r>
          </w:p>
        </w:tc>
      </w:tr>
      <w:tr w:rsidR="00A077C0" w:rsidRPr="00777D28" w:rsidTr="00AB33E0">
        <w:tc>
          <w:tcPr>
            <w:tcW w:w="2718" w:type="dxa"/>
          </w:tcPr>
          <w:p w:rsidR="00A077C0" w:rsidRPr="00777D28" w:rsidRDefault="00A077C0" w:rsidP="00AB33E0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A077C0" w:rsidRPr="00A314F9" w:rsidRDefault="00A077C0" w:rsidP="00AB33E0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Kunorat me forma të dedikuara</w:t>
            </w:r>
          </w:p>
        </w:tc>
      </w:tr>
    </w:tbl>
    <w:p w:rsidR="00A077C0" w:rsidRPr="00D67209" w:rsidRDefault="00A077C0" w:rsidP="00A077C0">
      <w:pPr>
        <w:pStyle w:val="NoSpacing"/>
        <w:rPr>
          <w:szCs w:val="28"/>
        </w:rPr>
      </w:pPr>
    </w:p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Pr="001551CD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A077C0" w:rsidRDefault="00A077C0" w:rsidP="00A077C0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Pr="001551CD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B42078" w:rsidRDefault="00B42078" w:rsidP="00B42078"/>
    <w:p w:rsidR="00D117BE" w:rsidRDefault="00D117BE"/>
    <w:sectPr w:rsidR="00D1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4B7B"/>
    <w:multiLevelType w:val="hybridMultilevel"/>
    <w:tmpl w:val="BFEC3A0E"/>
    <w:lvl w:ilvl="0" w:tplc="29B0C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9D"/>
    <w:rsid w:val="001F67E4"/>
    <w:rsid w:val="00237423"/>
    <w:rsid w:val="006D6711"/>
    <w:rsid w:val="0092581E"/>
    <w:rsid w:val="00A077C0"/>
    <w:rsid w:val="00AD0999"/>
    <w:rsid w:val="00B42078"/>
    <w:rsid w:val="00D117BE"/>
    <w:rsid w:val="00DC664B"/>
    <w:rsid w:val="00E0264D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DABC1-8CC7-4893-BFF1-43E4486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4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42078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B420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02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26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Linda.Dula</cp:lastModifiedBy>
  <cp:revision>2</cp:revision>
  <dcterms:created xsi:type="dcterms:W3CDTF">2024-12-05T06:26:00Z</dcterms:created>
  <dcterms:modified xsi:type="dcterms:W3CDTF">2024-12-05T06:26:00Z</dcterms:modified>
</cp:coreProperties>
</file>