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7EE8" w14:textId="69F9C6C0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F868FB">
        <w:t>Anatomia Funskionale e Sistemit Lokomotor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7217590D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 xml:space="preserve">, </w:t>
            </w:r>
            <w:r w:rsidR="00F868FB">
              <w:rPr>
                <w:rFonts w:ascii="Calibri" w:hAnsi="Calibri"/>
                <w:szCs w:val="28"/>
                <w:lang w:val="sq-AL"/>
              </w:rPr>
              <w:t>Fizioterapi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5D46E0CD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</w:t>
            </w:r>
            <w:r w:rsidR="00F868F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Funskionale e Sistemit Lokomotor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0338E86F" w:rsidR="00646FC7" w:rsidRPr="00BA1DE5" w:rsidRDefault="00F868FB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05AE92CA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I-rë | Semestri i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F868F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3E4238DD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F868F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58F69B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Seminare </w:t>
            </w:r>
            <w:r w:rsidR="00F868F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ore</w:t>
            </w:r>
          </w:p>
          <w:p w14:paraId="3803D633" w14:textId="352CFE08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F868F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FA3935F" w:rsidR="00DD6956" w:rsidRPr="00BA1DE5" w:rsidRDefault="00F868FB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2+1+1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0F5212F" w:rsidR="00317968" w:rsidRPr="00BA1DE5" w:rsidRDefault="00F868FB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5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0F2C5208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5A71949D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5144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Pr="00274258">
                <w:rPr>
                  <w:rStyle w:val="Hyperlink"/>
                  <w:rFonts w:cstheme="minorHAnsi"/>
                </w:rPr>
                <w:t>remtim.rashiti</w:t>
              </w:r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3F9A5F9B" w14:textId="2052938E" w:rsidR="00F55144" w:rsidRPr="00F55144" w:rsidRDefault="00177A26" w:rsidP="00177A26">
            <w:pPr>
              <w:pStyle w:val="NoSpacing"/>
              <w:rPr>
                <w:rFonts w:cstheme="minorHAnsi"/>
                <w:color w:val="0000FF" w:themeColor="hyperlink"/>
                <w:u w:val="single"/>
                <w:lang w:val="sq-AL"/>
              </w:rPr>
            </w:pPr>
            <w:hyperlink r:id="rId6" w:history="1">
              <w:r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  <w:r w:rsidR="00F55144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sq-AL"/>
              </w:rPr>
              <w:t xml:space="preserve"> </w:t>
            </w:r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7E3" w14:textId="3A7B4FD7" w:rsidR="00305C6B" w:rsidRPr="00305C6B" w:rsidRDefault="00317968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e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 </w:t>
            </w:r>
            <w:r w:rsidR="00F868F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funskionale te sistemit lokomotor, per studentet e drejtimit master ne Fizioterapi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 të ofrojë studentëve njohuri mbi ndërtimin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anatomi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të trupit të njeriut në funksion të arritjes së</w:t>
            </w:r>
            <w:r w:rsid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305C6B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njohurive të domosdoshme për ndërtimin trupor të tyre.</w:t>
            </w:r>
          </w:p>
          <w:p w14:paraId="475F0297" w14:textId="016175AB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Këto njohuri do të mundësojnë kuptimin e lokalizimit të</w:t>
            </w:r>
          </w:p>
          <w:p w14:paraId="685035CA" w14:textId="7F1F317F" w:rsidR="00305C6B" w:rsidRP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indeve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organeve dhe sistemeve të ndryshme të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  <w:p w14:paraId="0BEAFD0C" w14:textId="77777777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organeve.</w:t>
            </w:r>
          </w:p>
          <w:p w14:paraId="6ABADAE2" w14:textId="7A329638" w:rsidR="00305C6B" w:rsidRDefault="00305C6B" w:rsidP="00305C6B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rtimin e detajuar anatomik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 dhe sistemeve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organeve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baz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themelore e 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domosdoshme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 kuptimin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tutjesh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 e m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detajuar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funksionit, 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rtimit histologjik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ndryshimet patologjike, r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sin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klinike, radiologjike, kirurgjike, ortopedike, etj q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do 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plot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sohet nga l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nd</w:t>
            </w:r>
            <w:r w:rsidR="009431C4"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9431C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 e tjera. </w:t>
            </w:r>
          </w:p>
          <w:p w14:paraId="2DBF1F81" w14:textId="77777777" w:rsidR="00317968" w:rsidRPr="00BA1DE5" w:rsidRDefault="00317968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F868FB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F868FB" w:rsidRPr="00BA1DE5" w:rsidRDefault="00F868FB" w:rsidP="00F868F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C9BD" w14:textId="77777777" w:rsidR="00F868FB" w:rsidRPr="002A451D" w:rsidRDefault="00F868FB" w:rsidP="00F868FB">
            <w:pPr>
              <w:rPr>
                <w:rFonts w:ascii="Cambria" w:hAnsi="Cambria"/>
                <w:b/>
                <w:bCs/>
                <w:i/>
              </w:rPr>
            </w:pPr>
            <w:r w:rsidRPr="002A451D">
              <w:rPr>
                <w:rFonts w:ascii="Cambria" w:hAnsi="Cambria"/>
                <w:b/>
                <w:bCs/>
                <w:i/>
              </w:rPr>
              <w:t xml:space="preserve">Kursi ofron studentëve njohuri nga: </w:t>
            </w:r>
          </w:p>
          <w:p w14:paraId="515755FD" w14:textId="77777777" w:rsidR="00F868FB" w:rsidRPr="002A451D" w:rsidRDefault="00F868FB" w:rsidP="00F868FB">
            <w:pPr>
              <w:numPr>
                <w:ilvl w:val="0"/>
                <w:numId w:val="7"/>
              </w:numPr>
              <w:spacing w:after="200" w:line="276" w:lineRule="auto"/>
              <w:rPr>
                <w:rFonts w:ascii="Cambria" w:hAnsi="Cambria"/>
                <w:b/>
                <w:bCs/>
                <w:i/>
                <w:lang w:val="it-IT"/>
              </w:rPr>
            </w:pPr>
            <w:r w:rsidRPr="002A451D">
              <w:rPr>
                <w:rFonts w:ascii="Cambria" w:hAnsi="Cambria"/>
                <w:b/>
                <w:bCs/>
                <w:i/>
                <w:lang w:val="it-IT"/>
              </w:rPr>
              <w:lastRenderedPageBreak/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1E8AAE58" w14:textId="77777777" w:rsidR="00F868FB" w:rsidRDefault="00F868FB" w:rsidP="00F868FB">
            <w:pPr>
              <w:numPr>
                <w:ilvl w:val="0"/>
                <w:numId w:val="7"/>
              </w:numPr>
              <w:spacing w:after="200" w:line="276" w:lineRule="auto"/>
              <w:rPr>
                <w:rFonts w:ascii="Cambria" w:hAnsi="Cambria"/>
                <w:b/>
                <w:bCs/>
                <w:i/>
                <w:lang w:val="it-IT"/>
              </w:rPr>
            </w:pPr>
            <w:r w:rsidRPr="002A451D">
              <w:rPr>
                <w:rFonts w:ascii="Cambria" w:hAnsi="Cambria"/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494F1ADE" w14:textId="77777777" w:rsidR="00F868FB" w:rsidRDefault="00F868FB" w:rsidP="00F868FB">
            <w:pPr>
              <w:numPr>
                <w:ilvl w:val="0"/>
                <w:numId w:val="7"/>
              </w:numPr>
              <w:spacing w:after="200" w:line="276" w:lineRule="auto"/>
              <w:rPr>
                <w:rFonts w:ascii="Cambria" w:hAnsi="Cambria"/>
                <w:b/>
                <w:bCs/>
                <w:i/>
                <w:lang w:val="it-IT"/>
              </w:rPr>
            </w:pPr>
            <w:r w:rsidRPr="002A451D">
              <w:rPr>
                <w:rFonts w:ascii="Cambria" w:hAnsi="Cambria"/>
                <w:b/>
                <w:bCs/>
                <w:i/>
                <w:lang w:val="it-IT"/>
              </w:rPr>
              <w:t>Anatomia  funksionale</w:t>
            </w:r>
            <w:r>
              <w:rPr>
                <w:rFonts w:ascii="Cambria" w:hAnsi="Cambria"/>
                <w:b/>
                <w:bCs/>
                <w:i/>
                <w:lang w:val="it-IT"/>
              </w:rPr>
              <w:t xml:space="preserve"> e gjymtyres se siperme.</w:t>
            </w:r>
          </w:p>
          <w:p w14:paraId="7AC699A0" w14:textId="77777777" w:rsidR="00F868FB" w:rsidRDefault="00F868FB" w:rsidP="00F868FB">
            <w:pPr>
              <w:numPr>
                <w:ilvl w:val="0"/>
                <w:numId w:val="7"/>
              </w:numPr>
              <w:spacing w:after="200" w:line="276" w:lineRule="auto"/>
              <w:rPr>
                <w:rFonts w:ascii="Cambria" w:hAnsi="Cambria"/>
                <w:b/>
                <w:bCs/>
                <w:i/>
                <w:lang w:val="it-IT"/>
              </w:rPr>
            </w:pPr>
            <w:r w:rsidRPr="00B9222C">
              <w:rPr>
                <w:rFonts w:ascii="Cambria" w:hAnsi="Cambria"/>
                <w:b/>
                <w:bCs/>
                <w:i/>
                <w:lang w:val="it-IT"/>
              </w:rPr>
              <w:t>Anatomia  funksionale e gjymtyres se poshtme.</w:t>
            </w:r>
          </w:p>
          <w:p w14:paraId="30008D4E" w14:textId="77777777" w:rsidR="00F868FB" w:rsidRPr="00B9222C" w:rsidRDefault="00F868FB" w:rsidP="00F868FB">
            <w:pPr>
              <w:numPr>
                <w:ilvl w:val="0"/>
                <w:numId w:val="7"/>
              </w:numPr>
              <w:spacing w:after="200" w:line="276" w:lineRule="auto"/>
              <w:rPr>
                <w:rFonts w:ascii="Cambria" w:hAnsi="Cambria"/>
                <w:b/>
                <w:bCs/>
                <w:i/>
                <w:lang w:val="it-IT"/>
              </w:rPr>
            </w:pPr>
            <w:r w:rsidRPr="00B9222C">
              <w:rPr>
                <w:rFonts w:ascii="Cambria" w:hAnsi="Cambria"/>
                <w:b/>
                <w:bCs/>
                <w:i/>
                <w:lang w:val="it-IT"/>
              </w:rPr>
              <w:t xml:space="preserve">Anatomia </w:t>
            </w:r>
            <w:r>
              <w:rPr>
                <w:rFonts w:ascii="Cambria" w:hAnsi="Cambria"/>
                <w:b/>
                <w:bCs/>
                <w:i/>
                <w:lang w:val="it-IT"/>
              </w:rPr>
              <w:t>funksionale</w:t>
            </w:r>
            <w:r w:rsidRPr="00B9222C">
              <w:rPr>
                <w:rFonts w:ascii="Cambria" w:hAnsi="Cambria"/>
                <w:b/>
                <w:bCs/>
                <w:i/>
                <w:lang w:val="it-IT"/>
              </w:rPr>
              <w:t>; problemet më të shpeshta klinike me të cilat atakohet organi dhe organizmi në terësi si dhe rrugët më të sigurta të ndërhyrjes për eliminimin e tyre</w:t>
            </w:r>
          </w:p>
          <w:p w14:paraId="4B7C6100" w14:textId="2039BEAE" w:rsidR="00F868FB" w:rsidRPr="00BA1DE5" w:rsidRDefault="00F868FB" w:rsidP="00F868FB">
            <w:pPr>
              <w:spacing w:after="0" w:line="240" w:lineRule="exact"/>
              <w:rPr>
                <w:rFonts w:cstheme="minorHAnsi"/>
                <w:i/>
              </w:rPr>
            </w:pPr>
            <w:r w:rsidRPr="002A451D">
              <w:rPr>
                <w:rFonts w:ascii="Cambria" w:hAnsi="Cambria"/>
                <w:b/>
                <w:bCs/>
                <w:i/>
                <w:lang w:val="it-IT"/>
              </w:rPr>
              <w:t xml:space="preserve">Të përvetësojë emërtimet latine sipas terminologjisë anatomike që do tju mundësojë komunikimin </w:t>
            </w:r>
            <w:r w:rsidRPr="002A451D">
              <w:rPr>
                <w:rFonts w:ascii="Cambria" w:hAnsi="Cambria"/>
                <w:b/>
                <w:bCs/>
                <w:i/>
              </w:rPr>
              <w:t>në mënyrë efektive/adekuate me kolegët e tyre</w:t>
            </w: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54F5EF24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  <w:r w:rsidR="00F868FB">
              <w:rPr>
                <w:rFonts w:cstheme="minorHAnsi"/>
              </w:rPr>
              <w:t xml:space="preserve"> funksionale te sistemit lokomotor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68261E86" w14:textId="77777777" w:rsidR="00F868FB" w:rsidRPr="002A451D" w:rsidRDefault="00F868FB" w:rsidP="00F868FB">
            <w:pPr>
              <w:rPr>
                <w:rFonts w:ascii="Cambria" w:hAnsi="Cambria"/>
                <w:b/>
                <w:bCs/>
                <w:i/>
                <w:lang w:val="it-IT"/>
              </w:rPr>
            </w:pPr>
            <w:r>
              <w:rPr>
                <w:rFonts w:cstheme="minorHAnsi"/>
              </w:rPr>
              <w:t>4</w:t>
            </w:r>
            <w:r w:rsidR="00F34CC9" w:rsidRPr="00F34CC9">
              <w:rPr>
                <w:rFonts w:cstheme="minorHAnsi"/>
              </w:rPr>
              <w:t xml:space="preserve">. </w:t>
            </w:r>
            <w:r w:rsidRPr="002A451D">
              <w:rPr>
                <w:rFonts w:ascii="Cambria" w:hAnsi="Cambria"/>
                <w:b/>
                <w:bCs/>
                <w:i/>
                <w:lang w:val="it-IT"/>
              </w:rPr>
              <w:t xml:space="preserve">Njohin ndarjen e Anatomisë; </w:t>
            </w:r>
            <w:r w:rsidRPr="002A451D">
              <w:rPr>
                <w:rFonts w:ascii="Cambria" w:hAnsi="Cambria"/>
                <w:b/>
                <w:i/>
              </w:rPr>
              <w:t xml:space="preserve">pjesët kryesore të trupit të njeriut, regjionet, vijat orientuese dhe pikat referente, pozicionin dhe planet/rrafshet anatomike, nomenklaturën anatomike </w:t>
            </w:r>
          </w:p>
          <w:p w14:paraId="196DF989" w14:textId="77777777" w:rsidR="00F868FB" w:rsidRPr="002A451D" w:rsidRDefault="00F868FB" w:rsidP="00F868FB">
            <w:pPr>
              <w:rPr>
                <w:rFonts w:ascii="Cambria" w:hAnsi="Cambria"/>
                <w:b/>
                <w:bCs/>
                <w:i/>
                <w:lang w:val="it-IT"/>
              </w:rPr>
            </w:pPr>
            <w:r w:rsidRPr="002A451D">
              <w:rPr>
                <w:rFonts w:ascii="Cambria" w:hAnsi="Cambria"/>
                <w:b/>
                <w:i/>
                <w:lang w:val="it-IT"/>
              </w:rPr>
              <w:t>4. Kuptojnë metodën e studimit që do të përdoret dhe mënyrën se si lënda është e organizuar.</w:t>
            </w:r>
          </w:p>
          <w:p w14:paraId="2C86F7C8" w14:textId="2B0AC41A" w:rsidR="00317968" w:rsidRPr="00BA1DE5" w:rsidRDefault="00317968" w:rsidP="00F34CC9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F868FB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2F94A5DF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mbria" w:hAnsi="Cambria" w:cs="Arial"/>
                <w:b/>
              </w:rPr>
              <w:t>2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0A17065A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mbria" w:hAnsi="Cambria" w:cs="Arial"/>
                <w:b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240D7A60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30</w:t>
            </w:r>
          </w:p>
        </w:tc>
      </w:tr>
      <w:tr w:rsidR="00F868FB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868FB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305B4F56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9FF6943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341C87D3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868FB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AC66A50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mbria" w:hAnsi="Cambria" w:cs="Arial"/>
                <w:b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69EAB443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mbria" w:hAnsi="Cambria" w:cs="Arial"/>
                <w:b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4391E3C4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15</w:t>
            </w:r>
          </w:p>
        </w:tc>
      </w:tr>
      <w:tr w:rsidR="00F868FB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868FB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175EBC3E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mbria" w:hAnsi="Cambria" w:cs="Arial"/>
                <w:b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478F09C5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mbria" w:hAnsi="Cambria" w:cs="Arial"/>
                <w:b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5BE69436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30</w:t>
            </w:r>
          </w:p>
        </w:tc>
      </w:tr>
      <w:tr w:rsidR="00F868FB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5576AB73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449C2F4C" w:rsidR="00F868FB" w:rsidRPr="00BA1DE5" w:rsidRDefault="00F868FB" w:rsidP="00F868FB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7D0C51E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868FB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49AD24B1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592B1A7D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7171D9E2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60</w:t>
            </w:r>
          </w:p>
        </w:tc>
      </w:tr>
      <w:tr w:rsidR="00F868FB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lastRenderedPageBreak/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52940B5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0BD77026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752A5A69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8</w:t>
            </w:r>
          </w:p>
        </w:tc>
      </w:tr>
      <w:tr w:rsidR="00F868FB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7392A35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0714FAAA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1EA41AD9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3</w:t>
            </w:r>
          </w:p>
        </w:tc>
      </w:tr>
      <w:tr w:rsidR="00F868FB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4AE10334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18A6A836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mbria" w:hAnsi="Cambria" w:cs="Arial"/>
                <w:b/>
              </w:rPr>
              <w:t>4</w:t>
            </w:r>
          </w:p>
        </w:tc>
      </w:tr>
      <w:tr w:rsidR="00F868FB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48AA02F6" w:rsidR="00F868FB" w:rsidRPr="00BA1DE5" w:rsidRDefault="00F868FB" w:rsidP="00F868FB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mbria" w:hAnsi="Cambria" w:cs="Arial"/>
                <w:b/>
              </w:rPr>
              <w:t>150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21C0594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seminare,</w:t>
            </w:r>
            <w:r>
              <w:rPr>
                <w:rFonts w:cstheme="minorHAnsi"/>
              </w:rPr>
              <w:t xml:space="preserve"> </w:t>
            </w:r>
            <w:r w:rsidR="00F868FB">
              <w:rPr>
                <w:rFonts w:cstheme="minorHAnsi"/>
              </w:rPr>
              <w:t xml:space="preserve">angazhim dhe aktivitet ne ushtrime dhe ligjerata,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37912A7C" w14:textId="77777777" w:rsidR="00F868FB" w:rsidRPr="00177A26" w:rsidRDefault="00F868FB" w:rsidP="00F868FB">
            <w:pPr>
              <w:spacing w:after="0" w:line="240" w:lineRule="exact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Seminari</w:t>
            </w:r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</w:r>
            <w:r>
              <w:rPr>
                <w:rFonts w:cstheme="minorHAnsi"/>
              </w:rPr>
              <w:t>2</w:t>
            </w:r>
            <w:r w:rsidRPr="00177A26">
              <w:rPr>
                <w:rFonts w:cstheme="minorHAnsi"/>
                <w:lang w:val="en-US"/>
              </w:rPr>
              <w:t>0%</w:t>
            </w:r>
          </w:p>
          <w:p w14:paraId="5717B275" w14:textId="77777777" w:rsidR="00F868FB" w:rsidRPr="00177A26" w:rsidRDefault="00F868FB" w:rsidP="00F868FB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  <w:lang w:val="en-US"/>
              </w:rPr>
              <w:t xml:space="preserve">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26236C" w14:textId="77777777" w:rsidR="00F868FB" w:rsidRPr="00177A26" w:rsidRDefault="00F868FB" w:rsidP="00F868FB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2929B5CF" w14:textId="77777777" w:rsidR="00F868FB" w:rsidRPr="00177A26" w:rsidRDefault="00F868FB" w:rsidP="00F868FB">
            <w:pPr>
              <w:spacing w:after="0" w:line="240" w:lineRule="exact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Aktiviteti ne ushtrime</w:t>
            </w:r>
            <w:r w:rsidRPr="00177A26">
              <w:rPr>
                <w:rFonts w:cstheme="minorHAnsi"/>
                <w:lang w:val="en-US"/>
              </w:rPr>
              <w:t>: 10%</w:t>
            </w:r>
          </w:p>
          <w:p w14:paraId="40309C4B" w14:textId="77777777" w:rsidR="00F868FB" w:rsidRPr="00177A26" w:rsidRDefault="00F868FB" w:rsidP="00F868FB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3E8B7C6" w14:textId="77777777" w:rsidR="00F868FB" w:rsidRPr="00177A26" w:rsidRDefault="00F868FB" w:rsidP="00F868FB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747" w14:textId="77777777" w:rsidR="00F868FB" w:rsidRPr="0015142A" w:rsidRDefault="00F868FB" w:rsidP="00F868FB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i/>
                <w:iCs/>
                <w:lang w:eastAsia="mk-MK"/>
              </w:rPr>
            </w:pPr>
            <w:r w:rsidRPr="0015142A">
              <w:rPr>
                <w:bCs/>
                <w:i/>
                <w:iCs/>
                <w:lang w:eastAsia="mk-MK"/>
              </w:rPr>
              <w:t>Bexheti S., Shatri J., Çerkezi S., Behxheti N., Anatomia e Njeriut; Gjymtyra e Siperme dhe e Poshtme, Universiteti i Prishtines, 2022</w:t>
            </w:r>
          </w:p>
          <w:p w14:paraId="5E5F6059" w14:textId="071C4FF2" w:rsidR="00317968" w:rsidRPr="0015142A" w:rsidRDefault="00317968" w:rsidP="001514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bCs/>
                <w:lang w:eastAsia="mk-MK"/>
              </w:rPr>
            </w:pP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F868FB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3F83192C" w:rsidR="00F868FB" w:rsidRPr="00BA1DE5" w:rsidRDefault="00F868FB" w:rsidP="00F868FB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ascii="Cambria" w:hAnsi="Cambria"/>
                <w:b/>
              </w:rPr>
              <w:t>Hyrje ne Anatominë funskonale te sistemit lokomotor. TA</w:t>
            </w:r>
          </w:p>
        </w:tc>
      </w:tr>
      <w:tr w:rsidR="00F868FB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24A2300E" w:rsidR="00F868FB" w:rsidRPr="00BA1DE5" w:rsidRDefault="00F868FB" w:rsidP="00F868FB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mbria" w:hAnsi="Cambria"/>
                <w:b/>
              </w:rPr>
              <w:t>Eshtrat e gjymtyres se siperme.</w:t>
            </w:r>
          </w:p>
        </w:tc>
      </w:tr>
      <w:tr w:rsidR="00F868FB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74E25757" w:rsidR="00F868FB" w:rsidRPr="00BA1DE5" w:rsidRDefault="00F868FB" w:rsidP="00F868FB">
            <w:pPr>
              <w:spacing w:after="0" w:line="240" w:lineRule="exact"/>
            </w:pPr>
            <w:r>
              <w:rPr>
                <w:rFonts w:ascii="Cambria" w:hAnsi="Cambria"/>
                <w:b/>
              </w:rPr>
              <w:t>Nyjtimet e gjymtyres se siperme.</w:t>
            </w:r>
          </w:p>
        </w:tc>
      </w:tr>
      <w:tr w:rsidR="00F868FB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19197443" w:rsidR="00F868FB" w:rsidRPr="00BA1DE5" w:rsidRDefault="00F868FB" w:rsidP="00F868FB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ascii="Cambria" w:hAnsi="Cambria"/>
                <w:b/>
              </w:rPr>
              <w:t>Muskujt e  gjymtyres se siperme</w:t>
            </w:r>
          </w:p>
        </w:tc>
      </w:tr>
      <w:tr w:rsidR="00F868FB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5D9006EF" w:rsidR="00F868FB" w:rsidRPr="00BA1DE5" w:rsidRDefault="00F868FB" w:rsidP="00F868FB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ascii="Cambria" w:hAnsi="Cambria"/>
                <w:b/>
              </w:rPr>
              <w:t>Fashat, kanalet osteofibroze dhe vaginat e tetivave te gjymtyres se siperme.</w:t>
            </w:r>
          </w:p>
        </w:tc>
      </w:tr>
      <w:tr w:rsidR="00F868FB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7B059E35" w:rsidR="00F868FB" w:rsidRPr="00BA1DE5" w:rsidRDefault="00F868FB" w:rsidP="00F868FB">
            <w:pPr>
              <w:spacing w:after="0" w:line="240" w:lineRule="exact"/>
            </w:pPr>
            <w:r>
              <w:rPr>
                <w:rFonts w:ascii="Cambria" w:hAnsi="Cambria"/>
                <w:b/>
              </w:rPr>
              <w:t>Arteriet e gjymtyres se siperme</w:t>
            </w:r>
          </w:p>
        </w:tc>
      </w:tr>
      <w:tr w:rsidR="00F868FB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F868FB" w:rsidRPr="00BA1DE5" w:rsidRDefault="00F868FB" w:rsidP="00F868FB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C1BFA6D" w:rsidR="00F868FB" w:rsidRPr="00BA1DE5" w:rsidRDefault="00F868FB" w:rsidP="00F868FB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ascii="Cambria" w:hAnsi="Cambria"/>
                <w:b/>
              </w:rPr>
              <w:t>Venat dhe enet limfatike.</w:t>
            </w:r>
          </w:p>
        </w:tc>
      </w:tr>
      <w:tr w:rsidR="00F868FB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162A3AAB" w:rsidR="00F868FB" w:rsidRPr="00BA1DE5" w:rsidRDefault="00F868FB" w:rsidP="00F868FB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ascii="Cambria" w:hAnsi="Cambria"/>
                <w:b/>
              </w:rPr>
              <w:t>Nevat e gjymtyres se siperme, Anatomia togografike.</w:t>
            </w:r>
          </w:p>
        </w:tc>
      </w:tr>
      <w:tr w:rsidR="00F868FB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042A3B70" w:rsidR="00F868FB" w:rsidRPr="00BA1DE5" w:rsidRDefault="00F868FB" w:rsidP="00F868FB">
            <w:pPr>
              <w:spacing w:after="0" w:line="240" w:lineRule="exact"/>
            </w:pPr>
            <w:r>
              <w:rPr>
                <w:rFonts w:ascii="Cambria" w:hAnsi="Cambria"/>
                <w:b/>
              </w:rPr>
              <w:t>Eshtrat e gjymtyres se poshtme.</w:t>
            </w:r>
          </w:p>
        </w:tc>
      </w:tr>
      <w:tr w:rsidR="00F868FB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4B28101B" w:rsidR="00F868FB" w:rsidRPr="00BA1DE5" w:rsidRDefault="00F868FB" w:rsidP="00F868FB">
            <w:pPr>
              <w:spacing w:after="0" w:line="240" w:lineRule="exact"/>
            </w:pPr>
            <w:r>
              <w:rPr>
                <w:rFonts w:ascii="Cambria" w:hAnsi="Cambria"/>
                <w:b/>
              </w:rPr>
              <w:t>Nyjtimet e gjymtyres se poshtme.</w:t>
            </w:r>
          </w:p>
        </w:tc>
      </w:tr>
      <w:tr w:rsidR="00F868FB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7715C3C9" w:rsidR="00F868FB" w:rsidRPr="00BA1DE5" w:rsidRDefault="00F868FB" w:rsidP="00F868FB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rFonts w:ascii="Cambria" w:hAnsi="Cambria"/>
                <w:b/>
              </w:rPr>
              <w:t>Muskujt e  gjymtyres se poshtme</w:t>
            </w:r>
          </w:p>
        </w:tc>
      </w:tr>
      <w:tr w:rsidR="00F868FB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6E21BD8E" w:rsidR="00F868FB" w:rsidRPr="00BA1DE5" w:rsidRDefault="00F868FB" w:rsidP="00F868FB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mbria" w:hAnsi="Cambria"/>
                <w:b/>
              </w:rPr>
              <w:t>Fashat, kanalet osteofibroze dhe vaginat e tetivave te gjymtyres se poshtme.</w:t>
            </w:r>
          </w:p>
        </w:tc>
      </w:tr>
      <w:tr w:rsidR="00F868FB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6FBC77E3" w:rsidR="00F868FB" w:rsidRPr="00BA1DE5" w:rsidRDefault="00F868FB" w:rsidP="00F868FB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ascii="Cambria" w:hAnsi="Cambria"/>
                <w:b/>
              </w:rPr>
              <w:t>Arteriet e gjymtyres se poshtme</w:t>
            </w:r>
          </w:p>
        </w:tc>
      </w:tr>
      <w:tr w:rsidR="00F868FB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191B2953" w:rsidR="00F868FB" w:rsidRPr="00BA1DE5" w:rsidRDefault="00F868FB" w:rsidP="00F868FB">
            <w:pPr>
              <w:spacing w:after="0" w:line="240" w:lineRule="exact"/>
            </w:pPr>
            <w:r>
              <w:rPr>
                <w:rFonts w:ascii="Cambria" w:hAnsi="Cambria"/>
                <w:b/>
              </w:rPr>
              <w:t>Venat dhe enet limfatike.</w:t>
            </w:r>
          </w:p>
        </w:tc>
      </w:tr>
      <w:tr w:rsidR="00F868FB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F868FB" w:rsidRPr="00BA1DE5" w:rsidRDefault="00F868FB" w:rsidP="00F868F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083F039B" w:rsidR="00F868FB" w:rsidRPr="00BA1DE5" w:rsidRDefault="00F868FB" w:rsidP="00F868FB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rFonts w:ascii="Cambria" w:hAnsi="Cambria"/>
                <w:b/>
              </w:rPr>
              <w:t>Nevat e gjymtyres se poshtme, Anatomia togografike.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5F65"/>
    <w:multiLevelType w:val="hybridMultilevel"/>
    <w:tmpl w:val="0038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4" w15:restartNumberingAfterBreak="0">
    <w:nsid w:val="4002565D"/>
    <w:multiLevelType w:val="hybridMultilevel"/>
    <w:tmpl w:val="A524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4172">
    <w:abstractNumId w:val="1"/>
  </w:num>
  <w:num w:numId="2" w16cid:durableId="237523312">
    <w:abstractNumId w:val="6"/>
  </w:num>
  <w:num w:numId="3" w16cid:durableId="28146976">
    <w:abstractNumId w:val="2"/>
  </w:num>
  <w:num w:numId="4" w16cid:durableId="30767446">
    <w:abstractNumId w:val="5"/>
  </w:num>
  <w:num w:numId="5" w16cid:durableId="1687901721">
    <w:abstractNumId w:val="4"/>
  </w:num>
  <w:num w:numId="6" w16cid:durableId="1080102135">
    <w:abstractNumId w:val="0"/>
  </w:num>
  <w:num w:numId="7" w16cid:durableId="1792281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09703A"/>
    <w:rsid w:val="000B46FE"/>
    <w:rsid w:val="001155EB"/>
    <w:rsid w:val="0015142A"/>
    <w:rsid w:val="00177A26"/>
    <w:rsid w:val="00241517"/>
    <w:rsid w:val="002D2710"/>
    <w:rsid w:val="00305C6B"/>
    <w:rsid w:val="003133EC"/>
    <w:rsid w:val="00317968"/>
    <w:rsid w:val="00376E9D"/>
    <w:rsid w:val="003D29DE"/>
    <w:rsid w:val="00510F51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B7A72"/>
    <w:rsid w:val="00D40EE8"/>
    <w:rsid w:val="00D91EB8"/>
    <w:rsid w:val="00DD6956"/>
    <w:rsid w:val="00E16208"/>
    <w:rsid w:val="00E835FC"/>
    <w:rsid w:val="00F34CC9"/>
    <w:rsid w:val="00F55144"/>
    <w:rsid w:val="00F868FB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Jon Joni</cp:lastModifiedBy>
  <cp:revision>2</cp:revision>
  <dcterms:created xsi:type="dcterms:W3CDTF">2024-11-21T21:52:00Z</dcterms:created>
  <dcterms:modified xsi:type="dcterms:W3CDTF">2024-11-21T21:52:00Z</dcterms:modified>
</cp:coreProperties>
</file>