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0A15" w14:textId="77777777" w:rsidR="00442287" w:rsidRDefault="00442287" w:rsidP="00442287"/>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60"/>
        <w:gridCol w:w="1897"/>
        <w:gridCol w:w="3373"/>
        <w:gridCol w:w="2128"/>
      </w:tblGrid>
      <w:tr w:rsidR="00442287" w:rsidRPr="00C0101A" w14:paraId="4DEB58A4" w14:textId="77777777" w:rsidTr="008F5C6A">
        <w:tc>
          <w:tcPr>
            <w:tcW w:w="9198" w:type="dxa"/>
            <w:gridSpan w:val="5"/>
          </w:tcPr>
          <w:p w14:paraId="5BC2740F" w14:textId="77777777" w:rsidR="00442287" w:rsidRPr="00C0101A" w:rsidRDefault="00442287" w:rsidP="008F5C6A">
            <w:pPr>
              <w:pStyle w:val="MittleresRaster2"/>
              <w:jc w:val="both"/>
              <w:rPr>
                <w:b/>
              </w:rPr>
            </w:pPr>
            <w:r w:rsidRPr="00C0101A">
              <w:rPr>
                <w:b/>
              </w:rPr>
              <w:t>Course basic data</w:t>
            </w:r>
          </w:p>
        </w:tc>
      </w:tr>
      <w:tr w:rsidR="00442287" w:rsidRPr="00C0101A" w14:paraId="11E4947E" w14:textId="77777777" w:rsidTr="008F5C6A">
        <w:tc>
          <w:tcPr>
            <w:tcW w:w="1800" w:type="dxa"/>
            <w:gridSpan w:val="2"/>
          </w:tcPr>
          <w:p w14:paraId="58B4595A" w14:textId="77777777" w:rsidR="00442287" w:rsidRPr="00C0101A" w:rsidRDefault="00442287" w:rsidP="008F5C6A">
            <w:pPr>
              <w:pStyle w:val="MittleresRaster2"/>
              <w:jc w:val="both"/>
              <w:rPr>
                <w:b/>
              </w:rPr>
            </w:pPr>
            <w:r w:rsidRPr="00C0101A">
              <w:rPr>
                <w:b/>
              </w:rPr>
              <w:t xml:space="preserve">Department </w:t>
            </w:r>
          </w:p>
        </w:tc>
        <w:tc>
          <w:tcPr>
            <w:tcW w:w="7398" w:type="dxa"/>
            <w:gridSpan w:val="3"/>
          </w:tcPr>
          <w:p w14:paraId="19D4C05E" w14:textId="77777777" w:rsidR="00442287" w:rsidRPr="00C0101A" w:rsidRDefault="00442287" w:rsidP="008F5C6A">
            <w:pPr>
              <w:pStyle w:val="MittleresRaster2"/>
              <w:jc w:val="both"/>
              <w:rPr>
                <w:bCs/>
              </w:rPr>
            </w:pPr>
            <w:r w:rsidRPr="00C0101A">
              <w:rPr>
                <w:bCs/>
              </w:rPr>
              <w:t xml:space="preserve">International Law Department </w:t>
            </w:r>
          </w:p>
        </w:tc>
      </w:tr>
      <w:tr w:rsidR="00442287" w:rsidRPr="00C0101A" w14:paraId="08425921" w14:textId="77777777" w:rsidTr="008F5C6A">
        <w:tc>
          <w:tcPr>
            <w:tcW w:w="1800" w:type="dxa"/>
            <w:gridSpan w:val="2"/>
          </w:tcPr>
          <w:p w14:paraId="09215E0C" w14:textId="77777777" w:rsidR="00442287" w:rsidRPr="00C0101A" w:rsidRDefault="00442287" w:rsidP="008F5C6A">
            <w:pPr>
              <w:pStyle w:val="MittleresRaster2"/>
              <w:jc w:val="both"/>
              <w:rPr>
                <w:b/>
              </w:rPr>
            </w:pPr>
            <w:r w:rsidRPr="00C0101A">
              <w:rPr>
                <w:b/>
              </w:rPr>
              <w:t xml:space="preserve">Title of the Course </w:t>
            </w:r>
          </w:p>
        </w:tc>
        <w:tc>
          <w:tcPr>
            <w:tcW w:w="7398" w:type="dxa"/>
            <w:gridSpan w:val="3"/>
          </w:tcPr>
          <w:p w14:paraId="6021B5A5" w14:textId="77777777" w:rsidR="00442287" w:rsidRPr="00C0101A" w:rsidRDefault="00442287" w:rsidP="008F5C6A">
            <w:pPr>
              <w:pStyle w:val="MittleresRaster2"/>
              <w:jc w:val="both"/>
              <w:rPr>
                <w:bCs/>
              </w:rPr>
            </w:pPr>
            <w:r w:rsidRPr="00C0101A">
              <w:rPr>
                <w:bCs/>
              </w:rPr>
              <w:t>Private International Law in the Context of the EU Legal Structure</w:t>
            </w:r>
          </w:p>
        </w:tc>
      </w:tr>
      <w:tr w:rsidR="00442287" w:rsidRPr="00C0101A" w14:paraId="51D74F57" w14:textId="77777777" w:rsidTr="008F5C6A">
        <w:tc>
          <w:tcPr>
            <w:tcW w:w="1800" w:type="dxa"/>
            <w:gridSpan w:val="2"/>
          </w:tcPr>
          <w:p w14:paraId="746206D3" w14:textId="77777777" w:rsidR="00442287" w:rsidRPr="00C0101A" w:rsidRDefault="00442287" w:rsidP="008F5C6A">
            <w:pPr>
              <w:pStyle w:val="MittleresRaster2"/>
              <w:jc w:val="both"/>
              <w:rPr>
                <w:b/>
              </w:rPr>
            </w:pPr>
            <w:r w:rsidRPr="00C0101A">
              <w:rPr>
                <w:b/>
              </w:rPr>
              <w:t xml:space="preserve">Level </w:t>
            </w:r>
          </w:p>
        </w:tc>
        <w:tc>
          <w:tcPr>
            <w:tcW w:w="7398" w:type="dxa"/>
            <w:gridSpan w:val="3"/>
          </w:tcPr>
          <w:p w14:paraId="6FACC390" w14:textId="77777777" w:rsidR="00442287" w:rsidRPr="00C0101A" w:rsidRDefault="00442287" w:rsidP="008F5C6A">
            <w:pPr>
              <w:pStyle w:val="MittleresRaster2"/>
              <w:jc w:val="both"/>
              <w:rPr>
                <w:bCs/>
              </w:rPr>
            </w:pPr>
            <w:r>
              <w:rPr>
                <w:bCs/>
              </w:rPr>
              <w:t>LLM</w:t>
            </w:r>
          </w:p>
        </w:tc>
      </w:tr>
      <w:tr w:rsidR="00442287" w:rsidRPr="00C0101A" w14:paraId="1F5E12D5" w14:textId="77777777" w:rsidTr="008F5C6A">
        <w:tc>
          <w:tcPr>
            <w:tcW w:w="1800" w:type="dxa"/>
            <w:gridSpan w:val="2"/>
          </w:tcPr>
          <w:p w14:paraId="4C0BA953" w14:textId="77777777" w:rsidR="00442287" w:rsidRPr="00C0101A" w:rsidRDefault="00442287" w:rsidP="008F5C6A">
            <w:pPr>
              <w:pStyle w:val="MittleresRaster2"/>
              <w:jc w:val="both"/>
              <w:rPr>
                <w:b/>
              </w:rPr>
            </w:pPr>
            <w:r w:rsidRPr="00C0101A">
              <w:rPr>
                <w:b/>
              </w:rPr>
              <w:t xml:space="preserve">Status </w:t>
            </w:r>
          </w:p>
        </w:tc>
        <w:tc>
          <w:tcPr>
            <w:tcW w:w="7398" w:type="dxa"/>
            <w:gridSpan w:val="3"/>
          </w:tcPr>
          <w:p w14:paraId="766BC47E" w14:textId="77777777" w:rsidR="00442287" w:rsidRPr="00C0101A" w:rsidRDefault="00442287" w:rsidP="008F5C6A">
            <w:pPr>
              <w:pStyle w:val="MittleresRaster2"/>
              <w:jc w:val="both"/>
              <w:rPr>
                <w:bCs/>
              </w:rPr>
            </w:pPr>
            <w:r>
              <w:rPr>
                <w:bCs/>
              </w:rPr>
              <w:t>Mandatory</w:t>
            </w:r>
          </w:p>
        </w:tc>
      </w:tr>
      <w:tr w:rsidR="00442287" w:rsidRPr="00C0101A" w14:paraId="2CFE3ADC" w14:textId="77777777" w:rsidTr="008F5C6A">
        <w:tc>
          <w:tcPr>
            <w:tcW w:w="1800" w:type="dxa"/>
            <w:gridSpan w:val="2"/>
          </w:tcPr>
          <w:p w14:paraId="77052EFF" w14:textId="77777777" w:rsidR="00442287" w:rsidRPr="00C0101A" w:rsidRDefault="00442287" w:rsidP="008F5C6A">
            <w:pPr>
              <w:pStyle w:val="MittleresRaster2"/>
              <w:jc w:val="both"/>
              <w:rPr>
                <w:b/>
              </w:rPr>
            </w:pPr>
            <w:r w:rsidRPr="00C0101A">
              <w:rPr>
                <w:b/>
              </w:rPr>
              <w:t xml:space="preserve">Year of study </w:t>
            </w:r>
          </w:p>
        </w:tc>
        <w:tc>
          <w:tcPr>
            <w:tcW w:w="7398" w:type="dxa"/>
            <w:gridSpan w:val="3"/>
          </w:tcPr>
          <w:p w14:paraId="1CE8E0A1" w14:textId="77777777" w:rsidR="00442287" w:rsidRPr="00C0101A" w:rsidRDefault="00442287" w:rsidP="008F5C6A">
            <w:pPr>
              <w:pStyle w:val="MittleresRaster2"/>
              <w:jc w:val="both"/>
              <w:rPr>
                <w:bCs/>
              </w:rPr>
            </w:pPr>
            <w:r>
              <w:rPr>
                <w:bCs/>
              </w:rPr>
              <w:t>I</w:t>
            </w:r>
          </w:p>
        </w:tc>
      </w:tr>
      <w:tr w:rsidR="00442287" w:rsidRPr="00C0101A" w14:paraId="67BF0A14" w14:textId="77777777" w:rsidTr="008F5C6A">
        <w:tc>
          <w:tcPr>
            <w:tcW w:w="1800" w:type="dxa"/>
            <w:gridSpan w:val="2"/>
          </w:tcPr>
          <w:p w14:paraId="3024D081" w14:textId="77777777" w:rsidR="00442287" w:rsidRPr="00C0101A" w:rsidRDefault="00442287" w:rsidP="008F5C6A">
            <w:pPr>
              <w:pStyle w:val="MittleresRaster2"/>
              <w:jc w:val="both"/>
              <w:rPr>
                <w:b/>
              </w:rPr>
            </w:pPr>
            <w:r w:rsidRPr="00C0101A">
              <w:rPr>
                <w:b/>
              </w:rPr>
              <w:t>Number of hours</w:t>
            </w:r>
          </w:p>
        </w:tc>
        <w:tc>
          <w:tcPr>
            <w:tcW w:w="7398" w:type="dxa"/>
            <w:gridSpan w:val="3"/>
          </w:tcPr>
          <w:p w14:paraId="0F5FC2C0" w14:textId="77777777" w:rsidR="00442287" w:rsidRPr="002F7D61" w:rsidRDefault="00442287" w:rsidP="008F5C6A">
            <w:pPr>
              <w:pStyle w:val="MittleresRaster2"/>
              <w:jc w:val="both"/>
              <w:rPr>
                <w:b/>
                <w:bCs/>
              </w:rPr>
            </w:pPr>
            <w:r w:rsidRPr="002F7D61">
              <w:rPr>
                <w:b/>
                <w:bCs/>
              </w:rPr>
              <w:t>2+1</w:t>
            </w:r>
          </w:p>
        </w:tc>
      </w:tr>
      <w:tr w:rsidR="00442287" w:rsidRPr="00C0101A" w14:paraId="29A6D994" w14:textId="77777777" w:rsidTr="008F5C6A">
        <w:trPr>
          <w:trHeight w:val="325"/>
        </w:trPr>
        <w:tc>
          <w:tcPr>
            <w:tcW w:w="1800" w:type="dxa"/>
            <w:gridSpan w:val="2"/>
          </w:tcPr>
          <w:p w14:paraId="26F2824D" w14:textId="77777777" w:rsidR="00442287" w:rsidRPr="00C0101A" w:rsidRDefault="00442287" w:rsidP="008F5C6A">
            <w:pPr>
              <w:pStyle w:val="MittleresRaster2"/>
              <w:jc w:val="both"/>
              <w:rPr>
                <w:b/>
              </w:rPr>
            </w:pPr>
            <w:r w:rsidRPr="00C0101A">
              <w:rPr>
                <w:b/>
              </w:rPr>
              <w:t xml:space="preserve">Credits </w:t>
            </w:r>
          </w:p>
        </w:tc>
        <w:tc>
          <w:tcPr>
            <w:tcW w:w="7398" w:type="dxa"/>
            <w:gridSpan w:val="3"/>
          </w:tcPr>
          <w:p w14:paraId="407D8011" w14:textId="77777777" w:rsidR="00442287" w:rsidRPr="002F7D61" w:rsidRDefault="00442287" w:rsidP="008F5C6A">
            <w:pPr>
              <w:pStyle w:val="MittleresRaster2"/>
              <w:jc w:val="both"/>
              <w:rPr>
                <w:b/>
                <w:bCs/>
              </w:rPr>
            </w:pPr>
            <w:r>
              <w:rPr>
                <w:b/>
                <w:bCs/>
              </w:rPr>
              <w:t>5</w:t>
            </w:r>
            <w:r w:rsidRPr="002F7D61">
              <w:rPr>
                <w:b/>
                <w:bCs/>
              </w:rPr>
              <w:t xml:space="preserve"> ETCS</w:t>
            </w:r>
          </w:p>
        </w:tc>
      </w:tr>
      <w:tr w:rsidR="00442287" w:rsidRPr="00C0101A" w14:paraId="2BF2D806" w14:textId="77777777" w:rsidTr="008F5C6A">
        <w:tc>
          <w:tcPr>
            <w:tcW w:w="1800" w:type="dxa"/>
            <w:gridSpan w:val="2"/>
          </w:tcPr>
          <w:p w14:paraId="00F5CE99" w14:textId="77777777" w:rsidR="00442287" w:rsidRPr="00C0101A" w:rsidRDefault="00442287" w:rsidP="008F5C6A">
            <w:pPr>
              <w:pStyle w:val="MittleresRaster2"/>
              <w:jc w:val="both"/>
              <w:rPr>
                <w:b/>
              </w:rPr>
            </w:pPr>
            <w:r w:rsidRPr="00C0101A">
              <w:rPr>
                <w:b/>
              </w:rPr>
              <w:t xml:space="preserve">Time/Location </w:t>
            </w:r>
          </w:p>
        </w:tc>
        <w:tc>
          <w:tcPr>
            <w:tcW w:w="7398" w:type="dxa"/>
            <w:gridSpan w:val="3"/>
          </w:tcPr>
          <w:p w14:paraId="71037029" w14:textId="3A4A1119" w:rsidR="00442287" w:rsidRPr="00C0101A" w:rsidRDefault="00442287" w:rsidP="008F5C6A">
            <w:pPr>
              <w:pStyle w:val="MittleresRaster2"/>
              <w:jc w:val="both"/>
              <w:rPr>
                <w:bCs/>
              </w:rPr>
            </w:pPr>
            <w:r w:rsidRPr="00C0101A">
              <w:rPr>
                <w:bCs/>
              </w:rPr>
              <w:t>Prishtina, Kosov</w:t>
            </w:r>
            <w:r w:rsidR="00922046">
              <w:rPr>
                <w:bCs/>
              </w:rPr>
              <w:t>a</w:t>
            </w:r>
          </w:p>
        </w:tc>
      </w:tr>
      <w:tr w:rsidR="00442287" w:rsidRPr="00C0101A" w14:paraId="0EFDD829" w14:textId="77777777" w:rsidTr="008F5C6A">
        <w:tc>
          <w:tcPr>
            <w:tcW w:w="1800" w:type="dxa"/>
            <w:gridSpan w:val="2"/>
          </w:tcPr>
          <w:p w14:paraId="1E561840" w14:textId="77777777" w:rsidR="00442287" w:rsidRPr="00C0101A" w:rsidRDefault="00442287" w:rsidP="008F5C6A">
            <w:pPr>
              <w:pStyle w:val="MittleresRaster2"/>
              <w:jc w:val="both"/>
              <w:rPr>
                <w:b/>
              </w:rPr>
            </w:pPr>
            <w:r w:rsidRPr="00C0101A">
              <w:rPr>
                <w:b/>
              </w:rPr>
              <w:t xml:space="preserve">Course instructor </w:t>
            </w:r>
          </w:p>
        </w:tc>
        <w:tc>
          <w:tcPr>
            <w:tcW w:w="7398" w:type="dxa"/>
            <w:gridSpan w:val="3"/>
          </w:tcPr>
          <w:p w14:paraId="67ED2052" w14:textId="77777777" w:rsidR="00442287" w:rsidRPr="002F7D61" w:rsidRDefault="00442287" w:rsidP="008F5C6A">
            <w:pPr>
              <w:pStyle w:val="Footer"/>
              <w:jc w:val="both"/>
              <w:rPr>
                <w:b/>
                <w:bCs/>
                <w:highlight w:val="yellow"/>
              </w:rPr>
            </w:pPr>
            <w:r w:rsidRPr="002F7D61">
              <w:rPr>
                <w:b/>
                <w:bCs/>
              </w:rPr>
              <w:t xml:space="preserve">Prof. Dr. Hajredin </w:t>
            </w:r>
            <w:proofErr w:type="spellStart"/>
            <w:r w:rsidRPr="002F7D61">
              <w:rPr>
                <w:b/>
                <w:bCs/>
              </w:rPr>
              <w:t>Kuçi</w:t>
            </w:r>
            <w:proofErr w:type="spellEnd"/>
          </w:p>
        </w:tc>
      </w:tr>
      <w:tr w:rsidR="00442287" w:rsidRPr="00C0101A" w14:paraId="6BFD4F3E" w14:textId="77777777" w:rsidTr="008F5C6A">
        <w:tc>
          <w:tcPr>
            <w:tcW w:w="1800" w:type="dxa"/>
            <w:gridSpan w:val="2"/>
          </w:tcPr>
          <w:p w14:paraId="3B5A65BA" w14:textId="77777777" w:rsidR="00442287" w:rsidRPr="00C0101A" w:rsidRDefault="00442287" w:rsidP="008F5C6A">
            <w:pPr>
              <w:pStyle w:val="MittleresRaster2"/>
              <w:jc w:val="both"/>
              <w:rPr>
                <w:b/>
              </w:rPr>
            </w:pPr>
            <w:r w:rsidRPr="00C0101A">
              <w:rPr>
                <w:b/>
              </w:rPr>
              <w:t xml:space="preserve">Contact details </w:t>
            </w:r>
          </w:p>
        </w:tc>
        <w:tc>
          <w:tcPr>
            <w:tcW w:w="7398" w:type="dxa"/>
            <w:gridSpan w:val="3"/>
          </w:tcPr>
          <w:p w14:paraId="15FD5954" w14:textId="77777777" w:rsidR="00442287" w:rsidRPr="00C0101A" w:rsidRDefault="00442287" w:rsidP="008F5C6A">
            <w:pPr>
              <w:pStyle w:val="Footer"/>
              <w:jc w:val="both"/>
              <w:rPr>
                <w:b/>
              </w:rPr>
            </w:pPr>
            <w:hyperlink r:id="rId7" w:history="1">
              <w:r w:rsidRPr="00C0101A">
                <w:rPr>
                  <w:rStyle w:val="Hyperlink"/>
                  <w:b/>
                </w:rPr>
                <w:t>hajredin.kuci@uni-pr.edu</w:t>
              </w:r>
            </w:hyperlink>
            <w:r w:rsidRPr="00C0101A">
              <w:rPr>
                <w:b/>
              </w:rPr>
              <w:t xml:space="preserve">; </w:t>
            </w:r>
          </w:p>
          <w:p w14:paraId="3358AD4E" w14:textId="77777777" w:rsidR="00442287" w:rsidRPr="00C0101A" w:rsidRDefault="00442287" w:rsidP="008F5C6A">
            <w:pPr>
              <w:pStyle w:val="Footer"/>
              <w:jc w:val="both"/>
              <w:rPr>
                <w:b/>
              </w:rPr>
            </w:pPr>
          </w:p>
        </w:tc>
      </w:tr>
      <w:tr w:rsidR="00442287" w:rsidRPr="00C0101A" w14:paraId="7C689D49" w14:textId="77777777" w:rsidTr="008F5C6A">
        <w:tc>
          <w:tcPr>
            <w:tcW w:w="9198" w:type="dxa"/>
            <w:gridSpan w:val="5"/>
          </w:tcPr>
          <w:p w14:paraId="6FD5E96B" w14:textId="77777777" w:rsidR="00442287" w:rsidRPr="00C0101A" w:rsidRDefault="00442287" w:rsidP="008F5C6A">
            <w:pPr>
              <w:pStyle w:val="MittleresRaster2"/>
              <w:jc w:val="both"/>
            </w:pPr>
          </w:p>
        </w:tc>
      </w:tr>
      <w:tr w:rsidR="00442287" w:rsidRPr="00C0101A" w14:paraId="103C4FA7" w14:textId="77777777" w:rsidTr="008F5C6A">
        <w:tc>
          <w:tcPr>
            <w:tcW w:w="1740" w:type="dxa"/>
          </w:tcPr>
          <w:p w14:paraId="5466FD9E" w14:textId="77777777" w:rsidR="00442287" w:rsidRPr="00C0101A" w:rsidRDefault="00442287" w:rsidP="008F5C6A">
            <w:pPr>
              <w:pStyle w:val="MittleresRaster2"/>
              <w:jc w:val="both"/>
              <w:rPr>
                <w:b/>
              </w:rPr>
            </w:pPr>
            <w:r w:rsidRPr="00C0101A">
              <w:rPr>
                <w:b/>
              </w:rPr>
              <w:t>Course description:</w:t>
            </w:r>
          </w:p>
        </w:tc>
        <w:tc>
          <w:tcPr>
            <w:tcW w:w="7458" w:type="dxa"/>
            <w:gridSpan w:val="4"/>
          </w:tcPr>
          <w:p w14:paraId="0E1C793B" w14:textId="77777777" w:rsidR="00442287" w:rsidRPr="00C0101A" w:rsidRDefault="00442287" w:rsidP="008F5C6A">
            <w:pPr>
              <w:pStyle w:val="MittleresRaster2"/>
              <w:jc w:val="both"/>
              <w:rPr>
                <w:iCs/>
              </w:rPr>
            </w:pPr>
            <w:r w:rsidRPr="00C0101A">
              <w:rPr>
                <w:iCs/>
              </w:rPr>
              <w:t xml:space="preserve">The course provides an in-depth study of Private International Law within the framework of the European Union’s legal structure. It provides an advanced set of topics focusing on the sources of Union law as to the applicable law as well as procedural rules in civil, commercial and family matters.  </w:t>
            </w:r>
          </w:p>
          <w:p w14:paraId="7563964F" w14:textId="77777777" w:rsidR="00442287" w:rsidRPr="00C0101A" w:rsidRDefault="00442287" w:rsidP="008F5C6A">
            <w:pPr>
              <w:pStyle w:val="MittleresRaster2"/>
              <w:jc w:val="both"/>
              <w:rPr>
                <w:iCs/>
              </w:rPr>
            </w:pPr>
          </w:p>
          <w:p w14:paraId="088A58A7" w14:textId="77777777" w:rsidR="00442287" w:rsidRPr="00C0101A" w:rsidRDefault="00442287" w:rsidP="008F5C6A">
            <w:pPr>
              <w:pStyle w:val="MittleresRaster2"/>
              <w:jc w:val="both"/>
            </w:pPr>
            <w:r w:rsidRPr="00C0101A">
              <w:t xml:space="preserve">The course combines theoretical considerations regarding PIL in the European Union and its Member States on the one hand, with a practical side within which students are required to apply those considerations in hypothetical scenarios as homework and exercises with the instructors.  </w:t>
            </w:r>
          </w:p>
          <w:p w14:paraId="3E77AD33" w14:textId="77777777" w:rsidR="00442287" w:rsidRPr="00C0101A" w:rsidRDefault="00442287" w:rsidP="008F5C6A">
            <w:pPr>
              <w:pStyle w:val="MittleresRaster2"/>
              <w:jc w:val="both"/>
            </w:pPr>
          </w:p>
        </w:tc>
      </w:tr>
      <w:tr w:rsidR="00442287" w:rsidRPr="00C0101A" w14:paraId="68CD8D2C" w14:textId="77777777" w:rsidTr="008F5C6A">
        <w:tc>
          <w:tcPr>
            <w:tcW w:w="1740" w:type="dxa"/>
          </w:tcPr>
          <w:p w14:paraId="74C87023" w14:textId="77777777" w:rsidR="00442287" w:rsidRPr="00C0101A" w:rsidRDefault="00442287" w:rsidP="008F5C6A">
            <w:pPr>
              <w:pStyle w:val="MittleresRaster2"/>
              <w:jc w:val="both"/>
              <w:rPr>
                <w:b/>
              </w:rPr>
            </w:pPr>
            <w:r w:rsidRPr="00C0101A">
              <w:rPr>
                <w:b/>
              </w:rPr>
              <w:t xml:space="preserve">Purpose of the course: </w:t>
            </w:r>
          </w:p>
        </w:tc>
        <w:tc>
          <w:tcPr>
            <w:tcW w:w="7458" w:type="dxa"/>
            <w:gridSpan w:val="4"/>
          </w:tcPr>
          <w:p w14:paraId="4882F0F1" w14:textId="77777777" w:rsidR="00442287" w:rsidRPr="00C0101A" w:rsidRDefault="00442287" w:rsidP="008F5C6A">
            <w:pPr>
              <w:pStyle w:val="MittleresRaster2"/>
              <w:jc w:val="both"/>
              <w:rPr>
                <w:iCs/>
              </w:rPr>
            </w:pPr>
            <w:r w:rsidRPr="00C0101A">
              <w:rPr>
                <w:iCs/>
              </w:rPr>
              <w:t>The aim of the course is to provide students with specific knowledge in the field of private international law of the European Union, the process of harmonization of Kosovo Law with that of the European Union, and to specialize the students in working with modern European Union law in this field which is relevant to the legal status of EU and third-country nationals.</w:t>
            </w:r>
          </w:p>
          <w:p w14:paraId="62621BB3" w14:textId="77777777" w:rsidR="00442287" w:rsidRPr="00C0101A" w:rsidRDefault="00442287" w:rsidP="008F5C6A">
            <w:pPr>
              <w:widowControl w:val="0"/>
              <w:jc w:val="both"/>
              <w:rPr>
                <w:iCs/>
              </w:rPr>
            </w:pPr>
          </w:p>
        </w:tc>
      </w:tr>
      <w:tr w:rsidR="00442287" w:rsidRPr="00C0101A" w14:paraId="02A42350" w14:textId="77777777" w:rsidTr="008F5C6A">
        <w:tc>
          <w:tcPr>
            <w:tcW w:w="1740" w:type="dxa"/>
          </w:tcPr>
          <w:p w14:paraId="30ADC772" w14:textId="77777777" w:rsidR="00442287" w:rsidRPr="00C0101A" w:rsidRDefault="00442287" w:rsidP="008F5C6A">
            <w:pPr>
              <w:pStyle w:val="MittleresRaster2"/>
              <w:jc w:val="both"/>
              <w:rPr>
                <w:b/>
              </w:rPr>
            </w:pPr>
            <w:r w:rsidRPr="00C0101A">
              <w:rPr>
                <w:b/>
              </w:rPr>
              <w:t>Expected results:</w:t>
            </w:r>
          </w:p>
        </w:tc>
        <w:tc>
          <w:tcPr>
            <w:tcW w:w="7458" w:type="dxa"/>
            <w:gridSpan w:val="4"/>
          </w:tcPr>
          <w:p w14:paraId="15C940ED" w14:textId="77777777" w:rsidR="00442287" w:rsidRPr="00C0101A" w:rsidRDefault="00442287" w:rsidP="008F5C6A">
            <w:pPr>
              <w:jc w:val="both"/>
              <w:rPr>
                <w:i/>
              </w:rPr>
            </w:pPr>
            <w:r w:rsidRPr="00C0101A">
              <w:t xml:space="preserve">By the end of this course the students will be able to: </w:t>
            </w:r>
          </w:p>
          <w:p w14:paraId="64CC75C6" w14:textId="77777777" w:rsidR="00442287" w:rsidRPr="00C0101A" w:rsidRDefault="00442287" w:rsidP="00442287">
            <w:pPr>
              <w:numPr>
                <w:ilvl w:val="0"/>
                <w:numId w:val="9"/>
              </w:numPr>
              <w:overflowPunct/>
              <w:autoSpaceDE/>
              <w:autoSpaceDN/>
              <w:adjustRightInd/>
              <w:jc w:val="both"/>
              <w:textAlignment w:val="auto"/>
            </w:pPr>
            <w:r w:rsidRPr="00C0101A">
              <w:t>Identify the sources of private international law in the European Union in civil, commercial and family matters;</w:t>
            </w:r>
          </w:p>
          <w:p w14:paraId="12CF172E" w14:textId="77777777" w:rsidR="00442287" w:rsidRPr="00C0101A" w:rsidRDefault="00442287" w:rsidP="00442287">
            <w:pPr>
              <w:numPr>
                <w:ilvl w:val="0"/>
                <w:numId w:val="9"/>
              </w:numPr>
              <w:overflowPunct/>
              <w:autoSpaceDE/>
              <w:autoSpaceDN/>
              <w:adjustRightInd/>
              <w:jc w:val="both"/>
              <w:textAlignment w:val="auto"/>
            </w:pPr>
            <w:r w:rsidRPr="00C0101A">
              <w:t>Familiarize themselves with the key contents of the said sources;</w:t>
            </w:r>
          </w:p>
          <w:p w14:paraId="2DB908EB" w14:textId="77777777" w:rsidR="00442287" w:rsidRPr="00C0101A" w:rsidRDefault="00442287" w:rsidP="00442287">
            <w:pPr>
              <w:numPr>
                <w:ilvl w:val="0"/>
                <w:numId w:val="9"/>
              </w:numPr>
              <w:overflowPunct/>
              <w:autoSpaceDE/>
              <w:autoSpaceDN/>
              <w:adjustRightInd/>
              <w:jc w:val="both"/>
              <w:textAlignment w:val="auto"/>
            </w:pPr>
            <w:r w:rsidRPr="00C0101A">
              <w:t>Distinguish between EU sources on applicable law versus ones on procedural rules in civil and commercial matters;</w:t>
            </w:r>
          </w:p>
          <w:p w14:paraId="2E97E49B" w14:textId="77777777" w:rsidR="00442287" w:rsidRPr="00C0101A" w:rsidRDefault="00442287" w:rsidP="00442287">
            <w:pPr>
              <w:numPr>
                <w:ilvl w:val="0"/>
                <w:numId w:val="9"/>
              </w:numPr>
              <w:overflowPunct/>
              <w:autoSpaceDE/>
              <w:autoSpaceDN/>
              <w:adjustRightInd/>
              <w:jc w:val="both"/>
              <w:textAlignment w:val="auto"/>
            </w:pPr>
            <w:r w:rsidRPr="00C0101A">
              <w:t>Distinguish between EU sources on applicable law versus ones on procedural rules in civil and family matters;</w:t>
            </w:r>
          </w:p>
          <w:p w14:paraId="1429E1DB" w14:textId="77777777" w:rsidR="00442287" w:rsidRPr="00C0101A" w:rsidRDefault="00442287" w:rsidP="00442287">
            <w:pPr>
              <w:numPr>
                <w:ilvl w:val="0"/>
                <w:numId w:val="9"/>
              </w:numPr>
              <w:overflowPunct/>
              <w:autoSpaceDE/>
              <w:autoSpaceDN/>
              <w:adjustRightInd/>
              <w:jc w:val="both"/>
              <w:textAlignment w:val="auto"/>
            </w:pPr>
            <w:r w:rsidRPr="00C0101A">
              <w:t>Apply the said sources to respective scenarios developed as homework and classwork;</w:t>
            </w:r>
          </w:p>
          <w:p w14:paraId="25CA5658" w14:textId="77777777" w:rsidR="00442287" w:rsidRPr="00C0101A" w:rsidRDefault="00442287" w:rsidP="00442287">
            <w:pPr>
              <w:numPr>
                <w:ilvl w:val="0"/>
                <w:numId w:val="9"/>
              </w:numPr>
              <w:overflowPunct/>
              <w:autoSpaceDE/>
              <w:autoSpaceDN/>
              <w:adjustRightInd/>
              <w:jc w:val="both"/>
              <w:textAlignment w:val="auto"/>
            </w:pPr>
            <w:r w:rsidRPr="00C0101A">
              <w:t xml:space="preserve">Identify parallels of </w:t>
            </w:r>
            <w:proofErr w:type="spellStart"/>
            <w:r w:rsidRPr="00C0101A">
              <w:t>harmonised</w:t>
            </w:r>
            <w:proofErr w:type="spellEnd"/>
            <w:r w:rsidRPr="00C0101A">
              <w:t xml:space="preserve"> Kosovo PIL provisions with the equivalent European provisions</w:t>
            </w:r>
          </w:p>
          <w:p w14:paraId="5E5F21E4" w14:textId="77777777" w:rsidR="00442287" w:rsidRPr="00C0101A" w:rsidRDefault="00442287" w:rsidP="00442287">
            <w:pPr>
              <w:numPr>
                <w:ilvl w:val="0"/>
                <w:numId w:val="9"/>
              </w:numPr>
              <w:overflowPunct/>
              <w:autoSpaceDE/>
              <w:autoSpaceDN/>
              <w:adjustRightInd/>
              <w:jc w:val="both"/>
              <w:textAlignment w:val="auto"/>
              <w:rPr>
                <w:i/>
              </w:rPr>
            </w:pPr>
            <w:r w:rsidRPr="00C0101A">
              <w:t xml:space="preserve">Conduct comparative analysis between Kosovo PIL provisions and relevant provisions of European Union Member States.  </w:t>
            </w:r>
          </w:p>
        </w:tc>
      </w:tr>
      <w:tr w:rsidR="00442287" w:rsidRPr="00C0101A" w14:paraId="7CE9D40B" w14:textId="77777777" w:rsidTr="008F5C6A">
        <w:tc>
          <w:tcPr>
            <w:tcW w:w="9198" w:type="dxa"/>
            <w:gridSpan w:val="5"/>
          </w:tcPr>
          <w:p w14:paraId="6DEB74B9" w14:textId="77777777" w:rsidR="00442287" w:rsidRPr="00C0101A" w:rsidRDefault="00442287" w:rsidP="008F5C6A">
            <w:pPr>
              <w:pStyle w:val="MittleresRaster2"/>
              <w:jc w:val="both"/>
              <w:rPr>
                <w:i/>
              </w:rPr>
            </w:pPr>
          </w:p>
        </w:tc>
      </w:tr>
      <w:tr w:rsidR="00442287" w:rsidRPr="00C0101A" w14:paraId="7B548D39" w14:textId="77777777" w:rsidTr="008F5C6A">
        <w:trPr>
          <w:trHeight w:val="563"/>
        </w:trPr>
        <w:tc>
          <w:tcPr>
            <w:tcW w:w="9198" w:type="dxa"/>
            <w:gridSpan w:val="5"/>
          </w:tcPr>
          <w:p w14:paraId="31789E10" w14:textId="77777777" w:rsidR="00442287" w:rsidRPr="00147802" w:rsidRDefault="00442287" w:rsidP="008F5C6A">
            <w:pPr>
              <w:pStyle w:val="MittleresRaster2"/>
              <w:spacing w:line="276" w:lineRule="auto"/>
              <w:jc w:val="both"/>
              <w:rPr>
                <w:b/>
                <w:lang w:val="en-GB"/>
              </w:rPr>
            </w:pPr>
            <w:r w:rsidRPr="00147802">
              <w:rPr>
                <w:b/>
                <w:lang w:val="en-GB"/>
              </w:rPr>
              <w:t>Contribution in the workload of the student (which therefore should correspond with the results of the student)</w:t>
            </w:r>
          </w:p>
        </w:tc>
      </w:tr>
      <w:tr w:rsidR="00442287" w:rsidRPr="00C0101A" w14:paraId="6EEF2B00" w14:textId="77777777" w:rsidTr="008F5C6A">
        <w:tc>
          <w:tcPr>
            <w:tcW w:w="1740" w:type="dxa"/>
            <w:tcBorders>
              <w:right w:val="single" w:sz="4" w:space="0" w:color="auto"/>
            </w:tcBorders>
          </w:tcPr>
          <w:p w14:paraId="75BAB37F" w14:textId="77777777" w:rsidR="00442287" w:rsidRPr="00147802" w:rsidRDefault="00442287" w:rsidP="008F5C6A">
            <w:pPr>
              <w:widowControl w:val="0"/>
              <w:jc w:val="both"/>
            </w:pPr>
            <w:r w:rsidRPr="00147802">
              <w:lastRenderedPageBreak/>
              <w:t>Activity</w:t>
            </w:r>
          </w:p>
        </w:tc>
        <w:tc>
          <w:tcPr>
            <w:tcW w:w="1957" w:type="dxa"/>
            <w:gridSpan w:val="2"/>
            <w:tcBorders>
              <w:left w:val="single" w:sz="4" w:space="0" w:color="auto"/>
              <w:right w:val="single" w:sz="4" w:space="0" w:color="auto"/>
            </w:tcBorders>
          </w:tcPr>
          <w:p w14:paraId="16850FA4" w14:textId="77777777" w:rsidR="00442287" w:rsidRPr="00147802" w:rsidRDefault="00442287" w:rsidP="008F5C6A">
            <w:pPr>
              <w:widowControl w:val="0"/>
              <w:jc w:val="both"/>
            </w:pPr>
            <w:r w:rsidRPr="00147802">
              <w:t>Hours</w:t>
            </w:r>
          </w:p>
        </w:tc>
        <w:tc>
          <w:tcPr>
            <w:tcW w:w="3373" w:type="dxa"/>
            <w:tcBorders>
              <w:left w:val="single" w:sz="4" w:space="0" w:color="auto"/>
              <w:right w:val="single" w:sz="4" w:space="0" w:color="auto"/>
            </w:tcBorders>
          </w:tcPr>
          <w:p w14:paraId="09B5CDD7" w14:textId="77777777" w:rsidR="00442287" w:rsidRPr="00147802" w:rsidRDefault="00442287" w:rsidP="008F5C6A">
            <w:pPr>
              <w:widowControl w:val="0"/>
              <w:jc w:val="both"/>
            </w:pPr>
            <w:r w:rsidRPr="00147802">
              <w:t>Days/Weeks</w:t>
            </w:r>
          </w:p>
        </w:tc>
        <w:tc>
          <w:tcPr>
            <w:tcW w:w="2128" w:type="dxa"/>
            <w:tcBorders>
              <w:left w:val="single" w:sz="4" w:space="0" w:color="auto"/>
            </w:tcBorders>
          </w:tcPr>
          <w:p w14:paraId="1EA65A9E" w14:textId="77777777" w:rsidR="00442287" w:rsidRPr="00147802" w:rsidRDefault="00442287" w:rsidP="008F5C6A">
            <w:pPr>
              <w:widowControl w:val="0"/>
              <w:jc w:val="both"/>
            </w:pPr>
            <w:r w:rsidRPr="00147802">
              <w:t>Total</w:t>
            </w:r>
          </w:p>
        </w:tc>
      </w:tr>
      <w:tr w:rsidR="00442287" w:rsidRPr="00C0101A" w14:paraId="676D1654" w14:textId="77777777" w:rsidTr="008F5C6A">
        <w:tc>
          <w:tcPr>
            <w:tcW w:w="1740" w:type="dxa"/>
            <w:tcBorders>
              <w:right w:val="single" w:sz="4" w:space="0" w:color="auto"/>
            </w:tcBorders>
            <w:shd w:val="clear" w:color="auto" w:fill="FFFFFF"/>
          </w:tcPr>
          <w:p w14:paraId="68518367" w14:textId="77777777" w:rsidR="00442287" w:rsidRPr="00147802" w:rsidRDefault="00442287" w:rsidP="008F5C6A">
            <w:pPr>
              <w:widowControl w:val="0"/>
              <w:jc w:val="both"/>
            </w:pPr>
            <w:r w:rsidRPr="00147802">
              <w:t>Lectures</w:t>
            </w:r>
          </w:p>
        </w:tc>
        <w:tc>
          <w:tcPr>
            <w:tcW w:w="1957" w:type="dxa"/>
            <w:gridSpan w:val="2"/>
            <w:tcBorders>
              <w:left w:val="single" w:sz="4" w:space="0" w:color="auto"/>
              <w:right w:val="single" w:sz="4" w:space="0" w:color="auto"/>
            </w:tcBorders>
            <w:shd w:val="clear" w:color="auto" w:fill="FFFFFF"/>
          </w:tcPr>
          <w:p w14:paraId="1A2AEF8C" w14:textId="77777777" w:rsidR="00442287" w:rsidRDefault="00442287" w:rsidP="008F5C6A">
            <w:pPr>
              <w:rPr>
                <w:rFonts w:ascii="Calibri" w:hAnsi="Calibri" w:cs="Calibri"/>
              </w:rPr>
            </w:pPr>
            <w:r>
              <w:rPr>
                <w:rFonts w:ascii="Calibri" w:hAnsi="Calibri" w:cs="Calibri"/>
              </w:rPr>
              <w:t>2</w:t>
            </w:r>
          </w:p>
        </w:tc>
        <w:tc>
          <w:tcPr>
            <w:tcW w:w="3373" w:type="dxa"/>
            <w:tcBorders>
              <w:left w:val="single" w:sz="4" w:space="0" w:color="auto"/>
              <w:right w:val="single" w:sz="4" w:space="0" w:color="auto"/>
            </w:tcBorders>
            <w:shd w:val="clear" w:color="auto" w:fill="FFFFFF"/>
          </w:tcPr>
          <w:p w14:paraId="7C347B43" w14:textId="77777777" w:rsidR="00442287" w:rsidRDefault="00442287" w:rsidP="008F5C6A">
            <w:pPr>
              <w:rPr>
                <w:rFonts w:ascii="Calibri" w:hAnsi="Calibri" w:cs="Calibri"/>
                <w:lang w:eastAsia="en-GB"/>
              </w:rPr>
            </w:pPr>
            <w:r>
              <w:rPr>
                <w:rFonts w:ascii="Calibri" w:hAnsi="Calibri" w:cs="Calibri"/>
              </w:rPr>
              <w:t>15</w:t>
            </w:r>
          </w:p>
        </w:tc>
        <w:tc>
          <w:tcPr>
            <w:tcW w:w="2128" w:type="dxa"/>
            <w:tcBorders>
              <w:left w:val="single" w:sz="4" w:space="0" w:color="auto"/>
            </w:tcBorders>
            <w:shd w:val="clear" w:color="auto" w:fill="FFFFFF"/>
          </w:tcPr>
          <w:p w14:paraId="0469BC65" w14:textId="77777777" w:rsidR="00442287" w:rsidRDefault="00442287" w:rsidP="008F5C6A">
            <w:pPr>
              <w:rPr>
                <w:rFonts w:ascii="Calibri" w:hAnsi="Calibri" w:cs="Calibri"/>
              </w:rPr>
            </w:pPr>
            <w:r>
              <w:rPr>
                <w:rFonts w:ascii="Calibri" w:hAnsi="Calibri" w:cs="Calibri"/>
              </w:rPr>
              <w:t>30</w:t>
            </w:r>
          </w:p>
        </w:tc>
      </w:tr>
      <w:tr w:rsidR="00442287" w:rsidRPr="00C0101A" w14:paraId="3798DF99" w14:textId="77777777" w:rsidTr="008F5C6A">
        <w:tc>
          <w:tcPr>
            <w:tcW w:w="1740" w:type="dxa"/>
            <w:tcBorders>
              <w:right w:val="single" w:sz="4" w:space="0" w:color="auto"/>
            </w:tcBorders>
            <w:shd w:val="clear" w:color="auto" w:fill="FFFFFF"/>
          </w:tcPr>
          <w:p w14:paraId="5EFE71BA" w14:textId="77777777" w:rsidR="00442287" w:rsidRPr="00147802" w:rsidRDefault="00442287" w:rsidP="008F5C6A">
            <w:pPr>
              <w:widowControl w:val="0"/>
              <w:jc w:val="both"/>
            </w:pPr>
            <w:r w:rsidRPr="00147802">
              <w:t>Theoretical exercises / laboratory</w:t>
            </w:r>
          </w:p>
        </w:tc>
        <w:tc>
          <w:tcPr>
            <w:tcW w:w="1957" w:type="dxa"/>
            <w:gridSpan w:val="2"/>
            <w:tcBorders>
              <w:left w:val="single" w:sz="4" w:space="0" w:color="auto"/>
              <w:right w:val="single" w:sz="4" w:space="0" w:color="auto"/>
            </w:tcBorders>
            <w:shd w:val="clear" w:color="auto" w:fill="FFFFFF"/>
          </w:tcPr>
          <w:p w14:paraId="625DC4E9" w14:textId="77777777" w:rsidR="00442287" w:rsidRDefault="00442287" w:rsidP="008F5C6A">
            <w:pPr>
              <w:rPr>
                <w:rFonts w:ascii="Calibri" w:hAnsi="Calibri" w:cs="Calibri"/>
              </w:rPr>
            </w:pPr>
            <w:r>
              <w:rPr>
                <w:rFonts w:ascii="Calibri" w:hAnsi="Calibri" w:cs="Calibri"/>
              </w:rPr>
              <w:t>1</w:t>
            </w:r>
          </w:p>
        </w:tc>
        <w:tc>
          <w:tcPr>
            <w:tcW w:w="3373" w:type="dxa"/>
            <w:tcBorders>
              <w:left w:val="single" w:sz="4" w:space="0" w:color="auto"/>
              <w:right w:val="single" w:sz="4" w:space="0" w:color="auto"/>
            </w:tcBorders>
            <w:shd w:val="clear" w:color="auto" w:fill="FFFFFF"/>
          </w:tcPr>
          <w:p w14:paraId="4257FE67" w14:textId="77777777" w:rsidR="00442287" w:rsidRDefault="00442287" w:rsidP="008F5C6A">
            <w:pPr>
              <w:rPr>
                <w:rFonts w:ascii="Calibri" w:hAnsi="Calibri" w:cs="Calibri"/>
              </w:rPr>
            </w:pPr>
            <w:r>
              <w:rPr>
                <w:rFonts w:ascii="Calibri" w:hAnsi="Calibri" w:cs="Calibri"/>
              </w:rPr>
              <w:t>15</w:t>
            </w:r>
          </w:p>
        </w:tc>
        <w:tc>
          <w:tcPr>
            <w:tcW w:w="2128" w:type="dxa"/>
            <w:tcBorders>
              <w:left w:val="single" w:sz="4" w:space="0" w:color="auto"/>
            </w:tcBorders>
            <w:shd w:val="clear" w:color="auto" w:fill="FFFFFF"/>
          </w:tcPr>
          <w:p w14:paraId="44C79481" w14:textId="77777777" w:rsidR="00442287" w:rsidRDefault="00442287" w:rsidP="008F5C6A">
            <w:pPr>
              <w:rPr>
                <w:rFonts w:ascii="Calibri" w:hAnsi="Calibri" w:cs="Calibri"/>
              </w:rPr>
            </w:pPr>
            <w:r>
              <w:rPr>
                <w:rFonts w:ascii="Calibri" w:hAnsi="Calibri" w:cs="Calibri"/>
              </w:rPr>
              <w:t>15</w:t>
            </w:r>
          </w:p>
        </w:tc>
      </w:tr>
      <w:tr w:rsidR="00442287" w:rsidRPr="00C0101A" w14:paraId="1139044A" w14:textId="77777777" w:rsidTr="008F5C6A">
        <w:tc>
          <w:tcPr>
            <w:tcW w:w="1740" w:type="dxa"/>
            <w:tcBorders>
              <w:right w:val="single" w:sz="4" w:space="0" w:color="auto"/>
            </w:tcBorders>
            <w:shd w:val="clear" w:color="auto" w:fill="FFFFFF"/>
          </w:tcPr>
          <w:p w14:paraId="7EC6B609" w14:textId="77777777" w:rsidR="00442287" w:rsidRPr="00147802" w:rsidRDefault="00442287" w:rsidP="008F5C6A">
            <w:pPr>
              <w:widowControl w:val="0"/>
              <w:jc w:val="both"/>
            </w:pPr>
            <w:r w:rsidRPr="00147802">
              <w:t>Tutorial</w:t>
            </w:r>
          </w:p>
        </w:tc>
        <w:tc>
          <w:tcPr>
            <w:tcW w:w="1957" w:type="dxa"/>
            <w:gridSpan w:val="2"/>
            <w:tcBorders>
              <w:left w:val="single" w:sz="4" w:space="0" w:color="auto"/>
              <w:right w:val="single" w:sz="4" w:space="0" w:color="auto"/>
            </w:tcBorders>
            <w:shd w:val="clear" w:color="auto" w:fill="FFFFFF"/>
          </w:tcPr>
          <w:p w14:paraId="28428616" w14:textId="77777777" w:rsidR="00442287" w:rsidRDefault="00442287" w:rsidP="008F5C6A">
            <w:pPr>
              <w:rPr>
                <w:rFonts w:ascii="Calibri" w:hAnsi="Calibri" w:cs="Calibri"/>
              </w:rPr>
            </w:pPr>
            <w:r>
              <w:rPr>
                <w:rFonts w:ascii="Calibri" w:hAnsi="Calibri" w:cs="Calibri"/>
              </w:rPr>
              <w:t>-</w:t>
            </w:r>
          </w:p>
        </w:tc>
        <w:tc>
          <w:tcPr>
            <w:tcW w:w="3373" w:type="dxa"/>
            <w:tcBorders>
              <w:left w:val="single" w:sz="4" w:space="0" w:color="auto"/>
              <w:right w:val="single" w:sz="4" w:space="0" w:color="auto"/>
            </w:tcBorders>
            <w:shd w:val="clear" w:color="auto" w:fill="FFFFFF"/>
          </w:tcPr>
          <w:p w14:paraId="1B1EB590" w14:textId="77777777" w:rsidR="00442287" w:rsidRDefault="00442287" w:rsidP="008F5C6A">
            <w:pPr>
              <w:rPr>
                <w:rFonts w:ascii="Calibri" w:hAnsi="Calibri" w:cs="Calibri"/>
              </w:rPr>
            </w:pPr>
            <w:r>
              <w:rPr>
                <w:rFonts w:ascii="Calibri" w:hAnsi="Calibri" w:cs="Calibri"/>
              </w:rPr>
              <w:t>-</w:t>
            </w:r>
          </w:p>
        </w:tc>
        <w:tc>
          <w:tcPr>
            <w:tcW w:w="2128" w:type="dxa"/>
            <w:tcBorders>
              <w:left w:val="single" w:sz="4" w:space="0" w:color="auto"/>
            </w:tcBorders>
            <w:shd w:val="clear" w:color="auto" w:fill="FFFFFF"/>
          </w:tcPr>
          <w:p w14:paraId="0428184D" w14:textId="77777777" w:rsidR="00442287" w:rsidRDefault="00442287" w:rsidP="008F5C6A">
            <w:pPr>
              <w:rPr>
                <w:rFonts w:ascii="Calibri" w:hAnsi="Calibri" w:cs="Calibri"/>
              </w:rPr>
            </w:pPr>
            <w:r>
              <w:rPr>
                <w:rFonts w:ascii="Calibri" w:hAnsi="Calibri" w:cs="Calibri"/>
              </w:rPr>
              <w:t>-</w:t>
            </w:r>
          </w:p>
        </w:tc>
      </w:tr>
      <w:tr w:rsidR="00442287" w:rsidRPr="00C0101A" w14:paraId="29996405" w14:textId="77777777" w:rsidTr="008F5C6A">
        <w:tc>
          <w:tcPr>
            <w:tcW w:w="1740" w:type="dxa"/>
            <w:tcBorders>
              <w:right w:val="single" w:sz="4" w:space="0" w:color="auto"/>
            </w:tcBorders>
            <w:shd w:val="clear" w:color="auto" w:fill="FFFFFF"/>
          </w:tcPr>
          <w:p w14:paraId="536634D8" w14:textId="77777777" w:rsidR="00442287" w:rsidRPr="00147802" w:rsidRDefault="00442287" w:rsidP="008F5C6A">
            <w:pPr>
              <w:widowControl w:val="0"/>
              <w:jc w:val="both"/>
            </w:pPr>
            <w:r w:rsidRPr="00147802">
              <w:t>Contacts with teacher / consultations</w:t>
            </w:r>
          </w:p>
        </w:tc>
        <w:tc>
          <w:tcPr>
            <w:tcW w:w="1957" w:type="dxa"/>
            <w:gridSpan w:val="2"/>
            <w:tcBorders>
              <w:left w:val="single" w:sz="4" w:space="0" w:color="auto"/>
              <w:right w:val="single" w:sz="4" w:space="0" w:color="auto"/>
            </w:tcBorders>
            <w:shd w:val="clear" w:color="auto" w:fill="FFFFFF"/>
          </w:tcPr>
          <w:p w14:paraId="13061185" w14:textId="77777777" w:rsidR="00442287" w:rsidRDefault="00442287" w:rsidP="008F5C6A">
            <w:pPr>
              <w:rPr>
                <w:rFonts w:ascii="Calibri" w:hAnsi="Calibri" w:cs="Calibri"/>
              </w:rPr>
            </w:pPr>
            <w:r>
              <w:rPr>
                <w:rFonts w:ascii="Calibri" w:hAnsi="Calibri" w:cs="Calibri"/>
              </w:rPr>
              <w:t>10 min.</w:t>
            </w:r>
          </w:p>
        </w:tc>
        <w:tc>
          <w:tcPr>
            <w:tcW w:w="3373" w:type="dxa"/>
            <w:tcBorders>
              <w:left w:val="single" w:sz="4" w:space="0" w:color="auto"/>
              <w:right w:val="single" w:sz="4" w:space="0" w:color="auto"/>
            </w:tcBorders>
            <w:shd w:val="clear" w:color="auto" w:fill="FFFFFF"/>
          </w:tcPr>
          <w:p w14:paraId="6ADAE6FE" w14:textId="77777777" w:rsidR="00442287" w:rsidRDefault="00442287" w:rsidP="008F5C6A">
            <w:pPr>
              <w:rPr>
                <w:rFonts w:ascii="Calibri" w:hAnsi="Calibri" w:cs="Calibri"/>
              </w:rPr>
            </w:pPr>
            <w:r>
              <w:rPr>
                <w:rFonts w:ascii="Calibri" w:hAnsi="Calibri" w:cs="Calibri"/>
              </w:rPr>
              <w:t>15</w:t>
            </w:r>
          </w:p>
        </w:tc>
        <w:tc>
          <w:tcPr>
            <w:tcW w:w="2128" w:type="dxa"/>
            <w:tcBorders>
              <w:left w:val="single" w:sz="4" w:space="0" w:color="auto"/>
            </w:tcBorders>
            <w:shd w:val="clear" w:color="auto" w:fill="FFFFFF"/>
          </w:tcPr>
          <w:p w14:paraId="6ADC89A5" w14:textId="77777777" w:rsidR="00442287" w:rsidRDefault="00442287" w:rsidP="008F5C6A">
            <w:pPr>
              <w:rPr>
                <w:rFonts w:ascii="Calibri" w:hAnsi="Calibri" w:cs="Calibri"/>
              </w:rPr>
            </w:pPr>
            <w:r>
              <w:rPr>
                <w:rFonts w:ascii="Calibri" w:hAnsi="Calibri" w:cs="Calibri"/>
              </w:rPr>
              <w:t>2.5</w:t>
            </w:r>
          </w:p>
        </w:tc>
      </w:tr>
      <w:tr w:rsidR="00442287" w:rsidRPr="00C0101A" w14:paraId="1004F15F" w14:textId="77777777" w:rsidTr="008F5C6A">
        <w:trPr>
          <w:trHeight w:val="283"/>
        </w:trPr>
        <w:tc>
          <w:tcPr>
            <w:tcW w:w="1740" w:type="dxa"/>
            <w:tcBorders>
              <w:right w:val="single" w:sz="4" w:space="0" w:color="auto"/>
            </w:tcBorders>
            <w:shd w:val="clear" w:color="auto" w:fill="FFFFFF"/>
          </w:tcPr>
          <w:p w14:paraId="7C9EEF00" w14:textId="77777777" w:rsidR="00442287" w:rsidRPr="00147802" w:rsidRDefault="00442287" w:rsidP="008F5C6A">
            <w:pPr>
              <w:widowControl w:val="0"/>
              <w:jc w:val="both"/>
            </w:pPr>
            <w:r w:rsidRPr="00147802">
              <w:t>Field exercises</w:t>
            </w:r>
          </w:p>
        </w:tc>
        <w:tc>
          <w:tcPr>
            <w:tcW w:w="1957" w:type="dxa"/>
            <w:gridSpan w:val="2"/>
            <w:tcBorders>
              <w:left w:val="single" w:sz="4" w:space="0" w:color="auto"/>
              <w:right w:val="single" w:sz="4" w:space="0" w:color="auto"/>
            </w:tcBorders>
            <w:shd w:val="clear" w:color="auto" w:fill="FFFFFF"/>
          </w:tcPr>
          <w:p w14:paraId="7843D55F" w14:textId="77777777" w:rsidR="00442287" w:rsidRDefault="00442287" w:rsidP="008F5C6A">
            <w:pPr>
              <w:rPr>
                <w:rFonts w:ascii="Calibri" w:hAnsi="Calibri" w:cs="Calibri"/>
              </w:rPr>
            </w:pPr>
            <w:r>
              <w:rPr>
                <w:rFonts w:ascii="Calibri" w:hAnsi="Calibri" w:cs="Calibri"/>
              </w:rPr>
              <w:t>-</w:t>
            </w:r>
          </w:p>
        </w:tc>
        <w:tc>
          <w:tcPr>
            <w:tcW w:w="3373" w:type="dxa"/>
            <w:tcBorders>
              <w:left w:val="single" w:sz="4" w:space="0" w:color="auto"/>
              <w:right w:val="single" w:sz="4" w:space="0" w:color="auto"/>
            </w:tcBorders>
            <w:shd w:val="clear" w:color="auto" w:fill="FFFFFF"/>
          </w:tcPr>
          <w:p w14:paraId="5D5D9FD0" w14:textId="77777777" w:rsidR="00442287" w:rsidRDefault="00442287" w:rsidP="008F5C6A">
            <w:pPr>
              <w:rPr>
                <w:rFonts w:ascii="Calibri" w:hAnsi="Calibri" w:cs="Calibri"/>
              </w:rPr>
            </w:pPr>
            <w:r>
              <w:rPr>
                <w:rFonts w:ascii="Calibri" w:hAnsi="Calibri" w:cs="Calibri"/>
              </w:rPr>
              <w:t>-</w:t>
            </w:r>
          </w:p>
        </w:tc>
        <w:tc>
          <w:tcPr>
            <w:tcW w:w="2128" w:type="dxa"/>
            <w:tcBorders>
              <w:left w:val="single" w:sz="4" w:space="0" w:color="auto"/>
            </w:tcBorders>
            <w:shd w:val="clear" w:color="auto" w:fill="FFFFFF"/>
          </w:tcPr>
          <w:p w14:paraId="6BC8C39B" w14:textId="77777777" w:rsidR="00442287" w:rsidRDefault="00442287" w:rsidP="008F5C6A">
            <w:pPr>
              <w:rPr>
                <w:rFonts w:ascii="Calibri" w:hAnsi="Calibri" w:cs="Calibri"/>
              </w:rPr>
            </w:pPr>
            <w:r>
              <w:rPr>
                <w:rFonts w:ascii="Calibri" w:hAnsi="Calibri" w:cs="Calibri"/>
              </w:rPr>
              <w:t>-</w:t>
            </w:r>
          </w:p>
        </w:tc>
      </w:tr>
      <w:tr w:rsidR="00442287" w:rsidRPr="00C0101A" w14:paraId="4ED9CF07" w14:textId="77777777" w:rsidTr="008F5C6A">
        <w:tc>
          <w:tcPr>
            <w:tcW w:w="1740" w:type="dxa"/>
            <w:tcBorders>
              <w:right w:val="single" w:sz="4" w:space="0" w:color="auto"/>
            </w:tcBorders>
            <w:shd w:val="clear" w:color="auto" w:fill="FFFFFF"/>
          </w:tcPr>
          <w:p w14:paraId="28AC77E5" w14:textId="77777777" w:rsidR="00442287" w:rsidRPr="00147802" w:rsidRDefault="00442287" w:rsidP="008F5C6A">
            <w:pPr>
              <w:widowControl w:val="0"/>
              <w:jc w:val="both"/>
            </w:pPr>
            <w:r w:rsidRPr="00147802">
              <w:t>Mid-terms, seminars</w:t>
            </w:r>
          </w:p>
        </w:tc>
        <w:tc>
          <w:tcPr>
            <w:tcW w:w="1957" w:type="dxa"/>
            <w:gridSpan w:val="2"/>
            <w:tcBorders>
              <w:left w:val="single" w:sz="4" w:space="0" w:color="auto"/>
              <w:right w:val="single" w:sz="4" w:space="0" w:color="auto"/>
            </w:tcBorders>
            <w:shd w:val="clear" w:color="auto" w:fill="FFFFFF"/>
          </w:tcPr>
          <w:p w14:paraId="7B80505F" w14:textId="77777777" w:rsidR="00442287" w:rsidRDefault="00442287" w:rsidP="008F5C6A">
            <w:pPr>
              <w:rPr>
                <w:rFonts w:ascii="Calibri" w:hAnsi="Calibri" w:cs="Calibri"/>
              </w:rPr>
            </w:pPr>
            <w:r>
              <w:rPr>
                <w:rFonts w:ascii="Calibri" w:hAnsi="Calibri" w:cs="Calibri"/>
              </w:rPr>
              <w:t>1</w:t>
            </w:r>
          </w:p>
        </w:tc>
        <w:tc>
          <w:tcPr>
            <w:tcW w:w="3373" w:type="dxa"/>
            <w:tcBorders>
              <w:left w:val="single" w:sz="4" w:space="0" w:color="auto"/>
              <w:right w:val="single" w:sz="4" w:space="0" w:color="auto"/>
            </w:tcBorders>
            <w:shd w:val="clear" w:color="auto" w:fill="FFFFFF"/>
          </w:tcPr>
          <w:p w14:paraId="049857F5" w14:textId="77777777" w:rsidR="00442287" w:rsidRDefault="00442287" w:rsidP="008F5C6A">
            <w:pPr>
              <w:rPr>
                <w:rFonts w:ascii="Calibri" w:hAnsi="Calibri" w:cs="Calibri"/>
              </w:rPr>
            </w:pPr>
            <w:r>
              <w:rPr>
                <w:rFonts w:ascii="Calibri" w:hAnsi="Calibri" w:cs="Calibri"/>
              </w:rPr>
              <w:t>2</w:t>
            </w:r>
          </w:p>
        </w:tc>
        <w:tc>
          <w:tcPr>
            <w:tcW w:w="2128" w:type="dxa"/>
            <w:tcBorders>
              <w:left w:val="single" w:sz="4" w:space="0" w:color="auto"/>
            </w:tcBorders>
            <w:shd w:val="clear" w:color="auto" w:fill="FFFFFF"/>
          </w:tcPr>
          <w:p w14:paraId="637306D4" w14:textId="77777777" w:rsidR="00442287" w:rsidRDefault="00442287" w:rsidP="008F5C6A">
            <w:pPr>
              <w:rPr>
                <w:rFonts w:ascii="Calibri" w:hAnsi="Calibri" w:cs="Calibri"/>
              </w:rPr>
            </w:pPr>
            <w:r>
              <w:rPr>
                <w:rFonts w:ascii="Calibri" w:hAnsi="Calibri" w:cs="Calibri"/>
              </w:rPr>
              <w:t>2</w:t>
            </w:r>
          </w:p>
        </w:tc>
      </w:tr>
      <w:tr w:rsidR="00442287" w:rsidRPr="00C0101A" w14:paraId="5ADF0409" w14:textId="77777777" w:rsidTr="008F5C6A">
        <w:tc>
          <w:tcPr>
            <w:tcW w:w="1740" w:type="dxa"/>
            <w:tcBorders>
              <w:right w:val="single" w:sz="4" w:space="0" w:color="auto"/>
            </w:tcBorders>
            <w:shd w:val="clear" w:color="auto" w:fill="FFFFFF"/>
          </w:tcPr>
          <w:p w14:paraId="14E81B7C" w14:textId="77777777" w:rsidR="00442287" w:rsidRPr="00147802" w:rsidRDefault="00442287" w:rsidP="008F5C6A">
            <w:pPr>
              <w:widowControl w:val="0"/>
              <w:jc w:val="both"/>
            </w:pPr>
            <w:r w:rsidRPr="00147802">
              <w:t>Homework</w:t>
            </w:r>
          </w:p>
        </w:tc>
        <w:tc>
          <w:tcPr>
            <w:tcW w:w="1957" w:type="dxa"/>
            <w:gridSpan w:val="2"/>
            <w:tcBorders>
              <w:left w:val="single" w:sz="4" w:space="0" w:color="auto"/>
              <w:right w:val="single" w:sz="4" w:space="0" w:color="auto"/>
            </w:tcBorders>
            <w:shd w:val="clear" w:color="auto" w:fill="FFFFFF"/>
          </w:tcPr>
          <w:p w14:paraId="277312A7" w14:textId="77777777" w:rsidR="00442287" w:rsidRDefault="00442287" w:rsidP="008F5C6A">
            <w:pPr>
              <w:rPr>
                <w:rFonts w:ascii="Calibri" w:hAnsi="Calibri" w:cs="Calibri"/>
              </w:rPr>
            </w:pPr>
            <w:r>
              <w:rPr>
                <w:rFonts w:ascii="Calibri" w:hAnsi="Calibri" w:cs="Calibri"/>
              </w:rPr>
              <w:t>-</w:t>
            </w:r>
          </w:p>
        </w:tc>
        <w:tc>
          <w:tcPr>
            <w:tcW w:w="3373" w:type="dxa"/>
            <w:tcBorders>
              <w:left w:val="single" w:sz="4" w:space="0" w:color="auto"/>
              <w:right w:val="single" w:sz="4" w:space="0" w:color="auto"/>
            </w:tcBorders>
            <w:shd w:val="clear" w:color="auto" w:fill="FFFFFF"/>
          </w:tcPr>
          <w:p w14:paraId="049F69C3" w14:textId="77777777" w:rsidR="00442287" w:rsidRDefault="00442287" w:rsidP="008F5C6A">
            <w:pPr>
              <w:rPr>
                <w:rFonts w:ascii="Calibri" w:hAnsi="Calibri" w:cs="Calibri"/>
              </w:rPr>
            </w:pPr>
            <w:r>
              <w:rPr>
                <w:rFonts w:ascii="Calibri" w:hAnsi="Calibri" w:cs="Calibri"/>
              </w:rPr>
              <w:t>-</w:t>
            </w:r>
          </w:p>
        </w:tc>
        <w:tc>
          <w:tcPr>
            <w:tcW w:w="2128" w:type="dxa"/>
            <w:tcBorders>
              <w:left w:val="single" w:sz="4" w:space="0" w:color="auto"/>
            </w:tcBorders>
            <w:shd w:val="clear" w:color="auto" w:fill="FFFFFF"/>
          </w:tcPr>
          <w:p w14:paraId="72A91030" w14:textId="77777777" w:rsidR="00442287" w:rsidRDefault="00442287" w:rsidP="008F5C6A">
            <w:pPr>
              <w:rPr>
                <w:rFonts w:ascii="Calibri" w:hAnsi="Calibri" w:cs="Calibri"/>
              </w:rPr>
            </w:pPr>
            <w:r>
              <w:rPr>
                <w:rFonts w:ascii="Calibri" w:hAnsi="Calibri" w:cs="Calibri"/>
              </w:rPr>
              <w:t>-</w:t>
            </w:r>
          </w:p>
        </w:tc>
      </w:tr>
      <w:tr w:rsidR="00442287" w:rsidRPr="00C0101A" w14:paraId="17E61E36" w14:textId="77777777" w:rsidTr="008F5C6A">
        <w:tc>
          <w:tcPr>
            <w:tcW w:w="1740" w:type="dxa"/>
            <w:tcBorders>
              <w:right w:val="single" w:sz="4" w:space="0" w:color="auto"/>
            </w:tcBorders>
            <w:shd w:val="clear" w:color="auto" w:fill="FFFFFF"/>
          </w:tcPr>
          <w:p w14:paraId="38AABE30" w14:textId="77777777" w:rsidR="00442287" w:rsidRPr="00147802" w:rsidRDefault="00442287" w:rsidP="008F5C6A">
            <w:pPr>
              <w:widowControl w:val="0"/>
              <w:jc w:val="both"/>
            </w:pPr>
            <w:r w:rsidRPr="00147802">
              <w:t>Own study time student (at the library or at home)</w:t>
            </w:r>
          </w:p>
        </w:tc>
        <w:tc>
          <w:tcPr>
            <w:tcW w:w="1957" w:type="dxa"/>
            <w:gridSpan w:val="2"/>
            <w:tcBorders>
              <w:left w:val="single" w:sz="4" w:space="0" w:color="auto"/>
              <w:right w:val="single" w:sz="4" w:space="0" w:color="auto"/>
            </w:tcBorders>
            <w:shd w:val="clear" w:color="auto" w:fill="FFFFFF"/>
          </w:tcPr>
          <w:p w14:paraId="094F0704" w14:textId="77777777" w:rsidR="00442287" w:rsidRDefault="00442287" w:rsidP="008F5C6A">
            <w:pPr>
              <w:rPr>
                <w:rFonts w:ascii="Calibri" w:hAnsi="Calibri" w:cs="Calibri"/>
              </w:rPr>
            </w:pPr>
            <w:r>
              <w:rPr>
                <w:rFonts w:ascii="Calibri" w:hAnsi="Calibri" w:cs="Calibri"/>
              </w:rPr>
              <w:t>3</w:t>
            </w:r>
          </w:p>
        </w:tc>
        <w:tc>
          <w:tcPr>
            <w:tcW w:w="3373" w:type="dxa"/>
            <w:tcBorders>
              <w:left w:val="single" w:sz="4" w:space="0" w:color="auto"/>
              <w:right w:val="single" w:sz="4" w:space="0" w:color="auto"/>
            </w:tcBorders>
            <w:shd w:val="clear" w:color="auto" w:fill="FFFFFF"/>
          </w:tcPr>
          <w:p w14:paraId="37CCD42F" w14:textId="77777777" w:rsidR="00442287" w:rsidRDefault="00442287" w:rsidP="008F5C6A">
            <w:pPr>
              <w:rPr>
                <w:rFonts w:ascii="Calibri" w:hAnsi="Calibri" w:cs="Calibri"/>
              </w:rPr>
            </w:pPr>
            <w:r>
              <w:rPr>
                <w:rFonts w:ascii="Calibri" w:hAnsi="Calibri" w:cs="Calibri"/>
              </w:rPr>
              <w:t>14</w:t>
            </w:r>
          </w:p>
        </w:tc>
        <w:tc>
          <w:tcPr>
            <w:tcW w:w="2128" w:type="dxa"/>
            <w:tcBorders>
              <w:left w:val="single" w:sz="4" w:space="0" w:color="auto"/>
            </w:tcBorders>
            <w:shd w:val="clear" w:color="auto" w:fill="FFFFFF"/>
          </w:tcPr>
          <w:p w14:paraId="47F4DD99" w14:textId="77777777" w:rsidR="00442287" w:rsidRDefault="00442287" w:rsidP="008F5C6A">
            <w:pPr>
              <w:rPr>
                <w:rFonts w:ascii="Calibri" w:hAnsi="Calibri" w:cs="Calibri"/>
              </w:rPr>
            </w:pPr>
            <w:r>
              <w:rPr>
                <w:rFonts w:ascii="Calibri" w:hAnsi="Calibri" w:cs="Calibri"/>
              </w:rPr>
              <w:t>42</w:t>
            </w:r>
          </w:p>
        </w:tc>
      </w:tr>
      <w:tr w:rsidR="00442287" w:rsidRPr="00C0101A" w14:paraId="7E96F9AA" w14:textId="77777777" w:rsidTr="008F5C6A">
        <w:tc>
          <w:tcPr>
            <w:tcW w:w="1740" w:type="dxa"/>
            <w:tcBorders>
              <w:right w:val="single" w:sz="4" w:space="0" w:color="auto"/>
            </w:tcBorders>
            <w:shd w:val="clear" w:color="auto" w:fill="FFFFFF"/>
          </w:tcPr>
          <w:p w14:paraId="7221B91C" w14:textId="77777777" w:rsidR="00442287" w:rsidRPr="00147802" w:rsidRDefault="00442287" w:rsidP="008F5C6A">
            <w:pPr>
              <w:widowControl w:val="0"/>
              <w:jc w:val="both"/>
            </w:pPr>
            <w:r w:rsidRPr="00147802">
              <w:t>Final preparation for exam</w:t>
            </w:r>
          </w:p>
        </w:tc>
        <w:tc>
          <w:tcPr>
            <w:tcW w:w="1957" w:type="dxa"/>
            <w:gridSpan w:val="2"/>
            <w:tcBorders>
              <w:left w:val="single" w:sz="4" w:space="0" w:color="auto"/>
              <w:right w:val="single" w:sz="4" w:space="0" w:color="auto"/>
            </w:tcBorders>
            <w:shd w:val="clear" w:color="auto" w:fill="FFFFFF"/>
          </w:tcPr>
          <w:p w14:paraId="12C7498E" w14:textId="77777777" w:rsidR="00442287" w:rsidRDefault="00442287" w:rsidP="008F5C6A">
            <w:pPr>
              <w:rPr>
                <w:rFonts w:ascii="Calibri" w:hAnsi="Calibri" w:cs="Calibri"/>
              </w:rPr>
            </w:pPr>
            <w:r>
              <w:rPr>
                <w:rFonts w:ascii="Calibri" w:hAnsi="Calibri" w:cs="Calibri"/>
              </w:rPr>
              <w:t>2</w:t>
            </w:r>
          </w:p>
        </w:tc>
        <w:tc>
          <w:tcPr>
            <w:tcW w:w="3373" w:type="dxa"/>
            <w:tcBorders>
              <w:left w:val="single" w:sz="4" w:space="0" w:color="auto"/>
              <w:right w:val="single" w:sz="4" w:space="0" w:color="auto"/>
            </w:tcBorders>
            <w:shd w:val="clear" w:color="auto" w:fill="FFFFFF"/>
          </w:tcPr>
          <w:p w14:paraId="025D9319" w14:textId="77777777" w:rsidR="00442287" w:rsidRDefault="00442287" w:rsidP="008F5C6A">
            <w:pPr>
              <w:rPr>
                <w:rFonts w:ascii="Calibri" w:hAnsi="Calibri" w:cs="Calibri"/>
              </w:rPr>
            </w:pPr>
            <w:r>
              <w:rPr>
                <w:rFonts w:ascii="Calibri" w:hAnsi="Calibri" w:cs="Calibri"/>
              </w:rPr>
              <w:t>7</w:t>
            </w:r>
          </w:p>
        </w:tc>
        <w:tc>
          <w:tcPr>
            <w:tcW w:w="2128" w:type="dxa"/>
            <w:tcBorders>
              <w:left w:val="single" w:sz="4" w:space="0" w:color="auto"/>
            </w:tcBorders>
            <w:shd w:val="clear" w:color="auto" w:fill="FFFFFF"/>
          </w:tcPr>
          <w:p w14:paraId="5AE0D6A2" w14:textId="77777777" w:rsidR="00442287" w:rsidRDefault="00442287" w:rsidP="008F5C6A">
            <w:pPr>
              <w:rPr>
                <w:rFonts w:ascii="Calibri" w:hAnsi="Calibri" w:cs="Calibri"/>
              </w:rPr>
            </w:pPr>
            <w:r>
              <w:rPr>
                <w:rFonts w:ascii="Calibri" w:hAnsi="Calibri" w:cs="Calibri"/>
              </w:rPr>
              <w:t>14</w:t>
            </w:r>
          </w:p>
        </w:tc>
      </w:tr>
      <w:tr w:rsidR="00442287" w:rsidRPr="00C0101A" w14:paraId="6F9493E2" w14:textId="77777777" w:rsidTr="008F5C6A">
        <w:tc>
          <w:tcPr>
            <w:tcW w:w="1740" w:type="dxa"/>
            <w:tcBorders>
              <w:right w:val="single" w:sz="4" w:space="0" w:color="auto"/>
            </w:tcBorders>
            <w:shd w:val="clear" w:color="auto" w:fill="FFFFFF"/>
          </w:tcPr>
          <w:p w14:paraId="00F4E66C" w14:textId="77777777" w:rsidR="00442287" w:rsidRPr="00147802" w:rsidRDefault="00442287" w:rsidP="008F5C6A">
            <w:pPr>
              <w:widowControl w:val="0"/>
              <w:jc w:val="both"/>
            </w:pPr>
            <w:r w:rsidRPr="00147802">
              <w:t>Time spent on evaluation (tests, quiz, final exam)</w:t>
            </w:r>
          </w:p>
        </w:tc>
        <w:tc>
          <w:tcPr>
            <w:tcW w:w="1957" w:type="dxa"/>
            <w:gridSpan w:val="2"/>
            <w:tcBorders>
              <w:left w:val="single" w:sz="4" w:space="0" w:color="auto"/>
              <w:right w:val="single" w:sz="4" w:space="0" w:color="auto"/>
            </w:tcBorders>
            <w:shd w:val="clear" w:color="auto" w:fill="FFFFFF"/>
          </w:tcPr>
          <w:p w14:paraId="4E3873DB" w14:textId="77777777" w:rsidR="00442287" w:rsidRDefault="00442287" w:rsidP="008F5C6A">
            <w:pPr>
              <w:rPr>
                <w:rFonts w:ascii="Calibri" w:hAnsi="Calibri" w:cs="Calibri"/>
              </w:rPr>
            </w:pPr>
            <w:r>
              <w:rPr>
                <w:rFonts w:ascii="Calibri" w:hAnsi="Calibri" w:cs="Calibri"/>
              </w:rPr>
              <w:t>2</w:t>
            </w:r>
          </w:p>
        </w:tc>
        <w:tc>
          <w:tcPr>
            <w:tcW w:w="3373" w:type="dxa"/>
            <w:tcBorders>
              <w:left w:val="single" w:sz="4" w:space="0" w:color="auto"/>
              <w:right w:val="single" w:sz="4" w:space="0" w:color="auto"/>
            </w:tcBorders>
            <w:shd w:val="clear" w:color="auto" w:fill="FFFFFF"/>
          </w:tcPr>
          <w:p w14:paraId="66C1825B" w14:textId="77777777" w:rsidR="00442287" w:rsidRDefault="00442287" w:rsidP="008F5C6A">
            <w:pPr>
              <w:rPr>
                <w:rFonts w:ascii="Calibri" w:hAnsi="Calibri" w:cs="Calibri"/>
              </w:rPr>
            </w:pPr>
            <w:r>
              <w:rPr>
                <w:rFonts w:ascii="Calibri" w:hAnsi="Calibri" w:cs="Calibri"/>
              </w:rPr>
              <w:t>2</w:t>
            </w:r>
          </w:p>
        </w:tc>
        <w:tc>
          <w:tcPr>
            <w:tcW w:w="2128" w:type="dxa"/>
            <w:tcBorders>
              <w:left w:val="single" w:sz="4" w:space="0" w:color="auto"/>
            </w:tcBorders>
            <w:shd w:val="clear" w:color="auto" w:fill="FFFFFF"/>
          </w:tcPr>
          <w:p w14:paraId="28B2D4A5" w14:textId="77777777" w:rsidR="00442287" w:rsidRDefault="00442287" w:rsidP="008F5C6A">
            <w:pPr>
              <w:rPr>
                <w:rFonts w:ascii="Calibri" w:hAnsi="Calibri" w:cs="Calibri"/>
              </w:rPr>
            </w:pPr>
            <w:r>
              <w:rPr>
                <w:rFonts w:ascii="Calibri" w:hAnsi="Calibri" w:cs="Calibri"/>
              </w:rPr>
              <w:t>4</w:t>
            </w:r>
          </w:p>
        </w:tc>
      </w:tr>
      <w:tr w:rsidR="00442287" w:rsidRPr="00C0101A" w14:paraId="0D26626F" w14:textId="77777777" w:rsidTr="008F5C6A">
        <w:tc>
          <w:tcPr>
            <w:tcW w:w="1740" w:type="dxa"/>
            <w:tcBorders>
              <w:right w:val="single" w:sz="4" w:space="0" w:color="auto"/>
            </w:tcBorders>
            <w:shd w:val="clear" w:color="auto" w:fill="FFFFFF"/>
          </w:tcPr>
          <w:p w14:paraId="31FA2C0E" w14:textId="77777777" w:rsidR="00442287" w:rsidRPr="00147802" w:rsidRDefault="00442287" w:rsidP="008F5C6A">
            <w:pPr>
              <w:widowControl w:val="0"/>
              <w:jc w:val="both"/>
            </w:pPr>
            <w:r w:rsidRPr="00147802">
              <w:t>Projects, presentations, etc.</w:t>
            </w:r>
          </w:p>
        </w:tc>
        <w:tc>
          <w:tcPr>
            <w:tcW w:w="1957" w:type="dxa"/>
            <w:gridSpan w:val="2"/>
            <w:tcBorders>
              <w:left w:val="single" w:sz="4" w:space="0" w:color="auto"/>
              <w:right w:val="single" w:sz="4" w:space="0" w:color="auto"/>
            </w:tcBorders>
            <w:shd w:val="clear" w:color="auto" w:fill="FFFFFF"/>
          </w:tcPr>
          <w:p w14:paraId="6578DEBD" w14:textId="77777777" w:rsidR="00442287" w:rsidRDefault="00442287" w:rsidP="008F5C6A">
            <w:pPr>
              <w:rPr>
                <w:rFonts w:ascii="Calibri" w:hAnsi="Calibri" w:cs="Calibri"/>
              </w:rPr>
            </w:pPr>
            <w:r>
              <w:rPr>
                <w:rFonts w:ascii="Calibri" w:hAnsi="Calibri" w:cs="Calibri"/>
              </w:rPr>
              <w:t>4</w:t>
            </w:r>
          </w:p>
        </w:tc>
        <w:tc>
          <w:tcPr>
            <w:tcW w:w="3373" w:type="dxa"/>
            <w:tcBorders>
              <w:left w:val="single" w:sz="4" w:space="0" w:color="auto"/>
              <w:right w:val="single" w:sz="4" w:space="0" w:color="auto"/>
            </w:tcBorders>
            <w:shd w:val="clear" w:color="auto" w:fill="FFFFFF"/>
          </w:tcPr>
          <w:p w14:paraId="6905E7B4" w14:textId="77777777" w:rsidR="00442287" w:rsidRDefault="00442287" w:rsidP="008F5C6A">
            <w:pPr>
              <w:rPr>
                <w:rFonts w:ascii="Calibri" w:hAnsi="Calibri" w:cs="Calibri"/>
              </w:rPr>
            </w:pPr>
            <w:r>
              <w:rPr>
                <w:rFonts w:ascii="Calibri" w:hAnsi="Calibri" w:cs="Calibri"/>
              </w:rPr>
              <w:t>4</w:t>
            </w:r>
          </w:p>
        </w:tc>
        <w:tc>
          <w:tcPr>
            <w:tcW w:w="2128" w:type="dxa"/>
            <w:tcBorders>
              <w:left w:val="single" w:sz="4" w:space="0" w:color="auto"/>
            </w:tcBorders>
            <w:shd w:val="clear" w:color="auto" w:fill="FFFFFF"/>
          </w:tcPr>
          <w:p w14:paraId="2296C593" w14:textId="77777777" w:rsidR="00442287" w:rsidRDefault="00442287" w:rsidP="008F5C6A">
            <w:pPr>
              <w:rPr>
                <w:rFonts w:ascii="Calibri" w:hAnsi="Calibri" w:cs="Calibri"/>
              </w:rPr>
            </w:pPr>
            <w:r>
              <w:rPr>
                <w:rFonts w:ascii="Calibri" w:hAnsi="Calibri" w:cs="Calibri"/>
              </w:rPr>
              <w:t>16</w:t>
            </w:r>
          </w:p>
        </w:tc>
      </w:tr>
      <w:tr w:rsidR="00442287" w:rsidRPr="00C0101A" w14:paraId="01822FB7" w14:textId="77777777" w:rsidTr="008F5C6A">
        <w:trPr>
          <w:trHeight w:val="604"/>
        </w:trPr>
        <w:tc>
          <w:tcPr>
            <w:tcW w:w="1740" w:type="dxa"/>
            <w:tcBorders>
              <w:right w:val="single" w:sz="4" w:space="0" w:color="auto"/>
            </w:tcBorders>
          </w:tcPr>
          <w:p w14:paraId="149B017C" w14:textId="77777777" w:rsidR="00442287" w:rsidRPr="00147802" w:rsidRDefault="00442287" w:rsidP="008F5C6A">
            <w:pPr>
              <w:jc w:val="both"/>
              <w:rPr>
                <w:b/>
              </w:rPr>
            </w:pPr>
            <w:r w:rsidRPr="00147802">
              <w:rPr>
                <w:b/>
              </w:rPr>
              <w:t>Total</w:t>
            </w:r>
          </w:p>
          <w:p w14:paraId="1994BEA0" w14:textId="77777777" w:rsidR="00442287" w:rsidRPr="00147802" w:rsidRDefault="00442287" w:rsidP="008F5C6A">
            <w:pPr>
              <w:jc w:val="both"/>
              <w:rPr>
                <w:b/>
              </w:rPr>
            </w:pPr>
          </w:p>
        </w:tc>
        <w:tc>
          <w:tcPr>
            <w:tcW w:w="1957" w:type="dxa"/>
            <w:gridSpan w:val="2"/>
            <w:tcBorders>
              <w:left w:val="single" w:sz="4" w:space="0" w:color="auto"/>
              <w:right w:val="single" w:sz="4" w:space="0" w:color="auto"/>
            </w:tcBorders>
          </w:tcPr>
          <w:p w14:paraId="7A61CC06" w14:textId="77777777" w:rsidR="00442287" w:rsidRDefault="00442287" w:rsidP="008F5C6A">
            <w:pPr>
              <w:rPr>
                <w:rFonts w:ascii="Calibri" w:hAnsi="Calibri" w:cs="Calibri"/>
                <w:b/>
              </w:rPr>
            </w:pPr>
          </w:p>
        </w:tc>
        <w:tc>
          <w:tcPr>
            <w:tcW w:w="3373" w:type="dxa"/>
            <w:tcBorders>
              <w:left w:val="single" w:sz="4" w:space="0" w:color="auto"/>
              <w:right w:val="single" w:sz="4" w:space="0" w:color="auto"/>
            </w:tcBorders>
          </w:tcPr>
          <w:p w14:paraId="14DD0276" w14:textId="77777777" w:rsidR="00442287" w:rsidRDefault="00442287" w:rsidP="008F5C6A">
            <w:pPr>
              <w:rPr>
                <w:rFonts w:ascii="Calibri" w:hAnsi="Calibri" w:cs="Calibri"/>
                <w:b/>
              </w:rPr>
            </w:pPr>
          </w:p>
        </w:tc>
        <w:tc>
          <w:tcPr>
            <w:tcW w:w="2128" w:type="dxa"/>
            <w:tcBorders>
              <w:left w:val="single" w:sz="4" w:space="0" w:color="auto"/>
            </w:tcBorders>
          </w:tcPr>
          <w:p w14:paraId="7DB41B24" w14:textId="77777777" w:rsidR="00442287" w:rsidRDefault="00442287" w:rsidP="008F5C6A">
            <w:pPr>
              <w:rPr>
                <w:rFonts w:ascii="Calibri" w:hAnsi="Calibri" w:cs="Calibri"/>
                <w:b/>
              </w:rPr>
            </w:pPr>
            <w:r>
              <w:rPr>
                <w:rFonts w:ascii="Calibri" w:hAnsi="Calibri" w:cs="Calibri"/>
                <w:b/>
              </w:rPr>
              <w:t>125.5 hour</w:t>
            </w:r>
          </w:p>
        </w:tc>
      </w:tr>
      <w:tr w:rsidR="00442287" w:rsidRPr="00C0101A" w14:paraId="489F45D1" w14:textId="77777777" w:rsidTr="008F5C6A">
        <w:tc>
          <w:tcPr>
            <w:tcW w:w="9198" w:type="dxa"/>
            <w:gridSpan w:val="5"/>
          </w:tcPr>
          <w:p w14:paraId="7A6D27DD" w14:textId="77777777" w:rsidR="00442287" w:rsidRPr="00C0101A" w:rsidRDefault="00442287" w:rsidP="008F5C6A">
            <w:pPr>
              <w:jc w:val="both"/>
              <w:rPr>
                <w:b/>
              </w:rPr>
            </w:pPr>
          </w:p>
        </w:tc>
      </w:tr>
      <w:tr w:rsidR="00442287" w:rsidRPr="00C0101A" w14:paraId="2D547E2E" w14:textId="77777777" w:rsidTr="008F5C6A">
        <w:tc>
          <w:tcPr>
            <w:tcW w:w="1740" w:type="dxa"/>
          </w:tcPr>
          <w:p w14:paraId="214643F6" w14:textId="77777777" w:rsidR="00442287" w:rsidRPr="00C0101A" w:rsidRDefault="00442287" w:rsidP="008F5C6A">
            <w:pPr>
              <w:pStyle w:val="MittleresRaster2"/>
              <w:jc w:val="both"/>
              <w:rPr>
                <w:b/>
              </w:rPr>
            </w:pPr>
            <w:r w:rsidRPr="00C0101A">
              <w:rPr>
                <w:b/>
              </w:rPr>
              <w:t>Methodology</w:t>
            </w:r>
          </w:p>
        </w:tc>
        <w:tc>
          <w:tcPr>
            <w:tcW w:w="7458" w:type="dxa"/>
            <w:gridSpan w:val="4"/>
          </w:tcPr>
          <w:p w14:paraId="1FA9F076" w14:textId="77777777" w:rsidR="00442287" w:rsidRPr="00C0101A" w:rsidRDefault="00442287" w:rsidP="008F5C6A">
            <w:pPr>
              <w:rPr>
                <w:rFonts w:ascii="Calibri" w:hAnsi="Calibri" w:cs="Calibri"/>
                <w:b/>
                <w:bCs/>
                <w:color w:val="000000"/>
              </w:rPr>
            </w:pPr>
            <w:r w:rsidRPr="00C0101A">
              <w:rPr>
                <w:rFonts w:ascii="Calibri" w:hAnsi="Calibri" w:cs="Calibri"/>
                <w:b/>
                <w:bCs/>
                <w:color w:val="000000"/>
              </w:rPr>
              <w:t xml:space="preserve"> </w:t>
            </w:r>
          </w:p>
          <w:p w14:paraId="557AAC44" w14:textId="77777777" w:rsidR="00442287" w:rsidRPr="00C0101A" w:rsidRDefault="00442287" w:rsidP="008F5C6A">
            <w:pPr>
              <w:rPr>
                <w:rFonts w:ascii="Times" w:hAnsi="Times" w:cs="Times"/>
                <w:bCs/>
                <w:color w:val="000000"/>
              </w:rPr>
            </w:pPr>
            <w:r w:rsidRPr="00C0101A">
              <w:rPr>
                <w:rFonts w:ascii="Times" w:hAnsi="Times" w:cs="Times"/>
                <w:bCs/>
                <w:color w:val="000000"/>
              </w:rPr>
              <w:t>This course will be taught through an interactive teaching method, including presentations of the instructor and active participation from the students;</w:t>
            </w:r>
          </w:p>
          <w:p w14:paraId="5E2F9EE4" w14:textId="77777777" w:rsidR="00442287" w:rsidRPr="00C0101A" w:rsidRDefault="00442287" w:rsidP="008F5C6A">
            <w:pPr>
              <w:rPr>
                <w:rFonts w:ascii="Times" w:hAnsi="Times" w:cs="Times"/>
                <w:bCs/>
                <w:color w:val="000000"/>
              </w:rPr>
            </w:pPr>
            <w:r w:rsidRPr="00C0101A">
              <w:rPr>
                <w:rFonts w:ascii="Times" w:hAnsi="Times" w:cs="Times"/>
                <w:bCs/>
                <w:color w:val="000000"/>
              </w:rPr>
              <w:t>Pre-class readings will be handed out to the students who will be obliged to read them to incite participation in the next class discussions;</w:t>
            </w:r>
          </w:p>
          <w:p w14:paraId="63EF8A23" w14:textId="77777777" w:rsidR="00442287" w:rsidRDefault="00442287" w:rsidP="008F5C6A">
            <w:pPr>
              <w:rPr>
                <w:rFonts w:ascii="Times" w:hAnsi="Times" w:cs="Times"/>
                <w:bCs/>
                <w:color w:val="000000"/>
              </w:rPr>
            </w:pPr>
            <w:r w:rsidRPr="00C0101A">
              <w:rPr>
                <w:rFonts w:ascii="Times" w:hAnsi="Times" w:cs="Times"/>
                <w:bCs/>
                <w:color w:val="000000"/>
              </w:rPr>
              <w:t>Students will be able to volunteer to make short presentations on assigned specific topics for classes and/or exercise sessions;</w:t>
            </w:r>
          </w:p>
          <w:p w14:paraId="77933D79" w14:textId="77777777" w:rsidR="00442287" w:rsidRPr="00C0101A" w:rsidRDefault="00442287" w:rsidP="008F5C6A">
            <w:pPr>
              <w:rPr>
                <w:rFonts w:ascii="Times" w:hAnsi="Times" w:cs="Times"/>
                <w:bCs/>
                <w:color w:val="000000"/>
              </w:rPr>
            </w:pPr>
            <w:r>
              <w:rPr>
                <w:rFonts w:ascii="Times" w:hAnsi="Times" w:cs="Times"/>
                <w:bCs/>
                <w:color w:val="000000"/>
              </w:rPr>
              <w:t>Students will be asked to write one seminar paper on an assigned topic per course;</w:t>
            </w:r>
          </w:p>
          <w:p w14:paraId="66AA4636" w14:textId="77777777" w:rsidR="00442287" w:rsidRPr="00C0101A" w:rsidRDefault="00442287" w:rsidP="008F5C6A">
            <w:pPr>
              <w:rPr>
                <w:rFonts w:ascii="Calibri" w:hAnsi="Calibri" w:cs="Calibri"/>
                <w:b/>
                <w:bCs/>
                <w:color w:val="000000"/>
              </w:rPr>
            </w:pPr>
            <w:r w:rsidRPr="00C0101A">
              <w:rPr>
                <w:rFonts w:ascii="Times" w:hAnsi="Times" w:cs="Times"/>
                <w:bCs/>
                <w:color w:val="000000"/>
              </w:rPr>
              <w:t>Small group seminar classes work on certain thematic units and defense of seminar papers</w:t>
            </w:r>
            <w:r>
              <w:rPr>
                <w:rFonts w:ascii="Times" w:hAnsi="Times" w:cs="Times"/>
                <w:bCs/>
                <w:color w:val="000000"/>
              </w:rPr>
              <w:t xml:space="preserve">. </w:t>
            </w:r>
          </w:p>
        </w:tc>
      </w:tr>
      <w:tr w:rsidR="00442287" w:rsidRPr="00C0101A" w14:paraId="7DB0F70D" w14:textId="77777777" w:rsidTr="008F5C6A">
        <w:tc>
          <w:tcPr>
            <w:tcW w:w="1740" w:type="dxa"/>
          </w:tcPr>
          <w:p w14:paraId="1D796828" w14:textId="77777777" w:rsidR="00442287" w:rsidRPr="00C0101A" w:rsidRDefault="00442287" w:rsidP="008F5C6A">
            <w:pPr>
              <w:pStyle w:val="MittleresRaster2"/>
              <w:jc w:val="both"/>
              <w:rPr>
                <w:b/>
              </w:rPr>
            </w:pPr>
            <w:r w:rsidRPr="00C0101A">
              <w:rPr>
                <w:b/>
              </w:rPr>
              <w:t>Assessment Method</w:t>
            </w:r>
          </w:p>
        </w:tc>
        <w:tc>
          <w:tcPr>
            <w:tcW w:w="7458" w:type="dxa"/>
            <w:gridSpan w:val="4"/>
          </w:tcPr>
          <w:p w14:paraId="559D77E8" w14:textId="77777777" w:rsidR="00442287" w:rsidRDefault="00442287" w:rsidP="008F5C6A">
            <w:pPr>
              <w:pStyle w:val="MittleresRaster2"/>
            </w:pPr>
            <w:r w:rsidRPr="00C0101A">
              <w:t xml:space="preserve">Throughout this course a specific focus will be devoted to the (research) term papers/colloquiums and/or seminars. </w:t>
            </w:r>
          </w:p>
          <w:p w14:paraId="150DF406" w14:textId="77777777" w:rsidR="00442287" w:rsidRPr="00C0101A" w:rsidRDefault="00442287" w:rsidP="008F5C6A">
            <w:pPr>
              <w:pStyle w:val="MittleresRaster2"/>
            </w:pPr>
            <w:r w:rsidRPr="00C0101A">
              <w:t>Active students that are able to show deep understanding of the subjects covered in this course through their research</w:t>
            </w:r>
            <w:r>
              <w:t>/seminar</w:t>
            </w:r>
            <w:r w:rsidRPr="00C0101A">
              <w:t xml:space="preserve"> papers and regular participation in research </w:t>
            </w:r>
            <w:r>
              <w:t xml:space="preserve">will be awarded for their commitment. </w:t>
            </w:r>
          </w:p>
          <w:p w14:paraId="53573D81" w14:textId="77777777" w:rsidR="00442287" w:rsidRPr="00C0101A" w:rsidRDefault="00442287" w:rsidP="008F5C6A">
            <w:pPr>
              <w:pStyle w:val="MittleresRaster2"/>
            </w:pPr>
            <w:r>
              <w:t>The method of assessment of the students shall be comprised of:</w:t>
            </w:r>
          </w:p>
          <w:p w14:paraId="54DF67F6" w14:textId="77777777" w:rsidR="00442287" w:rsidRPr="00C0101A" w:rsidRDefault="00442287" w:rsidP="008F5C6A">
            <w:pPr>
              <w:pStyle w:val="MittleresRaster2"/>
            </w:pPr>
          </w:p>
          <w:p w14:paraId="19A42A00" w14:textId="77777777" w:rsidR="00442287" w:rsidRDefault="00442287" w:rsidP="008F5C6A">
            <w:pPr>
              <w:pStyle w:val="MittleresRaster2"/>
            </w:pPr>
            <w:r w:rsidRPr="00C0101A">
              <w:t>-</w:t>
            </w:r>
            <w:r w:rsidRPr="00C0101A">
              <w:tab/>
            </w:r>
            <w:r>
              <w:t>F</w:t>
            </w:r>
            <w:r w:rsidRPr="00C0101A">
              <w:t>inal examination: 50 %</w:t>
            </w:r>
          </w:p>
          <w:p w14:paraId="49EC0F7A" w14:textId="77777777" w:rsidR="00442287" w:rsidRPr="00C0101A" w:rsidRDefault="00442287" w:rsidP="008F5C6A">
            <w:pPr>
              <w:pStyle w:val="MittleresRaster2"/>
            </w:pPr>
            <w:r>
              <w:t>-           Research paper: 30 %</w:t>
            </w:r>
          </w:p>
          <w:p w14:paraId="001A8E1F" w14:textId="77777777" w:rsidR="00442287" w:rsidRDefault="00442287" w:rsidP="008F5C6A">
            <w:pPr>
              <w:pStyle w:val="MittleresRaster2"/>
            </w:pPr>
            <w:r w:rsidRPr="00C0101A">
              <w:lastRenderedPageBreak/>
              <w:t>-</w:t>
            </w:r>
            <w:r w:rsidRPr="00C0101A">
              <w:tab/>
              <w:t xml:space="preserve">Active and substantive participation in class discussions: </w:t>
            </w:r>
            <w:r>
              <w:t>1</w:t>
            </w:r>
            <w:r w:rsidRPr="00C0101A">
              <w:t>0</w:t>
            </w:r>
            <w:r>
              <w:t xml:space="preserve"> </w:t>
            </w:r>
            <w:r w:rsidRPr="00C0101A">
              <w:t>%</w:t>
            </w:r>
          </w:p>
          <w:p w14:paraId="15CAE3BA" w14:textId="77777777" w:rsidR="00442287" w:rsidRPr="00C0101A" w:rsidRDefault="00442287" w:rsidP="008F5C6A">
            <w:pPr>
              <w:pStyle w:val="MittleresRaster2"/>
            </w:pPr>
            <w:r>
              <w:t>-           In class presentations of a topic: 10%</w:t>
            </w:r>
          </w:p>
          <w:p w14:paraId="238F0D59" w14:textId="77777777" w:rsidR="00442287" w:rsidRPr="00C0101A" w:rsidRDefault="00442287" w:rsidP="008F5C6A">
            <w:pPr>
              <w:pStyle w:val="MittleresRaster2"/>
            </w:pPr>
          </w:p>
          <w:p w14:paraId="41FFC8B5" w14:textId="77777777" w:rsidR="00442287" w:rsidRPr="00C0101A" w:rsidRDefault="00442287" w:rsidP="008F5C6A">
            <w:pPr>
              <w:pStyle w:val="MittleresRaster2"/>
            </w:pPr>
            <w:r w:rsidRPr="00C0101A">
              <w:t xml:space="preserve">The final result will thus be cumulative, composed of the results of the mid-term and final examinations and class participation. Class activities, such debates and discussions, will also be considered and added to the overall value obtained by the principal method of assessment as defined above. </w:t>
            </w:r>
          </w:p>
          <w:p w14:paraId="0CC3AEB5" w14:textId="77777777" w:rsidR="00442287" w:rsidRPr="00C0101A" w:rsidRDefault="00442287" w:rsidP="008F5C6A">
            <w:pPr>
              <w:pStyle w:val="MittleresRaster2"/>
            </w:pPr>
          </w:p>
          <w:p w14:paraId="4A121F42" w14:textId="77777777" w:rsidR="00442287" w:rsidRPr="00C0101A" w:rsidRDefault="00442287" w:rsidP="008F5C6A">
            <w:pPr>
              <w:pStyle w:val="MittleresRaster2"/>
              <w:jc w:val="both"/>
              <w:rPr>
                <w:i/>
              </w:rPr>
            </w:pPr>
            <w:r w:rsidRPr="00C0101A">
              <w:t>A minimum of 5</w:t>
            </w:r>
            <w:r>
              <w:t>5</w:t>
            </w:r>
            <w:r w:rsidRPr="00C0101A">
              <w:t xml:space="preserve"> percent (%) is required for a passing grade.</w:t>
            </w:r>
          </w:p>
          <w:p w14:paraId="34460816" w14:textId="77777777" w:rsidR="00442287" w:rsidRPr="00C0101A" w:rsidRDefault="00442287" w:rsidP="008F5C6A">
            <w:pPr>
              <w:pStyle w:val="MittleresRaster2"/>
              <w:ind w:left="720"/>
              <w:jc w:val="both"/>
              <w:rPr>
                <w:i/>
              </w:rPr>
            </w:pPr>
          </w:p>
        </w:tc>
      </w:tr>
      <w:tr w:rsidR="00442287" w:rsidRPr="00C0101A" w14:paraId="445BEB80" w14:textId="77777777" w:rsidTr="008F5C6A">
        <w:tc>
          <w:tcPr>
            <w:tcW w:w="9198" w:type="dxa"/>
            <w:gridSpan w:val="5"/>
            <w:shd w:val="clear" w:color="auto" w:fill="B8CCE4"/>
          </w:tcPr>
          <w:p w14:paraId="09029D5F" w14:textId="77777777" w:rsidR="00442287" w:rsidRPr="00C0101A" w:rsidRDefault="00442287" w:rsidP="008F5C6A">
            <w:pPr>
              <w:pStyle w:val="MittleresRaster2"/>
              <w:jc w:val="both"/>
              <w:rPr>
                <w:b/>
              </w:rPr>
            </w:pPr>
            <w:r w:rsidRPr="00C0101A">
              <w:rPr>
                <w:b/>
              </w:rPr>
              <w:lastRenderedPageBreak/>
              <w:t>Literature</w:t>
            </w:r>
          </w:p>
        </w:tc>
      </w:tr>
      <w:tr w:rsidR="00442287" w:rsidRPr="00C0101A" w14:paraId="16D099D0" w14:textId="77777777" w:rsidTr="008F5C6A">
        <w:tc>
          <w:tcPr>
            <w:tcW w:w="1740" w:type="dxa"/>
          </w:tcPr>
          <w:p w14:paraId="15666ADD" w14:textId="77777777" w:rsidR="00442287" w:rsidRDefault="00442287" w:rsidP="008F5C6A">
            <w:pPr>
              <w:pStyle w:val="MittleresRaster2"/>
              <w:jc w:val="both"/>
              <w:rPr>
                <w:b/>
              </w:rPr>
            </w:pPr>
            <w:r w:rsidRPr="00C0101A">
              <w:rPr>
                <w:b/>
              </w:rPr>
              <w:t>Primary literature:</w:t>
            </w:r>
          </w:p>
          <w:p w14:paraId="151E6034" w14:textId="77777777" w:rsidR="00442287" w:rsidRPr="00C0101A" w:rsidRDefault="00442287" w:rsidP="008F5C6A">
            <w:pPr>
              <w:pStyle w:val="MittleresRaster2"/>
              <w:jc w:val="both"/>
              <w:rPr>
                <w:b/>
              </w:rPr>
            </w:pPr>
          </w:p>
        </w:tc>
        <w:tc>
          <w:tcPr>
            <w:tcW w:w="7458" w:type="dxa"/>
            <w:gridSpan w:val="4"/>
          </w:tcPr>
          <w:p w14:paraId="495D5C0B" w14:textId="77777777" w:rsidR="00442287" w:rsidRDefault="00442287" w:rsidP="008F5C6A">
            <w:pPr>
              <w:pStyle w:val="MittleresRaster2"/>
              <w:jc w:val="both"/>
            </w:pPr>
          </w:p>
          <w:p w14:paraId="1DA0F1D5" w14:textId="77777777" w:rsidR="00442287" w:rsidRDefault="00BE6489" w:rsidP="00442287">
            <w:pPr>
              <w:pStyle w:val="MittleresRaster2"/>
              <w:numPr>
                <w:ilvl w:val="0"/>
                <w:numId w:val="46"/>
              </w:numPr>
              <w:jc w:val="both"/>
            </w:pPr>
            <w:r>
              <w:fldChar w:fldCharType="begin"/>
            </w:r>
            <w:r w:rsidR="00442287">
              <w:instrText xml:space="preserve"> ADDIN ZOTERO_ITEM CSL_CITATION {"citationID":"itroS1j4","properties":{"formattedCitation":"Geert van Calster, {\\i{}European Private International Law} (II, Bloomsbury 2016).","plainCitation":"Geert van Calster, European Private International Law (II, Bloomsbury 2016).","noteIndex":1},"citationItems":[{"id":312,"uris":["http://zotero.org/users/local/mXSFjHFF/items/XEU9EIZE"],"uri":["http://zotero.org/users/local/mXSFjHFF/items/XEU9EIZE"],"itemData":{"id":312,"type":"book","title":"European Private International Law","publisher":"Bloomsbury","edition":"II","author":[{"family":"Calster","given":"Geert","dropping-particle":"van"}],"issued":{"date-parts":[["2016"]]}}}],"schema":"https://github.com/citation-style-language/schema/raw/master/csl-citation.json"} </w:instrText>
            </w:r>
            <w:r>
              <w:fldChar w:fldCharType="separate"/>
            </w:r>
            <w:r w:rsidR="00442287" w:rsidRPr="00316D79">
              <w:rPr>
                <w:sz w:val="20"/>
              </w:rPr>
              <w:t xml:space="preserve">Geert van Calster, </w:t>
            </w:r>
            <w:r w:rsidR="00442287" w:rsidRPr="00316D79">
              <w:rPr>
                <w:i/>
                <w:iCs/>
                <w:sz w:val="20"/>
              </w:rPr>
              <w:t>European Private International Law</w:t>
            </w:r>
            <w:r w:rsidR="00442287" w:rsidRPr="00316D79">
              <w:rPr>
                <w:sz w:val="20"/>
              </w:rPr>
              <w:t xml:space="preserve"> (II, Bloomsbury 2016).</w:t>
            </w:r>
            <w:r>
              <w:fldChar w:fldCharType="end"/>
            </w:r>
          </w:p>
          <w:p w14:paraId="426A3811" w14:textId="77777777" w:rsidR="00442287" w:rsidRPr="00CF7537" w:rsidRDefault="00442287" w:rsidP="00442287">
            <w:pPr>
              <w:pStyle w:val="MittleresRaster2"/>
              <w:numPr>
                <w:ilvl w:val="0"/>
                <w:numId w:val="46"/>
              </w:numPr>
              <w:jc w:val="both"/>
              <w:rPr>
                <w:sz w:val="20"/>
                <w:szCs w:val="20"/>
              </w:rPr>
            </w:pPr>
            <w:r w:rsidRPr="00CF7537">
              <w:rPr>
                <w:sz w:val="20"/>
                <w:szCs w:val="20"/>
              </w:rPr>
              <w:t>Horatia Muir Watt et al (</w:t>
            </w:r>
            <w:proofErr w:type="spellStart"/>
            <w:r w:rsidRPr="00CF7537">
              <w:rPr>
                <w:sz w:val="20"/>
                <w:szCs w:val="20"/>
              </w:rPr>
              <w:t>esd</w:t>
            </w:r>
            <w:proofErr w:type="spellEnd"/>
            <w:r w:rsidRPr="00CF7537">
              <w:rPr>
                <w:sz w:val="20"/>
                <w:szCs w:val="20"/>
              </w:rPr>
              <w:t xml:space="preserve">), </w:t>
            </w:r>
            <w:r w:rsidRPr="00CF7537">
              <w:rPr>
                <w:i/>
                <w:sz w:val="20"/>
                <w:szCs w:val="20"/>
              </w:rPr>
              <w:t xml:space="preserve">Global Private International Law </w:t>
            </w:r>
            <w:r w:rsidRPr="00CF7537">
              <w:rPr>
                <w:sz w:val="20"/>
                <w:szCs w:val="20"/>
              </w:rPr>
              <w:t xml:space="preserve">(Elgar 2019); </w:t>
            </w:r>
          </w:p>
          <w:p w14:paraId="7FF5CD26" w14:textId="77777777" w:rsidR="00442287" w:rsidRDefault="00BE6489" w:rsidP="00442287">
            <w:pPr>
              <w:pStyle w:val="MittleresRaster2"/>
              <w:numPr>
                <w:ilvl w:val="0"/>
                <w:numId w:val="46"/>
              </w:numPr>
              <w:jc w:val="both"/>
            </w:pPr>
            <w:r>
              <w:fldChar w:fldCharType="begin"/>
            </w:r>
            <w:r w:rsidR="00442287">
              <w:instrText xml:space="preserve"> ADDIN ZOTERO_ITEM CSL_CITATION {"citationID":"4v9QUCSK","properties":{"formattedCitation":"James J Fawcett and Janeen M Carruthers, {\\i{}Cheshire, North &amp; Fawcett Private International Law} (Fourteenth, Oxford University Press 2008).","plainCitation":"James J Fawcett and Janeen M Carruthers, Cheshire, North &amp; Fawcett Private International Law (Fourteenth, Oxford University Press 2008).","noteIndex":1},"citationItems":[{"id":376,"uris":["http://zotero.org/users/local/mXSFjHFF/items/4WN7TW93"],"uri":["http://zotero.org/users/local/mXSFjHFF/items/4WN7TW93"],"itemData":{"id":376,"type":"book","title":"Cheshire, North &amp; Fawcett Private international Law","publisher":"Oxford University Press","edition":"Fourteenth","author":[{"family":"Fawcett","given":"James J"},{"family":"Carruthers","given":"Janeen M."}],"issued":{"date-parts":[["2008"]]}}}],"schema":"https://github.com/citation-style-language/schema/raw/master/csl-citation.json"} </w:instrText>
            </w:r>
            <w:r>
              <w:fldChar w:fldCharType="separate"/>
            </w:r>
            <w:r w:rsidR="00442287" w:rsidRPr="00316D79">
              <w:rPr>
                <w:sz w:val="20"/>
              </w:rPr>
              <w:t xml:space="preserve">James J Fawcett and Janeen M Carruthers, </w:t>
            </w:r>
            <w:r w:rsidR="00442287" w:rsidRPr="00316D79">
              <w:rPr>
                <w:i/>
                <w:iCs/>
                <w:sz w:val="20"/>
              </w:rPr>
              <w:t>Cheshire, North &amp; Fawcett Private International Law</w:t>
            </w:r>
            <w:r w:rsidR="00442287" w:rsidRPr="00316D79">
              <w:rPr>
                <w:sz w:val="20"/>
              </w:rPr>
              <w:t xml:space="preserve"> (Fourteenth, Oxford University Press 2008).</w:t>
            </w:r>
            <w:r>
              <w:fldChar w:fldCharType="end"/>
            </w:r>
          </w:p>
          <w:p w14:paraId="13CC1701" w14:textId="77777777" w:rsidR="00442287" w:rsidRDefault="00BE6489" w:rsidP="00442287">
            <w:pPr>
              <w:pStyle w:val="MittleresRaster2"/>
              <w:numPr>
                <w:ilvl w:val="0"/>
                <w:numId w:val="46"/>
              </w:numPr>
              <w:jc w:val="both"/>
            </w:pPr>
            <w:r>
              <w:fldChar w:fldCharType="begin"/>
            </w:r>
            <w:r w:rsidR="00442287">
              <w:instrText xml:space="preserve"> ADDIN ZOTERO_ITEM CSL_CITATION {"citationID":"Qy616lTO","properties":{"formattedCitation":"Peter Mankowski and Ulrich Magnus, {\\i{}Brussels Ibis Regulation} (Ulrich Magnus and Peter Mankowski eds, Otto Schmidt 2016).","plainCitation":"Peter Mankowski and Ulrich Magnus, Brussels Ibis Regulation (Ulrich Magnus and Peter Mankowski eds, Otto Schmidt 2016).","noteIndex":1},"citationItems":[{"id":306,"uris":["http://zotero.org/users/local/mXSFjHFF/items/8XITBXPP"],"uri":["http://zotero.org/users/local/mXSFjHFF/items/8XITBXPP"],"itemData":{"id":306,"type":"book","title":"Brussels Ibis Regulation","publisher":"Otto Schmidt","publisher-place":"Köln","event-place":"Köln","author":[{"family":"Mankowski","given":"Peter"},{"family":"Magnus","given":"Ulrich"}],"editor":[{"family":"Magnus","given":"Ulrich"},{"family":"Mankowski","given":"Peter"}],"issued":{"date-parts":[["2016"]]}}}],"schema":"https://github.com/citation-style-language/schema/raw/master/csl-citation.json"} </w:instrText>
            </w:r>
            <w:r>
              <w:fldChar w:fldCharType="separate"/>
            </w:r>
            <w:r w:rsidR="00442287" w:rsidRPr="00D96FC6">
              <w:rPr>
                <w:sz w:val="20"/>
              </w:rPr>
              <w:t xml:space="preserve">Peter Mankowski and Ulrich Magnus, </w:t>
            </w:r>
            <w:r w:rsidR="00442287" w:rsidRPr="00D96FC6">
              <w:rPr>
                <w:i/>
                <w:iCs/>
                <w:sz w:val="20"/>
              </w:rPr>
              <w:t>Brussels Ibis Regulation</w:t>
            </w:r>
            <w:r w:rsidR="00442287" w:rsidRPr="00D96FC6">
              <w:rPr>
                <w:sz w:val="20"/>
              </w:rPr>
              <w:t xml:space="preserve"> (Ulrich Magnus and Peter Mankowski eds, Otto Schmidt 2016).</w:t>
            </w:r>
            <w:r>
              <w:fldChar w:fldCharType="end"/>
            </w:r>
          </w:p>
          <w:p w14:paraId="179B3FEE" w14:textId="77777777" w:rsidR="00442287" w:rsidRDefault="00BE6489" w:rsidP="00442287">
            <w:pPr>
              <w:pStyle w:val="MittleresRaster2"/>
              <w:numPr>
                <w:ilvl w:val="0"/>
                <w:numId w:val="46"/>
              </w:numPr>
              <w:jc w:val="both"/>
            </w:pPr>
            <w:r>
              <w:fldChar w:fldCharType="begin"/>
            </w:r>
            <w:r w:rsidR="00442287">
              <w:instrText xml:space="preserve"> ADDIN ZOTERO_ITEM CSL_CITATION {"citationID":"FV6wcQLA","properties":{"formattedCitation":"Franco Ferrari (ed), {\\i{}Rome I Regulation: Pocket Commentary} (Sellier European Law Publishers 2015).","plainCitation":"Franco Ferrari (ed), Rome I Regulation: Pocket Commentary (Sellier European Law Publishers 2015).","noteIndex":1},"citationItems":[{"id":277,"uris":["http://zotero.org/users/local/mXSFjHFF/items/SISKIQ2B"],"uri":["http://zotero.org/users/local/mXSFjHFF/items/SISKIQ2B"],"itemData":{"id":277,"type":"book","title":"Rome I Regulation: Pocket Commentary","publisher":"Sellier European Law Publishers","editor":[{"family":"Ferrari","given":"Franco"}],"issued":{"date-parts":[["2015"]]}}}],"schema":"https://github.com/citation-style-language/schema/raw/master/csl-citation.json"} </w:instrText>
            </w:r>
            <w:r>
              <w:fldChar w:fldCharType="separate"/>
            </w:r>
            <w:r w:rsidR="00442287" w:rsidRPr="00D96FC6">
              <w:rPr>
                <w:sz w:val="20"/>
              </w:rPr>
              <w:t xml:space="preserve">Franco Ferrari (ed), </w:t>
            </w:r>
            <w:r w:rsidR="00442287" w:rsidRPr="00D96FC6">
              <w:rPr>
                <w:i/>
                <w:iCs/>
                <w:sz w:val="20"/>
              </w:rPr>
              <w:t>Rome I Regulation: Pocket Commentary</w:t>
            </w:r>
            <w:r w:rsidR="00442287" w:rsidRPr="00D96FC6">
              <w:rPr>
                <w:sz w:val="20"/>
              </w:rPr>
              <w:t xml:space="preserve"> (Sellier European Law Publishers 2015).</w:t>
            </w:r>
            <w:r>
              <w:fldChar w:fldCharType="end"/>
            </w:r>
          </w:p>
          <w:p w14:paraId="39F05AA3" w14:textId="77777777" w:rsidR="00442287" w:rsidRDefault="00BE6489" w:rsidP="00442287">
            <w:pPr>
              <w:pStyle w:val="MittleresRaster2"/>
              <w:numPr>
                <w:ilvl w:val="0"/>
                <w:numId w:val="46"/>
              </w:numPr>
              <w:jc w:val="both"/>
            </w:pPr>
            <w:r>
              <w:fldChar w:fldCharType="begin"/>
            </w:r>
            <w:r w:rsidR="00442287">
              <w:instrText xml:space="preserve"> ADDIN ZOTERO_ITEM CSL_CITATION {"citationID":"uK33vP31","properties":{"formattedCitation":"Peter Huber (ed), {\\i{}Rome II Regulation} (Sellier 2011).","plainCitation":"Peter Huber (ed), Rome II Regulation (Sellier 2011).","noteIndex":1},"citationItems":[{"id":332,"uris":["http://zotero.org/users/local/mXSFjHFF/items/UR6THV6P"],"uri":["http://zotero.org/users/local/mXSFjHFF/items/UR6THV6P"],"itemData":{"id":332,"type":"book","title":"Rome II Regulation","publisher":"Sellier","publisher-place":"Munich","event-place":"Munich","editor":[{"family":"Huber","given":"Peter"}],"issued":{"date-parts":[["2011"]]}}}],"schema":"https://github.com/citation-style-language/schema/raw/master/csl-citation.json"} </w:instrText>
            </w:r>
            <w:r>
              <w:fldChar w:fldCharType="separate"/>
            </w:r>
            <w:r w:rsidR="00442287" w:rsidRPr="00D96FC6">
              <w:rPr>
                <w:sz w:val="20"/>
              </w:rPr>
              <w:t xml:space="preserve">Peter Huber (ed), </w:t>
            </w:r>
            <w:r w:rsidR="00442287" w:rsidRPr="00D96FC6">
              <w:rPr>
                <w:i/>
                <w:iCs/>
                <w:sz w:val="20"/>
              </w:rPr>
              <w:t>Rome II Regulation</w:t>
            </w:r>
            <w:r w:rsidR="00442287" w:rsidRPr="00D96FC6">
              <w:rPr>
                <w:sz w:val="20"/>
              </w:rPr>
              <w:t xml:space="preserve"> (Sellier 2011).</w:t>
            </w:r>
            <w:r>
              <w:fldChar w:fldCharType="end"/>
            </w:r>
          </w:p>
          <w:p w14:paraId="54D1FC80" w14:textId="77777777" w:rsidR="00442287" w:rsidRPr="00C0101A" w:rsidRDefault="00442287" w:rsidP="008F5C6A">
            <w:pPr>
              <w:pStyle w:val="MittleresRaster2"/>
              <w:jc w:val="both"/>
              <w:rPr>
                <w:rFonts w:eastAsia="Calibri"/>
              </w:rPr>
            </w:pPr>
            <w:r w:rsidRPr="00C0101A">
              <w:t xml:space="preserve"> </w:t>
            </w:r>
          </w:p>
        </w:tc>
      </w:tr>
      <w:tr w:rsidR="00442287" w:rsidRPr="00C0101A" w14:paraId="38B041B8" w14:textId="77777777" w:rsidTr="008F5C6A">
        <w:tc>
          <w:tcPr>
            <w:tcW w:w="1740" w:type="dxa"/>
          </w:tcPr>
          <w:p w14:paraId="5BA975D6" w14:textId="77777777" w:rsidR="00442287" w:rsidRPr="00C0101A" w:rsidRDefault="00442287" w:rsidP="008F5C6A">
            <w:pPr>
              <w:pStyle w:val="MittleresRaster2"/>
              <w:jc w:val="both"/>
              <w:rPr>
                <w:b/>
              </w:rPr>
            </w:pPr>
            <w:r w:rsidRPr="00C0101A">
              <w:rPr>
                <w:b/>
              </w:rPr>
              <w:t xml:space="preserve">Additional literature:  </w:t>
            </w:r>
          </w:p>
        </w:tc>
        <w:tc>
          <w:tcPr>
            <w:tcW w:w="7458" w:type="dxa"/>
            <w:gridSpan w:val="4"/>
          </w:tcPr>
          <w:p w14:paraId="0F1A7234" w14:textId="77777777" w:rsidR="00442287" w:rsidRPr="00DA6C51" w:rsidRDefault="00442287" w:rsidP="008F5C6A">
            <w:pPr>
              <w:jc w:val="both"/>
              <w:rPr>
                <w:i/>
                <w:sz w:val="20"/>
              </w:rPr>
            </w:pPr>
            <w:r w:rsidRPr="003F4044">
              <w:rPr>
                <w:sz w:val="20"/>
              </w:rPr>
              <w:t xml:space="preserve">Directorate General for Internal Policies Policy Department C: Citizen’s Rights And Constitutional Affairs Legal Affairs, </w:t>
            </w:r>
            <w:r w:rsidRPr="003F4044">
              <w:rPr>
                <w:i/>
                <w:sz w:val="20"/>
              </w:rPr>
              <w:t>A European Framework for private international law: current gaps and future perspectives</w:t>
            </w:r>
            <w:r>
              <w:rPr>
                <w:i/>
                <w:sz w:val="20"/>
              </w:rPr>
              <w:t xml:space="preserve">, available at: </w:t>
            </w:r>
            <w:hyperlink r:id="rId8" w:history="1">
              <w:r w:rsidRPr="00DA6C51">
                <w:rPr>
                  <w:rStyle w:val="Hyperlink"/>
                  <w:i/>
                  <w:sz w:val="20"/>
                </w:rPr>
                <w:t>http://www.europarl.europa.eu/document/activities/cont/201212/20121219ATT58300/20121219ATT58300EN.pdf</w:t>
              </w:r>
            </w:hyperlink>
          </w:p>
          <w:p w14:paraId="049BF81B" w14:textId="77777777" w:rsidR="00442287" w:rsidRPr="00DA6C51" w:rsidRDefault="00442287" w:rsidP="008F5C6A">
            <w:pPr>
              <w:jc w:val="both"/>
              <w:rPr>
                <w:sz w:val="20"/>
              </w:rPr>
            </w:pPr>
          </w:p>
          <w:p w14:paraId="6E89D4A9" w14:textId="77777777" w:rsidR="00442287" w:rsidRPr="00C0101A" w:rsidRDefault="00442287" w:rsidP="008F5C6A">
            <w:pPr>
              <w:jc w:val="both"/>
            </w:pPr>
            <w:r w:rsidRPr="00C0101A">
              <w:t xml:space="preserve"> </w:t>
            </w:r>
            <w:r w:rsidR="00BE6489">
              <w:fldChar w:fldCharType="begin"/>
            </w:r>
            <w:r>
              <w:instrText xml:space="preserve"> ADDIN ZOTERO_ITEM CSL_CITATION {"citationID":"eknqBNIt","properties":{"formattedCitation":"Marise Cremona and Hans-W Micklitz (eds), {\\i{}Private International Law in the External Relations of the EU} (Oxford University Press 2016).","plainCitation":"Marise Cremona and Hans-W Micklitz (eds), Private International Law in the External Relations of the EU (Oxford University Press 2016).","noteIndex":1},"citationItems":[{"id":230,"uris":["http://zotero.org/users/local/mXSFjHFF/items/4ZZHE2FA"],"uri":["http://zotero.org/users/local/mXSFjHFF/items/4ZZHE2FA"],"itemData":{"id":230,"type":"book","title":"Private International Law in the External Relations of the EU","publisher":"Oxford University Press","editor":[{"family":"Cremona","given":"Marise"},{"family":"Micklitz","given":"Hans-W."}],"issued":{"date-parts":[["2016"]]}}}],"schema":"https://github.com/citation-style-language/schema/raw/master/csl-citation.json"} </w:instrText>
            </w:r>
            <w:r w:rsidR="00BE6489">
              <w:fldChar w:fldCharType="separate"/>
            </w:r>
            <w:r w:rsidRPr="00316D79">
              <w:rPr>
                <w:sz w:val="20"/>
              </w:rPr>
              <w:t>M</w:t>
            </w:r>
            <w:r w:rsidR="00BE6489">
              <w:fldChar w:fldCharType="end"/>
            </w:r>
            <w:r w:rsidRPr="00316D79">
              <w:rPr>
                <w:sz w:val="20"/>
              </w:rPr>
              <w:t xml:space="preserve">arise Cremona and Hans-W Micklitz (eds), </w:t>
            </w:r>
            <w:r w:rsidRPr="00316D79">
              <w:rPr>
                <w:i/>
                <w:iCs/>
                <w:sz w:val="20"/>
              </w:rPr>
              <w:t>Private International Law in the External Relations of the EU</w:t>
            </w:r>
            <w:r w:rsidRPr="00316D79">
              <w:rPr>
                <w:sz w:val="20"/>
              </w:rPr>
              <w:t xml:space="preserve"> (Oxford University Press 2016).</w:t>
            </w:r>
          </w:p>
        </w:tc>
      </w:tr>
    </w:tbl>
    <w:p w14:paraId="5CD60017" w14:textId="77777777" w:rsidR="00442287" w:rsidRPr="00C0101A" w:rsidRDefault="00442287" w:rsidP="00442287">
      <w:pPr>
        <w:jc w:val="both"/>
        <w:rPr>
          <w:vanish/>
        </w:rPr>
      </w:pPr>
    </w:p>
    <w:tbl>
      <w:tblPr>
        <w:tblpPr w:leftFromText="180" w:rightFromText="180" w:vertAnchor="text" w:horzAnchor="margin" w:tblpY="4"/>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7493"/>
      </w:tblGrid>
      <w:tr w:rsidR="00442287" w:rsidRPr="00C0101A" w14:paraId="16231691" w14:textId="77777777" w:rsidTr="008F5C6A">
        <w:tc>
          <w:tcPr>
            <w:tcW w:w="8838" w:type="dxa"/>
            <w:gridSpan w:val="2"/>
          </w:tcPr>
          <w:p w14:paraId="18CE60CD" w14:textId="77777777" w:rsidR="00442287" w:rsidRPr="00C0101A" w:rsidRDefault="00442287" w:rsidP="008F5C6A">
            <w:pPr>
              <w:jc w:val="both"/>
              <w:rPr>
                <w:b/>
              </w:rPr>
            </w:pPr>
            <w:r w:rsidRPr="00C0101A">
              <w:rPr>
                <w:b/>
              </w:rPr>
              <w:t xml:space="preserve">Detailed lecturing plan:  </w:t>
            </w:r>
          </w:p>
          <w:p w14:paraId="40646846" w14:textId="77777777" w:rsidR="00442287" w:rsidRPr="00C0101A" w:rsidRDefault="00442287" w:rsidP="008F5C6A">
            <w:pPr>
              <w:jc w:val="both"/>
              <w:rPr>
                <w:b/>
              </w:rPr>
            </w:pPr>
          </w:p>
          <w:p w14:paraId="67010A10" w14:textId="77777777" w:rsidR="00442287" w:rsidRPr="00C0101A" w:rsidRDefault="00442287" w:rsidP="008F5C6A">
            <w:pPr>
              <w:jc w:val="both"/>
              <w:rPr>
                <w:b/>
              </w:rPr>
            </w:pPr>
          </w:p>
          <w:p w14:paraId="2DEBF057" w14:textId="77777777" w:rsidR="00442287" w:rsidRPr="00C0101A" w:rsidRDefault="00442287" w:rsidP="008F5C6A">
            <w:pPr>
              <w:jc w:val="both"/>
              <w:rPr>
                <w:b/>
              </w:rPr>
            </w:pPr>
          </w:p>
          <w:p w14:paraId="4F6FFBFE" w14:textId="77777777" w:rsidR="00442287" w:rsidRPr="00C0101A" w:rsidRDefault="00442287" w:rsidP="008F5C6A">
            <w:pPr>
              <w:jc w:val="both"/>
              <w:rPr>
                <w:b/>
              </w:rPr>
            </w:pPr>
          </w:p>
        </w:tc>
      </w:tr>
      <w:tr w:rsidR="00442287" w:rsidRPr="00C0101A" w14:paraId="4F3FBA46" w14:textId="77777777" w:rsidTr="00442287">
        <w:trPr>
          <w:trHeight w:val="380"/>
        </w:trPr>
        <w:tc>
          <w:tcPr>
            <w:tcW w:w="1345" w:type="dxa"/>
          </w:tcPr>
          <w:p w14:paraId="5B25839A" w14:textId="77777777" w:rsidR="00442287" w:rsidRPr="00C0101A" w:rsidRDefault="00442287" w:rsidP="008F5C6A">
            <w:pPr>
              <w:jc w:val="both"/>
              <w:rPr>
                <w:b/>
              </w:rPr>
            </w:pPr>
            <w:r w:rsidRPr="00C0101A">
              <w:rPr>
                <w:b/>
              </w:rPr>
              <w:t>Week</w:t>
            </w:r>
          </w:p>
        </w:tc>
        <w:tc>
          <w:tcPr>
            <w:tcW w:w="7493" w:type="dxa"/>
          </w:tcPr>
          <w:p w14:paraId="49369D5C" w14:textId="77777777" w:rsidR="00442287" w:rsidRPr="00C0101A" w:rsidRDefault="00442287" w:rsidP="008F5C6A">
            <w:pPr>
              <w:jc w:val="both"/>
              <w:rPr>
                <w:b/>
              </w:rPr>
            </w:pPr>
            <w:r w:rsidRPr="00C0101A">
              <w:rPr>
                <w:b/>
              </w:rPr>
              <w:t xml:space="preserve">Content </w:t>
            </w:r>
          </w:p>
        </w:tc>
      </w:tr>
      <w:tr w:rsidR="00442287" w:rsidRPr="00C0101A" w14:paraId="513935FE" w14:textId="77777777" w:rsidTr="00442287">
        <w:tc>
          <w:tcPr>
            <w:tcW w:w="1345" w:type="dxa"/>
          </w:tcPr>
          <w:p w14:paraId="5AD9DFD4" w14:textId="77777777" w:rsidR="00442287" w:rsidRPr="00C0101A" w:rsidRDefault="00442287" w:rsidP="008F5C6A">
            <w:pPr>
              <w:jc w:val="both"/>
              <w:rPr>
                <w:b/>
              </w:rPr>
            </w:pPr>
            <w:r w:rsidRPr="00C0101A">
              <w:rPr>
                <w:b/>
                <w:i/>
              </w:rPr>
              <w:t>First week:</w:t>
            </w:r>
          </w:p>
        </w:tc>
        <w:tc>
          <w:tcPr>
            <w:tcW w:w="7493" w:type="dxa"/>
          </w:tcPr>
          <w:p w14:paraId="736C9E08" w14:textId="77777777" w:rsidR="00442287" w:rsidRPr="00C0101A" w:rsidRDefault="00442287" w:rsidP="008F5C6A">
            <w:pPr>
              <w:keepNext/>
              <w:keepLines/>
              <w:tabs>
                <w:tab w:val="left" w:pos="-720"/>
              </w:tabs>
              <w:suppressAutoHyphens/>
              <w:jc w:val="both"/>
              <w:rPr>
                <w:bCs/>
                <w:i/>
              </w:rPr>
            </w:pPr>
          </w:p>
          <w:p w14:paraId="28F786D4" w14:textId="77777777" w:rsidR="00442287" w:rsidRDefault="00442287" w:rsidP="008F5C6A">
            <w:pPr>
              <w:keepNext/>
              <w:keepLines/>
              <w:tabs>
                <w:tab w:val="left" w:pos="-720"/>
              </w:tabs>
              <w:suppressAutoHyphens/>
              <w:jc w:val="both"/>
              <w:rPr>
                <w:b/>
                <w:bCs/>
              </w:rPr>
            </w:pPr>
            <w:r>
              <w:rPr>
                <w:b/>
                <w:bCs/>
              </w:rPr>
              <w:t xml:space="preserve">Introduction to Private International Law in the context of EU Legal Structure; </w:t>
            </w:r>
          </w:p>
          <w:p w14:paraId="3AFC387A" w14:textId="77777777" w:rsidR="00442287" w:rsidRDefault="00442287" w:rsidP="008F5C6A">
            <w:pPr>
              <w:keepNext/>
              <w:keepLines/>
              <w:tabs>
                <w:tab w:val="left" w:pos="-720"/>
              </w:tabs>
              <w:suppressAutoHyphens/>
              <w:jc w:val="both"/>
              <w:rPr>
                <w:b/>
                <w:bCs/>
              </w:rPr>
            </w:pPr>
            <w:r>
              <w:rPr>
                <w:b/>
                <w:bCs/>
              </w:rPr>
              <w:t>Principles of PIL in EU Legal Structure</w:t>
            </w:r>
          </w:p>
          <w:p w14:paraId="790F6267" w14:textId="77777777" w:rsidR="00442287" w:rsidRPr="00C0101A" w:rsidRDefault="00442287" w:rsidP="008F5C6A">
            <w:pPr>
              <w:keepNext/>
              <w:keepLines/>
              <w:tabs>
                <w:tab w:val="left" w:pos="-720"/>
              </w:tabs>
              <w:suppressAutoHyphens/>
              <w:jc w:val="both"/>
            </w:pPr>
            <w:r>
              <w:t>Historical considerations</w:t>
            </w:r>
          </w:p>
          <w:p w14:paraId="5E3F1190" w14:textId="77777777" w:rsidR="00442287" w:rsidRPr="00C0101A" w:rsidRDefault="00442287" w:rsidP="008F5C6A">
            <w:pPr>
              <w:keepNext/>
              <w:keepLines/>
              <w:tabs>
                <w:tab w:val="left" w:pos="-720"/>
              </w:tabs>
              <w:suppressAutoHyphens/>
              <w:jc w:val="both"/>
              <w:rPr>
                <w:i/>
              </w:rPr>
            </w:pPr>
          </w:p>
          <w:p w14:paraId="34919CCD" w14:textId="77777777" w:rsidR="00442287" w:rsidRPr="00C0101A" w:rsidRDefault="00442287" w:rsidP="008F5C6A">
            <w:pPr>
              <w:pStyle w:val="Heading3"/>
              <w:jc w:val="both"/>
              <w:rPr>
                <w:rFonts w:ascii="Times New Roman" w:hAnsi="Times New Roman"/>
                <w:b/>
              </w:rPr>
            </w:pPr>
          </w:p>
        </w:tc>
      </w:tr>
      <w:tr w:rsidR="00442287" w:rsidRPr="00C0101A" w14:paraId="5F266273" w14:textId="77777777" w:rsidTr="00442287">
        <w:tc>
          <w:tcPr>
            <w:tcW w:w="1345" w:type="dxa"/>
          </w:tcPr>
          <w:p w14:paraId="1AD94318" w14:textId="77777777" w:rsidR="00442287" w:rsidRPr="00C0101A" w:rsidRDefault="00442287" w:rsidP="008F5C6A">
            <w:pPr>
              <w:jc w:val="both"/>
              <w:rPr>
                <w:b/>
              </w:rPr>
            </w:pPr>
            <w:r w:rsidRPr="00C0101A">
              <w:rPr>
                <w:b/>
                <w:i/>
              </w:rPr>
              <w:t xml:space="preserve">Second week: </w:t>
            </w:r>
          </w:p>
        </w:tc>
        <w:tc>
          <w:tcPr>
            <w:tcW w:w="7493" w:type="dxa"/>
          </w:tcPr>
          <w:p w14:paraId="1BEF9FD3" w14:textId="77777777" w:rsidR="00442287" w:rsidRDefault="00442287" w:rsidP="008F5C6A">
            <w:pPr>
              <w:jc w:val="both"/>
              <w:rPr>
                <w:b/>
                <w:bCs/>
              </w:rPr>
            </w:pPr>
            <w:r>
              <w:rPr>
                <w:b/>
                <w:bCs/>
              </w:rPr>
              <w:t>Sources of Private International Law in EU</w:t>
            </w:r>
          </w:p>
          <w:p w14:paraId="52D32CA8" w14:textId="77777777" w:rsidR="00442287" w:rsidRDefault="00442287" w:rsidP="00442287">
            <w:pPr>
              <w:numPr>
                <w:ilvl w:val="0"/>
                <w:numId w:val="45"/>
              </w:numPr>
              <w:overflowPunct/>
              <w:autoSpaceDE/>
              <w:autoSpaceDN/>
              <w:adjustRightInd/>
              <w:jc w:val="both"/>
              <w:textAlignment w:val="auto"/>
            </w:pPr>
            <w:r>
              <w:t>Introduction to selected Regulations and Directives</w:t>
            </w:r>
          </w:p>
          <w:p w14:paraId="0A64FC0E" w14:textId="77777777" w:rsidR="00442287" w:rsidRPr="00D87CDF" w:rsidRDefault="00442287" w:rsidP="00442287">
            <w:pPr>
              <w:numPr>
                <w:ilvl w:val="0"/>
                <w:numId w:val="45"/>
              </w:numPr>
              <w:overflowPunct/>
              <w:autoSpaceDE/>
              <w:autoSpaceDN/>
              <w:adjustRightInd/>
              <w:jc w:val="both"/>
              <w:textAlignment w:val="auto"/>
            </w:pPr>
            <w:r>
              <w:t>Sources of PIL in Kosovo</w:t>
            </w:r>
          </w:p>
        </w:tc>
      </w:tr>
      <w:tr w:rsidR="00442287" w:rsidRPr="00C0101A" w14:paraId="097F1693" w14:textId="77777777" w:rsidTr="00442287">
        <w:tc>
          <w:tcPr>
            <w:tcW w:w="1345" w:type="dxa"/>
          </w:tcPr>
          <w:p w14:paraId="5E9BCCE9" w14:textId="77777777" w:rsidR="00442287" w:rsidRPr="00C0101A" w:rsidRDefault="00442287" w:rsidP="008F5C6A">
            <w:pPr>
              <w:jc w:val="both"/>
              <w:rPr>
                <w:b/>
              </w:rPr>
            </w:pPr>
            <w:r w:rsidRPr="00C0101A">
              <w:rPr>
                <w:b/>
                <w:i/>
              </w:rPr>
              <w:t xml:space="preserve">Third week: </w:t>
            </w:r>
          </w:p>
        </w:tc>
        <w:tc>
          <w:tcPr>
            <w:tcW w:w="7493" w:type="dxa"/>
          </w:tcPr>
          <w:p w14:paraId="1A10FF82" w14:textId="77777777" w:rsidR="00442287" w:rsidRDefault="00442287" w:rsidP="008F5C6A">
            <w:pPr>
              <w:pStyle w:val="Formatvorlage1"/>
              <w:spacing w:line="276" w:lineRule="auto"/>
              <w:jc w:val="both"/>
              <w:rPr>
                <w:rFonts w:ascii="Times New Roman" w:hAnsi="Times New Roman"/>
                <w:b/>
                <w:szCs w:val="24"/>
                <w:lang w:val="en-US"/>
              </w:rPr>
            </w:pPr>
            <w:r>
              <w:rPr>
                <w:rFonts w:ascii="Times New Roman" w:hAnsi="Times New Roman"/>
                <w:b/>
                <w:szCs w:val="24"/>
                <w:lang w:val="en-US"/>
              </w:rPr>
              <w:t>Applicable Law in Civil and Commercial matters in the EU:</w:t>
            </w:r>
          </w:p>
          <w:p w14:paraId="1926D12E" w14:textId="77777777" w:rsidR="00442287" w:rsidRDefault="00442287" w:rsidP="008F5C6A">
            <w:pPr>
              <w:pStyle w:val="Formatvorlage1"/>
              <w:spacing w:line="276" w:lineRule="auto"/>
              <w:jc w:val="both"/>
              <w:rPr>
                <w:rFonts w:ascii="Times New Roman" w:hAnsi="Times New Roman"/>
                <w:b/>
                <w:szCs w:val="24"/>
                <w:lang w:val="en-US"/>
              </w:rPr>
            </w:pPr>
            <w:r>
              <w:rPr>
                <w:rFonts w:ascii="Times New Roman" w:hAnsi="Times New Roman"/>
                <w:b/>
                <w:szCs w:val="24"/>
                <w:lang w:val="en-US"/>
              </w:rPr>
              <w:t>Regulation Rome I and Rome II</w:t>
            </w:r>
          </w:p>
          <w:p w14:paraId="013398F9" w14:textId="77777777" w:rsidR="00442287" w:rsidRDefault="00442287" w:rsidP="008F5C6A">
            <w:pPr>
              <w:pStyle w:val="Formatvorlage1"/>
              <w:spacing w:line="276" w:lineRule="auto"/>
              <w:jc w:val="both"/>
              <w:rPr>
                <w:rFonts w:ascii="Times New Roman" w:hAnsi="Times New Roman"/>
                <w:szCs w:val="24"/>
                <w:lang w:val="en-US"/>
              </w:rPr>
            </w:pPr>
            <w:r>
              <w:rPr>
                <w:rFonts w:ascii="Times New Roman" w:hAnsi="Times New Roman"/>
                <w:szCs w:val="24"/>
                <w:lang w:val="en-US"/>
              </w:rPr>
              <w:t>CJEU Cases on interpreting these Regulations;</w:t>
            </w:r>
          </w:p>
          <w:p w14:paraId="338031F8" w14:textId="77777777" w:rsidR="00442287" w:rsidRPr="00D87CDF" w:rsidRDefault="00442287" w:rsidP="008F5C6A">
            <w:pPr>
              <w:pStyle w:val="Formatvorlage1"/>
              <w:spacing w:line="276" w:lineRule="auto"/>
              <w:jc w:val="both"/>
              <w:rPr>
                <w:rFonts w:ascii="Times New Roman" w:hAnsi="Times New Roman"/>
                <w:szCs w:val="24"/>
                <w:lang w:val="en-US"/>
              </w:rPr>
            </w:pPr>
            <w:r>
              <w:rPr>
                <w:rFonts w:ascii="Times New Roman" w:hAnsi="Times New Roman"/>
                <w:szCs w:val="24"/>
                <w:lang w:val="en-US"/>
              </w:rPr>
              <w:t>Practical considerations of Rome I and Rome II;</w:t>
            </w:r>
          </w:p>
          <w:p w14:paraId="5809C2B2" w14:textId="77777777" w:rsidR="00442287" w:rsidRPr="00535909" w:rsidRDefault="00442287" w:rsidP="008F5C6A">
            <w:pPr>
              <w:pStyle w:val="Formatvorlage1"/>
              <w:spacing w:line="276" w:lineRule="auto"/>
              <w:jc w:val="both"/>
              <w:rPr>
                <w:rFonts w:ascii="Times New Roman" w:hAnsi="Times New Roman"/>
                <w:szCs w:val="24"/>
                <w:lang w:val="en-US"/>
              </w:rPr>
            </w:pPr>
            <w:r>
              <w:rPr>
                <w:rFonts w:ascii="Times New Roman" w:hAnsi="Times New Roman"/>
                <w:szCs w:val="24"/>
                <w:lang w:val="en-US"/>
              </w:rPr>
              <w:t>Comparison between said Regulations and equivalent provisions in Kosovo Law</w:t>
            </w:r>
          </w:p>
        </w:tc>
      </w:tr>
      <w:tr w:rsidR="00442287" w:rsidRPr="00C0101A" w14:paraId="4F202114" w14:textId="77777777" w:rsidTr="00442287">
        <w:tc>
          <w:tcPr>
            <w:tcW w:w="1345" w:type="dxa"/>
          </w:tcPr>
          <w:p w14:paraId="6B91B069" w14:textId="77777777" w:rsidR="00442287" w:rsidRPr="00C0101A" w:rsidRDefault="00442287" w:rsidP="008F5C6A">
            <w:pPr>
              <w:jc w:val="both"/>
              <w:rPr>
                <w:b/>
              </w:rPr>
            </w:pPr>
            <w:r w:rsidRPr="00C0101A">
              <w:rPr>
                <w:b/>
                <w:i/>
              </w:rPr>
              <w:lastRenderedPageBreak/>
              <w:t xml:space="preserve">Fourth week: </w:t>
            </w:r>
          </w:p>
        </w:tc>
        <w:tc>
          <w:tcPr>
            <w:tcW w:w="7493" w:type="dxa"/>
          </w:tcPr>
          <w:p w14:paraId="4F299006" w14:textId="77777777" w:rsidR="00442287" w:rsidRDefault="00442287" w:rsidP="008F5C6A">
            <w:pPr>
              <w:pStyle w:val="Formatvorlage1"/>
              <w:spacing w:line="276" w:lineRule="auto"/>
              <w:jc w:val="both"/>
              <w:rPr>
                <w:rFonts w:ascii="Times New Roman" w:hAnsi="Times New Roman"/>
                <w:b/>
                <w:szCs w:val="24"/>
                <w:lang w:val="en-US"/>
              </w:rPr>
            </w:pPr>
            <w:r>
              <w:rPr>
                <w:rFonts w:ascii="Times New Roman" w:hAnsi="Times New Roman"/>
                <w:b/>
                <w:szCs w:val="24"/>
                <w:lang w:val="en-US"/>
              </w:rPr>
              <w:t>Applicable Law in Civil and Commercial matters in the EU:</w:t>
            </w:r>
          </w:p>
          <w:p w14:paraId="088714F8" w14:textId="77777777" w:rsidR="00442287" w:rsidRDefault="00442287" w:rsidP="008F5C6A">
            <w:pPr>
              <w:pStyle w:val="Formatvorlage1"/>
              <w:spacing w:line="276" w:lineRule="auto"/>
              <w:jc w:val="both"/>
              <w:rPr>
                <w:rFonts w:ascii="Times New Roman" w:hAnsi="Times New Roman"/>
                <w:b/>
                <w:szCs w:val="24"/>
                <w:lang w:val="en-US"/>
              </w:rPr>
            </w:pPr>
            <w:r>
              <w:rPr>
                <w:rFonts w:ascii="Times New Roman" w:hAnsi="Times New Roman"/>
                <w:b/>
                <w:szCs w:val="24"/>
                <w:lang w:val="en-US"/>
              </w:rPr>
              <w:t>Regulation Rome I and Rome II (Part II)</w:t>
            </w:r>
          </w:p>
          <w:p w14:paraId="413C18F4" w14:textId="77777777" w:rsidR="00442287" w:rsidRDefault="00442287" w:rsidP="008F5C6A">
            <w:pPr>
              <w:pStyle w:val="Formatvorlage1"/>
              <w:spacing w:line="276" w:lineRule="auto"/>
              <w:jc w:val="both"/>
              <w:rPr>
                <w:rFonts w:ascii="Times New Roman" w:hAnsi="Times New Roman"/>
                <w:szCs w:val="24"/>
                <w:lang w:val="en-US"/>
              </w:rPr>
            </w:pPr>
            <w:r>
              <w:rPr>
                <w:rFonts w:ascii="Times New Roman" w:hAnsi="Times New Roman"/>
                <w:szCs w:val="24"/>
                <w:lang w:val="en-US"/>
              </w:rPr>
              <w:t>CJEU Cases on interpreting these Regulations;</w:t>
            </w:r>
          </w:p>
          <w:p w14:paraId="39961E96" w14:textId="77777777" w:rsidR="00442287" w:rsidRPr="00D87CDF" w:rsidRDefault="00442287" w:rsidP="008F5C6A">
            <w:pPr>
              <w:pStyle w:val="Formatvorlage1"/>
              <w:spacing w:line="276" w:lineRule="auto"/>
              <w:jc w:val="both"/>
              <w:rPr>
                <w:szCs w:val="24"/>
                <w:lang w:val="en-US"/>
              </w:rPr>
            </w:pPr>
            <w:r>
              <w:rPr>
                <w:rFonts w:ascii="Times New Roman" w:hAnsi="Times New Roman"/>
                <w:szCs w:val="24"/>
                <w:lang w:val="en-US"/>
              </w:rPr>
              <w:t>Practical considerations of Rome I and Rome II;</w:t>
            </w:r>
          </w:p>
        </w:tc>
      </w:tr>
      <w:tr w:rsidR="00442287" w:rsidRPr="00C0101A" w14:paraId="41728E4B" w14:textId="77777777" w:rsidTr="00442287">
        <w:tc>
          <w:tcPr>
            <w:tcW w:w="1345" w:type="dxa"/>
          </w:tcPr>
          <w:p w14:paraId="1EA1EC23" w14:textId="77777777" w:rsidR="00442287" w:rsidRPr="00C0101A" w:rsidRDefault="00442287" w:rsidP="008F5C6A">
            <w:pPr>
              <w:jc w:val="both"/>
              <w:rPr>
                <w:b/>
              </w:rPr>
            </w:pPr>
            <w:r w:rsidRPr="00C0101A">
              <w:rPr>
                <w:b/>
                <w:i/>
              </w:rPr>
              <w:t xml:space="preserve">Fifth week: </w:t>
            </w:r>
            <w:r w:rsidRPr="00C0101A">
              <w:rPr>
                <w:b/>
              </w:rPr>
              <w:t xml:space="preserve">  </w:t>
            </w:r>
          </w:p>
        </w:tc>
        <w:tc>
          <w:tcPr>
            <w:tcW w:w="7493" w:type="dxa"/>
          </w:tcPr>
          <w:p w14:paraId="44ECB575" w14:textId="77777777" w:rsidR="00442287" w:rsidRDefault="00442287" w:rsidP="008F5C6A">
            <w:pPr>
              <w:pStyle w:val="BodyText"/>
              <w:tabs>
                <w:tab w:val="left" w:pos="720"/>
              </w:tabs>
              <w:spacing w:line="276" w:lineRule="auto"/>
              <w:jc w:val="both"/>
              <w:rPr>
                <w:b/>
                <w:szCs w:val="24"/>
              </w:rPr>
            </w:pPr>
            <w:r>
              <w:rPr>
                <w:b/>
                <w:szCs w:val="24"/>
              </w:rPr>
              <w:t>Applicable Law in Family Matters:</w:t>
            </w:r>
          </w:p>
          <w:p w14:paraId="47FA32EE" w14:textId="77777777" w:rsidR="00442287" w:rsidRDefault="00442287" w:rsidP="008F5C6A">
            <w:pPr>
              <w:pStyle w:val="BodyText"/>
              <w:tabs>
                <w:tab w:val="left" w:pos="720"/>
              </w:tabs>
              <w:spacing w:line="276" w:lineRule="auto"/>
              <w:jc w:val="both"/>
              <w:rPr>
                <w:szCs w:val="24"/>
              </w:rPr>
            </w:pPr>
            <w:r>
              <w:rPr>
                <w:szCs w:val="24"/>
              </w:rPr>
              <w:t>Applicable law to marriage and divorce</w:t>
            </w:r>
          </w:p>
          <w:p w14:paraId="64809DBD" w14:textId="77777777" w:rsidR="00442287" w:rsidRDefault="00442287" w:rsidP="008F5C6A">
            <w:pPr>
              <w:pStyle w:val="BodyText"/>
              <w:tabs>
                <w:tab w:val="left" w:pos="720"/>
              </w:tabs>
              <w:spacing w:line="276" w:lineRule="auto"/>
              <w:jc w:val="both"/>
              <w:rPr>
                <w:szCs w:val="24"/>
              </w:rPr>
            </w:pPr>
            <w:r>
              <w:rPr>
                <w:szCs w:val="24"/>
              </w:rPr>
              <w:t>Civil aspects of child obduction</w:t>
            </w:r>
          </w:p>
          <w:p w14:paraId="35304E3A" w14:textId="77777777" w:rsidR="00442287" w:rsidRDefault="00442287" w:rsidP="008F5C6A">
            <w:pPr>
              <w:pStyle w:val="BodyText"/>
              <w:tabs>
                <w:tab w:val="left" w:pos="720"/>
              </w:tabs>
              <w:spacing w:line="276" w:lineRule="auto"/>
              <w:jc w:val="both"/>
              <w:rPr>
                <w:szCs w:val="24"/>
              </w:rPr>
            </w:pPr>
            <w:r>
              <w:rPr>
                <w:szCs w:val="24"/>
              </w:rPr>
              <w:t>Inter-state adoptions</w:t>
            </w:r>
          </w:p>
          <w:p w14:paraId="1935D67F" w14:textId="77777777" w:rsidR="00442287" w:rsidRPr="00D87CDF" w:rsidRDefault="00442287" w:rsidP="008F5C6A">
            <w:pPr>
              <w:pStyle w:val="BodyText"/>
              <w:tabs>
                <w:tab w:val="left" w:pos="720"/>
              </w:tabs>
              <w:spacing w:line="276" w:lineRule="auto"/>
              <w:jc w:val="both"/>
              <w:rPr>
                <w:szCs w:val="24"/>
              </w:rPr>
            </w:pPr>
            <w:r>
              <w:rPr>
                <w:szCs w:val="24"/>
              </w:rPr>
              <w:t xml:space="preserve">Modern discussions around international surrogacy </w:t>
            </w:r>
          </w:p>
        </w:tc>
      </w:tr>
      <w:tr w:rsidR="00442287" w:rsidRPr="00C0101A" w14:paraId="199BF988" w14:textId="77777777" w:rsidTr="00442287">
        <w:tc>
          <w:tcPr>
            <w:tcW w:w="1345" w:type="dxa"/>
          </w:tcPr>
          <w:p w14:paraId="62C9AA03" w14:textId="77777777" w:rsidR="00442287" w:rsidRPr="00C0101A" w:rsidRDefault="00442287" w:rsidP="008F5C6A">
            <w:pPr>
              <w:jc w:val="both"/>
              <w:rPr>
                <w:b/>
              </w:rPr>
            </w:pPr>
            <w:r w:rsidRPr="00C0101A">
              <w:rPr>
                <w:b/>
                <w:i/>
              </w:rPr>
              <w:t xml:space="preserve">Sixth week: </w:t>
            </w:r>
          </w:p>
        </w:tc>
        <w:tc>
          <w:tcPr>
            <w:tcW w:w="7493" w:type="dxa"/>
          </w:tcPr>
          <w:p w14:paraId="6D8C1BF7" w14:textId="77777777" w:rsidR="00442287" w:rsidRDefault="00442287" w:rsidP="008F5C6A">
            <w:pPr>
              <w:pStyle w:val="Formatvorlage1"/>
              <w:jc w:val="both"/>
              <w:rPr>
                <w:rFonts w:ascii="Times" w:hAnsi="Times" w:cs="Times"/>
                <w:b/>
                <w:lang w:val="en-US"/>
              </w:rPr>
            </w:pPr>
            <w:r w:rsidRPr="00612C92">
              <w:rPr>
                <w:rFonts w:ascii="Times" w:hAnsi="Times" w:cs="Times"/>
                <w:b/>
                <w:lang w:val="en-US"/>
              </w:rPr>
              <w:t>Applicable Law in Family Matters</w:t>
            </w:r>
            <w:r>
              <w:rPr>
                <w:rFonts w:ascii="Times" w:hAnsi="Times" w:cs="Times"/>
                <w:b/>
                <w:lang w:val="en-US"/>
              </w:rPr>
              <w:t xml:space="preserve"> (Part II): Matrimonial Property Regime</w:t>
            </w:r>
          </w:p>
          <w:p w14:paraId="3319BBA2" w14:textId="77777777" w:rsidR="00442287" w:rsidRDefault="00442287" w:rsidP="008F5C6A">
            <w:pPr>
              <w:pStyle w:val="Formatvorlage1"/>
              <w:jc w:val="both"/>
              <w:rPr>
                <w:rFonts w:ascii="Times" w:hAnsi="Times" w:cs="Times"/>
                <w:b/>
                <w:lang w:val="en-US"/>
              </w:rPr>
            </w:pPr>
            <w:r>
              <w:rPr>
                <w:rFonts w:ascii="Times" w:hAnsi="Times" w:cs="Times"/>
                <w:b/>
                <w:lang w:val="en-US"/>
              </w:rPr>
              <w:t>Applicable Law to Succession</w:t>
            </w:r>
          </w:p>
          <w:p w14:paraId="7D3FF4B7" w14:textId="77777777" w:rsidR="00442287" w:rsidRPr="00D87CDF" w:rsidRDefault="00442287" w:rsidP="008F5C6A">
            <w:pPr>
              <w:pStyle w:val="Formatvorlage1"/>
              <w:jc w:val="both"/>
              <w:rPr>
                <w:rFonts w:ascii="Times" w:hAnsi="Times" w:cs="Times"/>
                <w:lang w:val="en-US"/>
              </w:rPr>
            </w:pPr>
            <w:r>
              <w:rPr>
                <w:rFonts w:ascii="Times" w:hAnsi="Times" w:cs="Times"/>
                <w:lang w:val="en-US"/>
              </w:rPr>
              <w:t>EU Succession Regulation and other modern considerations in international succession law</w:t>
            </w:r>
          </w:p>
        </w:tc>
      </w:tr>
      <w:tr w:rsidR="00442287" w:rsidRPr="00C0101A" w14:paraId="1EDFB78A" w14:textId="77777777" w:rsidTr="00442287">
        <w:tc>
          <w:tcPr>
            <w:tcW w:w="1345" w:type="dxa"/>
          </w:tcPr>
          <w:p w14:paraId="0FC0A35C" w14:textId="77777777" w:rsidR="00442287" w:rsidRPr="00C0101A" w:rsidRDefault="00442287" w:rsidP="008F5C6A">
            <w:pPr>
              <w:jc w:val="both"/>
              <w:rPr>
                <w:b/>
              </w:rPr>
            </w:pPr>
            <w:r w:rsidRPr="00C0101A">
              <w:rPr>
                <w:b/>
                <w:i/>
              </w:rPr>
              <w:t xml:space="preserve">Seventh week: </w:t>
            </w:r>
            <w:r w:rsidRPr="00C0101A">
              <w:rPr>
                <w:b/>
              </w:rPr>
              <w:t xml:space="preserve">  </w:t>
            </w:r>
          </w:p>
        </w:tc>
        <w:tc>
          <w:tcPr>
            <w:tcW w:w="7493" w:type="dxa"/>
          </w:tcPr>
          <w:p w14:paraId="6C47C8CD" w14:textId="77777777" w:rsidR="00442287" w:rsidRDefault="00442287" w:rsidP="008F5C6A">
            <w:pPr>
              <w:pStyle w:val="Formatvorlage1"/>
              <w:jc w:val="both"/>
              <w:rPr>
                <w:rFonts w:ascii="Times" w:hAnsi="Times" w:cs="Times"/>
                <w:b/>
                <w:szCs w:val="24"/>
                <w:lang w:val="en-US"/>
              </w:rPr>
            </w:pPr>
            <w:r>
              <w:rPr>
                <w:rFonts w:ascii="Times" w:hAnsi="Times" w:cs="Times"/>
                <w:b/>
                <w:szCs w:val="24"/>
                <w:lang w:val="en-US"/>
              </w:rPr>
              <w:t>Protective nature of EU Private Law: EU Consumer Law</w:t>
            </w:r>
          </w:p>
          <w:p w14:paraId="18EF4C26" w14:textId="77777777" w:rsidR="00442287" w:rsidRDefault="00442287" w:rsidP="008F5C6A">
            <w:pPr>
              <w:pStyle w:val="Formatvorlage1"/>
              <w:jc w:val="both"/>
              <w:rPr>
                <w:rFonts w:ascii="Times" w:hAnsi="Times" w:cs="Times"/>
                <w:szCs w:val="24"/>
                <w:lang w:val="en-US"/>
              </w:rPr>
            </w:pPr>
            <w:r>
              <w:rPr>
                <w:rFonts w:ascii="Times" w:hAnsi="Times" w:cs="Times"/>
                <w:szCs w:val="24"/>
                <w:lang w:val="en-US"/>
              </w:rPr>
              <w:t>Key Regulations and Directives protecting Consumers in EU</w:t>
            </w:r>
          </w:p>
          <w:p w14:paraId="2F490208" w14:textId="77777777" w:rsidR="00442287" w:rsidRPr="00612C92" w:rsidRDefault="00442287" w:rsidP="008F5C6A">
            <w:pPr>
              <w:pStyle w:val="Formatvorlage1"/>
              <w:jc w:val="both"/>
              <w:rPr>
                <w:rFonts w:ascii="Times" w:hAnsi="Times" w:cs="Times"/>
                <w:szCs w:val="24"/>
                <w:lang w:val="en-US"/>
              </w:rPr>
            </w:pPr>
            <w:r>
              <w:rPr>
                <w:rFonts w:ascii="Times" w:hAnsi="Times" w:cs="Times"/>
                <w:szCs w:val="24"/>
                <w:lang w:val="en-US"/>
              </w:rPr>
              <w:t>ADR in Consumer Protection</w:t>
            </w:r>
          </w:p>
        </w:tc>
      </w:tr>
      <w:tr w:rsidR="00442287" w:rsidRPr="00C0101A" w14:paraId="69BABC2B" w14:textId="77777777" w:rsidTr="00442287">
        <w:tc>
          <w:tcPr>
            <w:tcW w:w="1345" w:type="dxa"/>
          </w:tcPr>
          <w:p w14:paraId="0790D951" w14:textId="77777777" w:rsidR="00442287" w:rsidRPr="00C0101A" w:rsidRDefault="00442287" w:rsidP="008F5C6A">
            <w:pPr>
              <w:jc w:val="both"/>
              <w:rPr>
                <w:b/>
                <w:i/>
              </w:rPr>
            </w:pPr>
            <w:r w:rsidRPr="00C0101A">
              <w:rPr>
                <w:b/>
                <w:i/>
              </w:rPr>
              <w:t xml:space="preserve">Eighth week: </w:t>
            </w:r>
            <w:r w:rsidRPr="00C0101A">
              <w:rPr>
                <w:b/>
              </w:rPr>
              <w:t xml:space="preserve">  </w:t>
            </w:r>
          </w:p>
        </w:tc>
        <w:tc>
          <w:tcPr>
            <w:tcW w:w="7493" w:type="dxa"/>
          </w:tcPr>
          <w:p w14:paraId="5AEDA408" w14:textId="77777777" w:rsidR="00442287" w:rsidRPr="00D87CDF" w:rsidRDefault="00442287" w:rsidP="008F5C6A">
            <w:pPr>
              <w:pStyle w:val="Formatvorlage1"/>
              <w:jc w:val="both"/>
              <w:rPr>
                <w:rFonts w:ascii="Times" w:hAnsi="Times" w:cs="Times"/>
                <w:szCs w:val="24"/>
                <w:lang w:val="en-US"/>
              </w:rPr>
            </w:pPr>
            <w:r>
              <w:rPr>
                <w:rFonts w:ascii="Times" w:hAnsi="Times" w:cs="Times"/>
                <w:b/>
                <w:szCs w:val="24"/>
                <w:lang w:val="en-US"/>
              </w:rPr>
              <w:t>Protective nature of EU Private Law: Individual Employment Contracts and Insurance Contracts</w:t>
            </w:r>
          </w:p>
        </w:tc>
      </w:tr>
      <w:tr w:rsidR="00442287" w:rsidRPr="00C0101A" w14:paraId="713015D3" w14:textId="77777777" w:rsidTr="00442287">
        <w:tc>
          <w:tcPr>
            <w:tcW w:w="1345" w:type="dxa"/>
          </w:tcPr>
          <w:p w14:paraId="3BD1A1BA" w14:textId="77777777" w:rsidR="00442287" w:rsidRPr="00C0101A" w:rsidRDefault="00442287" w:rsidP="008F5C6A">
            <w:pPr>
              <w:jc w:val="both"/>
              <w:rPr>
                <w:b/>
                <w:i/>
              </w:rPr>
            </w:pPr>
            <w:r w:rsidRPr="00C0101A">
              <w:rPr>
                <w:b/>
                <w:i/>
              </w:rPr>
              <w:t xml:space="preserve">Ninth week: </w:t>
            </w:r>
            <w:r w:rsidRPr="00C0101A">
              <w:rPr>
                <w:b/>
              </w:rPr>
              <w:t xml:space="preserve">  </w:t>
            </w:r>
          </w:p>
        </w:tc>
        <w:tc>
          <w:tcPr>
            <w:tcW w:w="7493" w:type="dxa"/>
          </w:tcPr>
          <w:p w14:paraId="743629D2" w14:textId="77777777" w:rsidR="00442287" w:rsidRDefault="00442287" w:rsidP="008F5C6A">
            <w:pPr>
              <w:jc w:val="both"/>
              <w:rPr>
                <w:rFonts w:ascii="Times" w:hAnsi="Times" w:cs="Times"/>
              </w:rPr>
            </w:pPr>
            <w:r>
              <w:rPr>
                <w:rFonts w:ascii="Times" w:hAnsi="Times" w:cs="Times"/>
                <w:b/>
              </w:rPr>
              <w:t>International Civil Procedure in the EU:</w:t>
            </w:r>
          </w:p>
          <w:p w14:paraId="5CEF418B" w14:textId="77777777" w:rsidR="00442287" w:rsidRDefault="00442287" w:rsidP="008F5C6A">
            <w:pPr>
              <w:jc w:val="both"/>
              <w:rPr>
                <w:rFonts w:ascii="Times" w:hAnsi="Times" w:cs="Times"/>
              </w:rPr>
            </w:pPr>
            <w:r>
              <w:rPr>
                <w:rFonts w:ascii="Times" w:hAnsi="Times" w:cs="Times"/>
              </w:rPr>
              <w:t>Introduction to key EU Regulations that regulate procedural aspects</w:t>
            </w:r>
          </w:p>
          <w:p w14:paraId="61B24CD5" w14:textId="77777777" w:rsidR="00442287" w:rsidRDefault="00442287" w:rsidP="008F5C6A">
            <w:pPr>
              <w:jc w:val="both"/>
              <w:rPr>
                <w:rFonts w:ascii="Times" w:hAnsi="Times" w:cs="Times"/>
              </w:rPr>
            </w:pPr>
            <w:r>
              <w:rPr>
                <w:rFonts w:ascii="Times" w:hAnsi="Times" w:cs="Times"/>
              </w:rPr>
              <w:t>Introduction to key Conventions of the Hague Conference on Private International Law relevant to EU countries</w:t>
            </w:r>
          </w:p>
          <w:p w14:paraId="103A7155" w14:textId="77777777" w:rsidR="00442287" w:rsidRDefault="00442287" w:rsidP="008F5C6A">
            <w:pPr>
              <w:jc w:val="both"/>
              <w:rPr>
                <w:rFonts w:ascii="Times" w:hAnsi="Times" w:cs="Times"/>
              </w:rPr>
            </w:pPr>
          </w:p>
          <w:p w14:paraId="2D1A7736" w14:textId="77777777" w:rsidR="00442287" w:rsidRDefault="00442287" w:rsidP="008F5C6A">
            <w:pPr>
              <w:pStyle w:val="Formatvorlage1"/>
              <w:jc w:val="both"/>
              <w:rPr>
                <w:rFonts w:ascii="Times" w:hAnsi="Times" w:cs="Times"/>
                <w:b/>
                <w:szCs w:val="24"/>
                <w:lang w:val="en-US"/>
              </w:rPr>
            </w:pPr>
            <w:r>
              <w:rPr>
                <w:rFonts w:ascii="Times" w:hAnsi="Times" w:cs="Times"/>
                <w:b/>
                <w:szCs w:val="24"/>
                <w:lang w:val="en-US"/>
              </w:rPr>
              <w:t>Litigation in Civil and Commercial Matters in the EU: Regulation Brussels I</w:t>
            </w:r>
            <w:r>
              <w:rPr>
                <w:rFonts w:ascii="Times" w:hAnsi="Times" w:cs="Times"/>
                <w:b/>
                <w:i/>
                <w:szCs w:val="24"/>
                <w:lang w:val="en-US"/>
              </w:rPr>
              <w:t xml:space="preserve">bis </w:t>
            </w:r>
          </w:p>
          <w:p w14:paraId="6B5C2855" w14:textId="77777777" w:rsidR="00442287" w:rsidRDefault="00442287" w:rsidP="008F5C6A">
            <w:pPr>
              <w:pStyle w:val="Formatvorlage1"/>
              <w:jc w:val="both"/>
              <w:rPr>
                <w:rFonts w:ascii="Times" w:hAnsi="Times" w:cs="Times"/>
                <w:szCs w:val="24"/>
                <w:lang w:val="en-US"/>
              </w:rPr>
            </w:pPr>
            <w:r>
              <w:rPr>
                <w:rFonts w:ascii="Times" w:hAnsi="Times" w:cs="Times"/>
                <w:szCs w:val="24"/>
                <w:lang w:val="en-US"/>
              </w:rPr>
              <w:t xml:space="preserve">General, special and exclusive jurisdiction rules </w:t>
            </w:r>
          </w:p>
          <w:p w14:paraId="49843D4A" w14:textId="77777777" w:rsidR="00442287" w:rsidRPr="00612C92" w:rsidRDefault="00442287" w:rsidP="008F5C6A">
            <w:pPr>
              <w:jc w:val="both"/>
              <w:rPr>
                <w:rFonts w:ascii="Times" w:hAnsi="Times" w:cs="Times"/>
              </w:rPr>
            </w:pPr>
            <w:r>
              <w:rPr>
                <w:rFonts w:ascii="Times" w:hAnsi="Times" w:cs="Times"/>
              </w:rPr>
              <w:t>Comparison with national jurisdiction rules of Member States</w:t>
            </w:r>
          </w:p>
        </w:tc>
      </w:tr>
      <w:tr w:rsidR="00442287" w:rsidRPr="00C0101A" w14:paraId="0E9ADC99" w14:textId="77777777" w:rsidTr="00442287">
        <w:tc>
          <w:tcPr>
            <w:tcW w:w="1345" w:type="dxa"/>
          </w:tcPr>
          <w:p w14:paraId="5CC2269A" w14:textId="77777777" w:rsidR="00442287" w:rsidRPr="00C0101A" w:rsidRDefault="00442287" w:rsidP="008F5C6A">
            <w:pPr>
              <w:jc w:val="both"/>
              <w:rPr>
                <w:b/>
                <w:i/>
              </w:rPr>
            </w:pPr>
            <w:r w:rsidRPr="00C0101A">
              <w:rPr>
                <w:b/>
                <w:i/>
              </w:rPr>
              <w:t xml:space="preserve">Tenth week: </w:t>
            </w:r>
          </w:p>
        </w:tc>
        <w:tc>
          <w:tcPr>
            <w:tcW w:w="7493" w:type="dxa"/>
          </w:tcPr>
          <w:p w14:paraId="1F4FD1F7" w14:textId="77777777" w:rsidR="00442287" w:rsidRDefault="00442287" w:rsidP="008F5C6A">
            <w:pPr>
              <w:jc w:val="both"/>
              <w:rPr>
                <w:rFonts w:ascii="Times" w:hAnsi="Times" w:cs="Times"/>
                <w:b/>
                <w:bCs/>
              </w:rPr>
            </w:pPr>
            <w:r>
              <w:rPr>
                <w:rFonts w:ascii="Times" w:hAnsi="Times" w:cs="Times"/>
                <w:b/>
                <w:bCs/>
              </w:rPr>
              <w:t>Litigation in Family and Succession Matters in the EU</w:t>
            </w:r>
          </w:p>
          <w:p w14:paraId="5436B969" w14:textId="77777777" w:rsidR="00442287" w:rsidRDefault="00442287" w:rsidP="008F5C6A">
            <w:pPr>
              <w:jc w:val="both"/>
              <w:rPr>
                <w:rFonts w:ascii="Times" w:hAnsi="Times" w:cs="Times"/>
              </w:rPr>
            </w:pPr>
            <w:r>
              <w:rPr>
                <w:rFonts w:ascii="Times" w:hAnsi="Times" w:cs="Times"/>
              </w:rPr>
              <w:t xml:space="preserve">Regulation Brussels </w:t>
            </w:r>
            <w:proofErr w:type="spellStart"/>
            <w:r>
              <w:rPr>
                <w:rFonts w:ascii="Times" w:hAnsi="Times" w:cs="Times"/>
              </w:rPr>
              <w:t>II</w:t>
            </w:r>
            <w:r>
              <w:rPr>
                <w:rFonts w:ascii="Times" w:hAnsi="Times" w:cs="Times"/>
                <w:i/>
              </w:rPr>
              <w:t>bis</w:t>
            </w:r>
            <w:proofErr w:type="spellEnd"/>
            <w:r>
              <w:rPr>
                <w:rFonts w:ascii="Times" w:hAnsi="Times" w:cs="Times"/>
                <w:i/>
              </w:rPr>
              <w:t xml:space="preserve"> </w:t>
            </w:r>
            <w:r>
              <w:rPr>
                <w:rFonts w:ascii="Times" w:hAnsi="Times" w:cs="Times"/>
              </w:rPr>
              <w:t>and others</w:t>
            </w:r>
          </w:p>
          <w:p w14:paraId="5273D253" w14:textId="77777777" w:rsidR="00442287" w:rsidRDefault="00442287" w:rsidP="008F5C6A">
            <w:pPr>
              <w:jc w:val="both"/>
              <w:rPr>
                <w:rFonts w:ascii="Times" w:hAnsi="Times" w:cs="Times"/>
              </w:rPr>
            </w:pPr>
          </w:p>
          <w:p w14:paraId="4058AA8C" w14:textId="77777777" w:rsidR="00442287" w:rsidRDefault="00442287" w:rsidP="008F5C6A">
            <w:pPr>
              <w:pStyle w:val="Formatvorlage1"/>
              <w:spacing w:line="240" w:lineRule="auto"/>
              <w:jc w:val="both"/>
              <w:rPr>
                <w:rFonts w:ascii="Times New Roman" w:hAnsi="Times New Roman"/>
                <w:b/>
                <w:szCs w:val="24"/>
                <w:lang w:val="en-US"/>
              </w:rPr>
            </w:pPr>
            <w:r>
              <w:rPr>
                <w:rFonts w:ascii="Times New Roman" w:hAnsi="Times New Roman"/>
                <w:b/>
                <w:szCs w:val="24"/>
                <w:lang w:val="en-US"/>
              </w:rPr>
              <w:t>Other elements of International civil Procedure in the EU</w:t>
            </w:r>
          </w:p>
          <w:p w14:paraId="24938205" w14:textId="77777777" w:rsidR="00442287" w:rsidRDefault="00442287" w:rsidP="008F5C6A">
            <w:pPr>
              <w:pStyle w:val="Formatvorlage1"/>
              <w:spacing w:line="240" w:lineRule="auto"/>
              <w:jc w:val="both"/>
              <w:rPr>
                <w:rFonts w:ascii="Times New Roman" w:hAnsi="Times New Roman"/>
                <w:szCs w:val="24"/>
                <w:lang w:val="en-US"/>
              </w:rPr>
            </w:pPr>
            <w:r>
              <w:rPr>
                <w:rFonts w:ascii="Times New Roman" w:hAnsi="Times New Roman"/>
                <w:szCs w:val="24"/>
                <w:lang w:val="en-US"/>
              </w:rPr>
              <w:t>Lis pendens</w:t>
            </w:r>
          </w:p>
          <w:p w14:paraId="49EFC665" w14:textId="77777777" w:rsidR="00442287" w:rsidRPr="008D2721" w:rsidRDefault="00442287" w:rsidP="008F5C6A">
            <w:pPr>
              <w:pStyle w:val="Formatvorlage1"/>
              <w:spacing w:line="240" w:lineRule="auto"/>
              <w:jc w:val="both"/>
              <w:rPr>
                <w:rFonts w:ascii="Times New Roman" w:hAnsi="Times New Roman"/>
                <w:szCs w:val="24"/>
                <w:lang w:val="en-US"/>
              </w:rPr>
            </w:pPr>
            <w:r>
              <w:rPr>
                <w:rFonts w:ascii="Times New Roman" w:hAnsi="Times New Roman"/>
                <w:szCs w:val="24"/>
                <w:lang w:val="en-US"/>
              </w:rPr>
              <w:t>Securities</w:t>
            </w:r>
          </w:p>
        </w:tc>
      </w:tr>
      <w:tr w:rsidR="00442287" w:rsidRPr="00C0101A" w14:paraId="4BE828C1" w14:textId="77777777" w:rsidTr="00442287">
        <w:tc>
          <w:tcPr>
            <w:tcW w:w="1345" w:type="dxa"/>
          </w:tcPr>
          <w:p w14:paraId="660D8D21" w14:textId="77777777" w:rsidR="00442287" w:rsidRPr="00C0101A" w:rsidRDefault="00442287" w:rsidP="008F5C6A">
            <w:pPr>
              <w:jc w:val="both"/>
              <w:rPr>
                <w:b/>
                <w:i/>
              </w:rPr>
            </w:pPr>
            <w:r w:rsidRPr="00C0101A">
              <w:rPr>
                <w:b/>
                <w:i/>
              </w:rPr>
              <w:t xml:space="preserve">Eleventh week: </w:t>
            </w:r>
          </w:p>
        </w:tc>
        <w:tc>
          <w:tcPr>
            <w:tcW w:w="7493" w:type="dxa"/>
          </w:tcPr>
          <w:p w14:paraId="30EC29FE" w14:textId="77777777" w:rsidR="00442287" w:rsidRDefault="00442287" w:rsidP="008F5C6A">
            <w:pPr>
              <w:pStyle w:val="Formatvorlage1"/>
              <w:spacing w:line="240" w:lineRule="auto"/>
              <w:jc w:val="both"/>
              <w:rPr>
                <w:rFonts w:ascii="Times New Roman" w:hAnsi="Times New Roman"/>
                <w:b/>
                <w:szCs w:val="24"/>
                <w:lang w:val="en-US"/>
              </w:rPr>
            </w:pPr>
            <w:r>
              <w:rPr>
                <w:rFonts w:ascii="Times New Roman" w:hAnsi="Times New Roman"/>
                <w:b/>
                <w:szCs w:val="24"/>
                <w:lang w:val="en-US"/>
              </w:rPr>
              <w:t>Arbitration in the Context of EU Legal Structure</w:t>
            </w:r>
          </w:p>
          <w:p w14:paraId="6F13CA8A" w14:textId="77777777" w:rsidR="00442287" w:rsidRDefault="00442287" w:rsidP="008F5C6A">
            <w:pPr>
              <w:pStyle w:val="Formatvorlage1"/>
              <w:spacing w:line="240" w:lineRule="auto"/>
              <w:jc w:val="both"/>
              <w:rPr>
                <w:rFonts w:ascii="Times New Roman" w:hAnsi="Times New Roman"/>
                <w:szCs w:val="24"/>
                <w:lang w:val="en-US"/>
              </w:rPr>
            </w:pPr>
            <w:r>
              <w:rPr>
                <w:rFonts w:ascii="Times New Roman" w:hAnsi="Times New Roman"/>
                <w:szCs w:val="24"/>
                <w:lang w:val="en-US"/>
              </w:rPr>
              <w:t>Key Arbitration institutions in the EU Countries</w:t>
            </w:r>
          </w:p>
          <w:p w14:paraId="654E0518" w14:textId="77777777" w:rsidR="00442287" w:rsidRDefault="00442287" w:rsidP="008F5C6A">
            <w:pPr>
              <w:pStyle w:val="Formatvorlage1"/>
              <w:spacing w:line="240" w:lineRule="auto"/>
              <w:jc w:val="both"/>
              <w:rPr>
                <w:rFonts w:ascii="Times New Roman" w:hAnsi="Times New Roman"/>
                <w:szCs w:val="24"/>
                <w:lang w:val="en-US"/>
              </w:rPr>
            </w:pPr>
            <w:r>
              <w:rPr>
                <w:rFonts w:ascii="Times New Roman" w:hAnsi="Times New Roman"/>
                <w:szCs w:val="24"/>
                <w:lang w:val="en-US"/>
              </w:rPr>
              <w:t>Interaction and (in)applicability of EU Regulations to International Arbitration awards</w:t>
            </w:r>
          </w:p>
          <w:p w14:paraId="7D265862" w14:textId="77777777" w:rsidR="00442287" w:rsidRPr="008D2721" w:rsidRDefault="00442287" w:rsidP="008F5C6A">
            <w:pPr>
              <w:pStyle w:val="Formatvorlage1"/>
              <w:spacing w:line="240" w:lineRule="auto"/>
              <w:jc w:val="both"/>
              <w:rPr>
                <w:rFonts w:ascii="Times New Roman" w:hAnsi="Times New Roman"/>
                <w:szCs w:val="24"/>
                <w:lang w:val="en-US"/>
              </w:rPr>
            </w:pPr>
            <w:r>
              <w:rPr>
                <w:rFonts w:ascii="Times New Roman" w:hAnsi="Times New Roman"/>
                <w:szCs w:val="24"/>
                <w:lang w:val="en-US"/>
              </w:rPr>
              <w:t>Enforcement of International Arbitration awards in EU Member States</w:t>
            </w:r>
          </w:p>
          <w:p w14:paraId="4319B2AB" w14:textId="77777777" w:rsidR="00442287" w:rsidRPr="00612C92" w:rsidRDefault="00442287" w:rsidP="008F5C6A">
            <w:pPr>
              <w:pStyle w:val="Formatvorlage1"/>
              <w:spacing w:line="240" w:lineRule="auto"/>
              <w:jc w:val="both"/>
              <w:rPr>
                <w:rFonts w:ascii="Times" w:hAnsi="Times" w:cs="Times"/>
                <w:lang w:val="en-US"/>
              </w:rPr>
            </w:pPr>
          </w:p>
        </w:tc>
      </w:tr>
      <w:tr w:rsidR="00442287" w:rsidRPr="00C0101A" w14:paraId="31477C27" w14:textId="77777777" w:rsidTr="00442287">
        <w:tc>
          <w:tcPr>
            <w:tcW w:w="1345" w:type="dxa"/>
          </w:tcPr>
          <w:p w14:paraId="24705DC4" w14:textId="77777777" w:rsidR="00442287" w:rsidRPr="00C0101A" w:rsidRDefault="00442287" w:rsidP="008F5C6A">
            <w:pPr>
              <w:jc w:val="both"/>
              <w:rPr>
                <w:b/>
                <w:i/>
              </w:rPr>
            </w:pPr>
            <w:r w:rsidRPr="00C0101A">
              <w:rPr>
                <w:b/>
                <w:i/>
              </w:rPr>
              <w:t xml:space="preserve">Twelfth week: </w:t>
            </w:r>
          </w:p>
        </w:tc>
        <w:tc>
          <w:tcPr>
            <w:tcW w:w="7493" w:type="dxa"/>
          </w:tcPr>
          <w:p w14:paraId="05C9E007" w14:textId="77777777" w:rsidR="00442287" w:rsidRPr="00612C92" w:rsidRDefault="00442287" w:rsidP="008F5C6A">
            <w:pPr>
              <w:pStyle w:val="Formatvorlage1"/>
              <w:spacing w:line="240" w:lineRule="auto"/>
              <w:jc w:val="both"/>
              <w:rPr>
                <w:rFonts w:ascii="Times New Roman" w:hAnsi="Times New Roman"/>
                <w:b/>
                <w:szCs w:val="24"/>
                <w:lang w:val="en-US"/>
              </w:rPr>
            </w:pPr>
            <w:r>
              <w:rPr>
                <w:rFonts w:ascii="Times New Roman" w:hAnsi="Times New Roman"/>
                <w:b/>
                <w:szCs w:val="24"/>
                <w:lang w:val="en-US"/>
              </w:rPr>
              <w:t>Recognition and Enforcement of Judgements in the EU (Part I): Civil and Commercial Matters</w:t>
            </w:r>
          </w:p>
          <w:p w14:paraId="2CA42C62" w14:textId="77777777" w:rsidR="00442287" w:rsidRPr="00612C92" w:rsidRDefault="00442287" w:rsidP="008F5C6A">
            <w:pPr>
              <w:pStyle w:val="Formatvorlage1"/>
              <w:spacing w:line="240" w:lineRule="auto"/>
              <w:jc w:val="both"/>
              <w:rPr>
                <w:rFonts w:ascii="Times New Roman" w:hAnsi="Times New Roman"/>
                <w:szCs w:val="24"/>
                <w:lang w:val="en-US"/>
              </w:rPr>
            </w:pPr>
          </w:p>
        </w:tc>
      </w:tr>
      <w:tr w:rsidR="00442287" w:rsidRPr="00C0101A" w14:paraId="6B206532" w14:textId="77777777" w:rsidTr="00442287">
        <w:tc>
          <w:tcPr>
            <w:tcW w:w="1345" w:type="dxa"/>
          </w:tcPr>
          <w:p w14:paraId="1E72A1C3" w14:textId="77777777" w:rsidR="00442287" w:rsidRPr="00C0101A" w:rsidRDefault="00442287" w:rsidP="008F5C6A">
            <w:pPr>
              <w:jc w:val="both"/>
              <w:rPr>
                <w:b/>
                <w:i/>
              </w:rPr>
            </w:pPr>
            <w:r w:rsidRPr="00C0101A">
              <w:rPr>
                <w:b/>
                <w:i/>
              </w:rPr>
              <w:lastRenderedPageBreak/>
              <w:t xml:space="preserve">Thirteenth week: </w:t>
            </w:r>
            <w:r w:rsidRPr="00C0101A">
              <w:rPr>
                <w:b/>
              </w:rPr>
              <w:t xml:space="preserve">    </w:t>
            </w:r>
          </w:p>
        </w:tc>
        <w:tc>
          <w:tcPr>
            <w:tcW w:w="7493" w:type="dxa"/>
          </w:tcPr>
          <w:p w14:paraId="2EB47528" w14:textId="77777777" w:rsidR="00442287" w:rsidRPr="00612C92" w:rsidRDefault="00442287" w:rsidP="008F5C6A">
            <w:pPr>
              <w:pStyle w:val="Formatvorlage1"/>
              <w:spacing w:line="240" w:lineRule="auto"/>
              <w:jc w:val="both"/>
              <w:rPr>
                <w:rFonts w:ascii="Times New Roman" w:hAnsi="Times New Roman"/>
                <w:b/>
                <w:szCs w:val="24"/>
                <w:lang w:val="en-US"/>
              </w:rPr>
            </w:pPr>
            <w:r>
              <w:rPr>
                <w:rFonts w:ascii="Times New Roman" w:hAnsi="Times New Roman"/>
                <w:b/>
                <w:szCs w:val="24"/>
                <w:lang w:val="en-US"/>
              </w:rPr>
              <w:t>Recognition and Enforcement of Judgements in the EU (Part II): Family and Succession</w:t>
            </w:r>
          </w:p>
          <w:p w14:paraId="5BFF45AA" w14:textId="77777777" w:rsidR="00442287" w:rsidRPr="00C0101A" w:rsidRDefault="00442287" w:rsidP="008F5C6A">
            <w:pPr>
              <w:pStyle w:val="Formatvorlage1"/>
              <w:spacing w:line="276" w:lineRule="auto"/>
              <w:jc w:val="both"/>
              <w:rPr>
                <w:rFonts w:ascii="Times New Roman" w:hAnsi="Times New Roman"/>
                <w:b/>
                <w:szCs w:val="24"/>
                <w:lang w:val="en-US"/>
              </w:rPr>
            </w:pPr>
          </w:p>
        </w:tc>
      </w:tr>
      <w:tr w:rsidR="00442287" w:rsidRPr="00C0101A" w14:paraId="6CE9FBF3" w14:textId="77777777" w:rsidTr="00442287">
        <w:tc>
          <w:tcPr>
            <w:tcW w:w="1345" w:type="dxa"/>
          </w:tcPr>
          <w:p w14:paraId="54D71238" w14:textId="77777777" w:rsidR="00442287" w:rsidRPr="00C0101A" w:rsidRDefault="00442287" w:rsidP="008F5C6A">
            <w:pPr>
              <w:jc w:val="both"/>
              <w:rPr>
                <w:b/>
                <w:i/>
              </w:rPr>
            </w:pPr>
            <w:r w:rsidRPr="00C0101A">
              <w:rPr>
                <w:b/>
                <w:i/>
              </w:rPr>
              <w:t>Fourteen</w:t>
            </w:r>
            <w:r>
              <w:rPr>
                <w:b/>
                <w:i/>
              </w:rPr>
              <w:t>t</w:t>
            </w:r>
            <w:r w:rsidRPr="00C0101A">
              <w:rPr>
                <w:b/>
                <w:i/>
              </w:rPr>
              <w:t>h week:</w:t>
            </w:r>
          </w:p>
        </w:tc>
        <w:tc>
          <w:tcPr>
            <w:tcW w:w="7493" w:type="dxa"/>
          </w:tcPr>
          <w:p w14:paraId="59E2CD47" w14:textId="77777777" w:rsidR="00442287" w:rsidRPr="00C0101A" w:rsidRDefault="00442287" w:rsidP="008F5C6A">
            <w:pPr>
              <w:pStyle w:val="Formatvorlage1"/>
              <w:jc w:val="both"/>
              <w:rPr>
                <w:rFonts w:ascii="Times New Roman" w:hAnsi="Times New Roman"/>
                <w:b/>
                <w:szCs w:val="24"/>
                <w:lang w:val="en-US"/>
              </w:rPr>
            </w:pPr>
            <w:r w:rsidRPr="00C0101A">
              <w:rPr>
                <w:rFonts w:ascii="Times New Roman" w:hAnsi="Times New Roman"/>
                <w:b/>
                <w:szCs w:val="24"/>
                <w:lang w:val="en-US"/>
              </w:rPr>
              <w:t>Final Exam</w:t>
            </w:r>
          </w:p>
        </w:tc>
      </w:tr>
    </w:tbl>
    <w:p w14:paraId="67738D57" w14:textId="77777777" w:rsidR="00442287" w:rsidRPr="00C0101A" w:rsidRDefault="00442287" w:rsidP="00442287">
      <w:pPr>
        <w:pStyle w:val="MittleresRaster2"/>
        <w:jc w:val="both"/>
      </w:pPr>
    </w:p>
    <w:p w14:paraId="57022A61" w14:textId="77777777" w:rsidR="00442287" w:rsidRPr="00C0101A" w:rsidRDefault="00442287" w:rsidP="00442287">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42287" w:rsidRPr="00C0101A" w14:paraId="47B3FC0B" w14:textId="77777777" w:rsidTr="008F5C6A">
        <w:trPr>
          <w:trHeight w:val="332"/>
        </w:trPr>
        <w:tc>
          <w:tcPr>
            <w:tcW w:w="8856" w:type="dxa"/>
            <w:shd w:val="clear" w:color="auto" w:fill="B8CCE4"/>
          </w:tcPr>
          <w:p w14:paraId="0920BB09" w14:textId="77777777" w:rsidR="00442287" w:rsidRPr="00C0101A" w:rsidRDefault="00442287" w:rsidP="008F5C6A">
            <w:pPr>
              <w:jc w:val="both"/>
              <w:rPr>
                <w:b/>
              </w:rPr>
            </w:pPr>
            <w:r w:rsidRPr="00C0101A">
              <w:rPr>
                <w:b/>
              </w:rPr>
              <w:t xml:space="preserve">Academic policies and rules of </w:t>
            </w:r>
            <w:proofErr w:type="spellStart"/>
            <w:r w:rsidRPr="00C0101A">
              <w:rPr>
                <w:b/>
              </w:rPr>
              <w:t>behaviour</w:t>
            </w:r>
            <w:proofErr w:type="spellEnd"/>
            <w:r w:rsidRPr="00C0101A">
              <w:rPr>
                <w:b/>
              </w:rPr>
              <w:t xml:space="preserve">: </w:t>
            </w:r>
          </w:p>
        </w:tc>
      </w:tr>
      <w:tr w:rsidR="00442287" w:rsidRPr="00C0101A" w14:paraId="537FCEAA" w14:textId="77777777" w:rsidTr="008F5C6A">
        <w:trPr>
          <w:trHeight w:val="1088"/>
        </w:trPr>
        <w:tc>
          <w:tcPr>
            <w:tcW w:w="8856" w:type="dxa"/>
          </w:tcPr>
          <w:p w14:paraId="5ED91F8A" w14:textId="77777777" w:rsidR="00442287" w:rsidRPr="00C0101A" w:rsidRDefault="00442287" w:rsidP="008F5C6A">
            <w:pPr>
              <w:jc w:val="both"/>
              <w:rPr>
                <w:bCs/>
                <w:iCs/>
              </w:rPr>
            </w:pPr>
            <w:r w:rsidRPr="00C0101A">
              <w:rPr>
                <w:bCs/>
                <w:iCs/>
              </w:rPr>
              <w:t xml:space="preserve">Students must act in conformity with the Code of Ethics and </w:t>
            </w:r>
            <w:proofErr w:type="spellStart"/>
            <w:r w:rsidRPr="00C0101A">
              <w:rPr>
                <w:bCs/>
                <w:iCs/>
              </w:rPr>
              <w:t>Behaviour</w:t>
            </w:r>
            <w:proofErr w:type="spellEnd"/>
            <w:r>
              <w:rPr>
                <w:bCs/>
                <w:iCs/>
              </w:rPr>
              <w:t>.</w:t>
            </w:r>
          </w:p>
          <w:p w14:paraId="4A9BE067" w14:textId="77777777" w:rsidR="00442287" w:rsidRPr="00C0101A" w:rsidRDefault="00442287" w:rsidP="008F5C6A">
            <w:pPr>
              <w:jc w:val="both"/>
              <w:rPr>
                <w:bCs/>
                <w:iCs/>
              </w:rPr>
            </w:pPr>
            <w:r w:rsidRPr="00C0101A">
              <w:rPr>
                <w:bCs/>
                <w:iCs/>
              </w:rPr>
              <w:t xml:space="preserve">Students are required to read the assigned reading before discussing them in the class. They are encouraged to think about them critically, raise questions, and engage in class discussion. Students are also required to respect their classmates’ ideas, no matter how different they are from theirs, and let other classmates finish their thoughts and not interrupt them. Students will be given time to respond to their classmates. </w:t>
            </w:r>
          </w:p>
          <w:p w14:paraId="58FC9F24" w14:textId="77777777" w:rsidR="00442287" w:rsidRPr="00C0101A" w:rsidRDefault="00442287" w:rsidP="008F5C6A">
            <w:pPr>
              <w:jc w:val="both"/>
              <w:rPr>
                <w:bCs/>
                <w:iCs/>
              </w:rPr>
            </w:pPr>
          </w:p>
          <w:p w14:paraId="6E720C1B" w14:textId="77777777" w:rsidR="00442287" w:rsidRPr="00C0101A" w:rsidRDefault="00442287" w:rsidP="008F5C6A">
            <w:pPr>
              <w:jc w:val="both"/>
              <w:rPr>
                <w:bCs/>
                <w:iCs/>
              </w:rPr>
            </w:pPr>
            <w:r w:rsidRPr="00C0101A">
              <w:rPr>
                <w:bCs/>
                <w:iCs/>
              </w:rPr>
              <w:t xml:space="preserve">Professors and Teaching Assistant will be at the students’ disposal for any additional clarification and will have specific office hours for consultation. Students will also be encouraged to follow the news and developments pertinent to the field of international organizations and raise questions about those issues or developments.  </w:t>
            </w:r>
          </w:p>
          <w:p w14:paraId="28475475" w14:textId="77777777" w:rsidR="00442287" w:rsidRPr="00C0101A" w:rsidRDefault="00442287" w:rsidP="008F5C6A">
            <w:pPr>
              <w:jc w:val="both"/>
              <w:rPr>
                <w:b/>
                <w:i/>
              </w:rPr>
            </w:pPr>
          </w:p>
        </w:tc>
      </w:tr>
    </w:tbl>
    <w:p w14:paraId="69283881" w14:textId="77777777" w:rsidR="00A636AB" w:rsidRPr="005145A2" w:rsidRDefault="00A636AB" w:rsidP="005145A2"/>
    <w:sectPr w:rsidR="00A636AB" w:rsidRPr="005145A2" w:rsidSect="00BE6489">
      <w:footerReference w:type="default" r:id="rId9"/>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E6A7" w14:textId="77777777" w:rsidR="00F5016D" w:rsidRDefault="00F5016D">
      <w:r>
        <w:separator/>
      </w:r>
    </w:p>
  </w:endnote>
  <w:endnote w:type="continuationSeparator" w:id="0">
    <w:p w14:paraId="147395D7" w14:textId="77777777" w:rsidR="00F5016D" w:rsidRDefault="00F5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C5D0" w14:textId="77777777" w:rsidR="00793CD8" w:rsidRDefault="00BE6489">
    <w:pPr>
      <w:pStyle w:val="Footer"/>
      <w:framePr w:wrap="auto" w:vAnchor="text" w:hAnchor="margin" w:xAlign="center" w:y="1"/>
      <w:rPr>
        <w:rStyle w:val="PageNumber"/>
      </w:rPr>
    </w:pPr>
    <w:r>
      <w:rPr>
        <w:rStyle w:val="PageNumber"/>
      </w:rPr>
      <w:fldChar w:fldCharType="begin"/>
    </w:r>
    <w:r w:rsidR="00DF5CA0">
      <w:rPr>
        <w:rStyle w:val="PageNumber"/>
      </w:rPr>
      <w:instrText xml:space="preserve">PAGE  </w:instrText>
    </w:r>
    <w:r>
      <w:rPr>
        <w:rStyle w:val="PageNumber"/>
      </w:rPr>
      <w:fldChar w:fldCharType="separate"/>
    </w:r>
    <w:r w:rsidR="00674140">
      <w:rPr>
        <w:rStyle w:val="PageNumber"/>
        <w:noProof/>
      </w:rPr>
      <w:t>1</w:t>
    </w:r>
    <w:r>
      <w:rPr>
        <w:rStyle w:val="PageNumber"/>
      </w:rPr>
      <w:fldChar w:fldCharType="end"/>
    </w:r>
  </w:p>
  <w:p w14:paraId="3D63979A" w14:textId="77777777" w:rsidR="00793CD8" w:rsidRDefault="00793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0458" w14:textId="77777777" w:rsidR="00F5016D" w:rsidRDefault="00F5016D">
      <w:r>
        <w:separator/>
      </w:r>
    </w:p>
  </w:footnote>
  <w:footnote w:type="continuationSeparator" w:id="0">
    <w:p w14:paraId="753F685C" w14:textId="77777777" w:rsidR="00F5016D" w:rsidRDefault="00F50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FB"/>
    <w:multiLevelType w:val="hybridMultilevel"/>
    <w:tmpl w:val="B0F2CB44"/>
    <w:lvl w:ilvl="0" w:tplc="62248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5F79"/>
    <w:multiLevelType w:val="hybridMultilevel"/>
    <w:tmpl w:val="ECDE97C8"/>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3116"/>
    <w:multiLevelType w:val="hybridMultilevel"/>
    <w:tmpl w:val="84AE7238"/>
    <w:lvl w:ilvl="0" w:tplc="4CACC970">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0665F4E"/>
    <w:multiLevelType w:val="hybridMultilevel"/>
    <w:tmpl w:val="12408C20"/>
    <w:lvl w:ilvl="0" w:tplc="62248D96">
      <w:numFmt w:val="bullet"/>
      <w:lvlText w:val="•"/>
      <w:lvlJc w:val="left"/>
      <w:pPr>
        <w:ind w:left="720" w:hanging="360"/>
      </w:pPr>
      <w:rPr>
        <w:rFonts w:ascii="Times New Roman" w:eastAsia="Times New Roman" w:hAnsi="Times New Roman" w:cs="Times New Roman" w:hint="default"/>
      </w:rPr>
    </w:lvl>
    <w:lvl w:ilvl="1" w:tplc="62248D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B2941"/>
    <w:multiLevelType w:val="hybridMultilevel"/>
    <w:tmpl w:val="DB2E1F14"/>
    <w:lvl w:ilvl="0" w:tplc="62248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0A3"/>
    <w:multiLevelType w:val="hybridMultilevel"/>
    <w:tmpl w:val="A4D03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F6FF9"/>
    <w:multiLevelType w:val="hybridMultilevel"/>
    <w:tmpl w:val="D378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D3558"/>
    <w:multiLevelType w:val="hybridMultilevel"/>
    <w:tmpl w:val="3D0A0C9E"/>
    <w:lvl w:ilvl="0" w:tplc="62248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44C21"/>
    <w:multiLevelType w:val="hybridMultilevel"/>
    <w:tmpl w:val="87EE26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A6D65"/>
    <w:multiLevelType w:val="hybridMultilevel"/>
    <w:tmpl w:val="3DCAD5FE"/>
    <w:lvl w:ilvl="0" w:tplc="62248D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EA4CB9"/>
    <w:multiLevelType w:val="hybridMultilevel"/>
    <w:tmpl w:val="6D3AC8C6"/>
    <w:lvl w:ilvl="0" w:tplc="5906A0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04817"/>
    <w:multiLevelType w:val="hybridMultilevel"/>
    <w:tmpl w:val="6A00F402"/>
    <w:lvl w:ilvl="0" w:tplc="04090001">
      <w:start w:val="1"/>
      <w:numFmt w:val="bullet"/>
      <w:lvlText w:val=""/>
      <w:lvlJc w:val="left"/>
      <w:pPr>
        <w:ind w:left="720" w:hanging="360"/>
      </w:pPr>
      <w:rPr>
        <w:rFonts w:ascii="Symbol" w:hAnsi="Symbol" w:hint="default"/>
      </w:rPr>
    </w:lvl>
    <w:lvl w:ilvl="1" w:tplc="62248D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6F09"/>
    <w:multiLevelType w:val="hybridMultilevel"/>
    <w:tmpl w:val="9F4C98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163D0"/>
    <w:multiLevelType w:val="hybridMultilevel"/>
    <w:tmpl w:val="DEC009D2"/>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B68C3"/>
    <w:multiLevelType w:val="hybridMultilevel"/>
    <w:tmpl w:val="6B344782"/>
    <w:lvl w:ilvl="0" w:tplc="8BAE1768">
      <w:start w:val="3"/>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E1D3C"/>
    <w:multiLevelType w:val="hybridMultilevel"/>
    <w:tmpl w:val="90AECD5A"/>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1B0C"/>
    <w:multiLevelType w:val="hybridMultilevel"/>
    <w:tmpl w:val="897C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C5F70"/>
    <w:multiLevelType w:val="hybridMultilevel"/>
    <w:tmpl w:val="4428FEE6"/>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E5498"/>
    <w:multiLevelType w:val="hybridMultilevel"/>
    <w:tmpl w:val="0F98B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155C3"/>
    <w:multiLevelType w:val="hybridMultilevel"/>
    <w:tmpl w:val="C0AC2A74"/>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B7E6E"/>
    <w:multiLevelType w:val="hybridMultilevel"/>
    <w:tmpl w:val="841EE382"/>
    <w:lvl w:ilvl="0" w:tplc="04090001">
      <w:start w:val="1"/>
      <w:numFmt w:val="bullet"/>
      <w:lvlText w:val=""/>
      <w:lvlJc w:val="left"/>
      <w:pPr>
        <w:ind w:left="720" w:hanging="360"/>
      </w:pPr>
      <w:rPr>
        <w:rFonts w:ascii="Symbol" w:hAnsi="Symbol" w:hint="default"/>
      </w:rPr>
    </w:lvl>
    <w:lvl w:ilvl="1" w:tplc="77B28536">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780E"/>
    <w:multiLevelType w:val="hybridMultilevel"/>
    <w:tmpl w:val="06CC0D6A"/>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64D44"/>
    <w:multiLevelType w:val="hybridMultilevel"/>
    <w:tmpl w:val="D6C0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86AD1"/>
    <w:multiLevelType w:val="hybridMultilevel"/>
    <w:tmpl w:val="31864AB8"/>
    <w:lvl w:ilvl="0" w:tplc="FEDCFD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A4602"/>
    <w:multiLevelType w:val="hybridMultilevel"/>
    <w:tmpl w:val="E4A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1223C"/>
    <w:multiLevelType w:val="hybridMultilevel"/>
    <w:tmpl w:val="FCB08CBA"/>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B1662"/>
    <w:multiLevelType w:val="hybridMultilevel"/>
    <w:tmpl w:val="C3B8D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365B2"/>
    <w:multiLevelType w:val="hybridMultilevel"/>
    <w:tmpl w:val="C226B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C4D8B"/>
    <w:multiLevelType w:val="hybridMultilevel"/>
    <w:tmpl w:val="43707F76"/>
    <w:lvl w:ilvl="0" w:tplc="62248D96">
      <w:numFmt w:val="bullet"/>
      <w:lvlText w:val="•"/>
      <w:lvlJc w:val="left"/>
      <w:pPr>
        <w:ind w:left="720" w:hanging="360"/>
      </w:pPr>
      <w:rPr>
        <w:rFonts w:ascii="Times New Roman" w:eastAsia="Times New Roman" w:hAnsi="Times New Roman" w:cs="Times New Roman" w:hint="default"/>
      </w:rPr>
    </w:lvl>
    <w:lvl w:ilvl="1" w:tplc="62248D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21300"/>
    <w:multiLevelType w:val="hybridMultilevel"/>
    <w:tmpl w:val="155CB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D031B"/>
    <w:multiLevelType w:val="hybridMultilevel"/>
    <w:tmpl w:val="C6D69378"/>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97410"/>
    <w:multiLevelType w:val="hybridMultilevel"/>
    <w:tmpl w:val="985C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D44BA"/>
    <w:multiLevelType w:val="hybridMultilevel"/>
    <w:tmpl w:val="FB30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568D1"/>
    <w:multiLevelType w:val="hybridMultilevel"/>
    <w:tmpl w:val="E89410CA"/>
    <w:lvl w:ilvl="0" w:tplc="62248D96">
      <w:numFmt w:val="bullet"/>
      <w:lvlText w:val="•"/>
      <w:lvlJc w:val="left"/>
      <w:pPr>
        <w:ind w:left="720" w:hanging="360"/>
      </w:pPr>
      <w:rPr>
        <w:rFonts w:ascii="Times New Roman" w:eastAsia="Times New Roman" w:hAnsi="Times New Roman" w:cs="Times New Roman" w:hint="default"/>
      </w:rPr>
    </w:lvl>
    <w:lvl w:ilvl="1" w:tplc="62248D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50676"/>
    <w:multiLevelType w:val="multilevel"/>
    <w:tmpl w:val="3A761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C86B70"/>
    <w:multiLevelType w:val="hybridMultilevel"/>
    <w:tmpl w:val="E408A54E"/>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B434E"/>
    <w:multiLevelType w:val="hybridMultilevel"/>
    <w:tmpl w:val="4062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B2D63"/>
    <w:multiLevelType w:val="hybridMultilevel"/>
    <w:tmpl w:val="B62E89EE"/>
    <w:lvl w:ilvl="0" w:tplc="62248D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BE39B9"/>
    <w:multiLevelType w:val="hybridMultilevel"/>
    <w:tmpl w:val="69E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924AC"/>
    <w:multiLevelType w:val="hybridMultilevel"/>
    <w:tmpl w:val="0660F9AE"/>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63595"/>
    <w:multiLevelType w:val="hybridMultilevel"/>
    <w:tmpl w:val="34B8E568"/>
    <w:lvl w:ilvl="0" w:tplc="62248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524CA"/>
    <w:multiLevelType w:val="hybridMultilevel"/>
    <w:tmpl w:val="BC7C5452"/>
    <w:lvl w:ilvl="0" w:tplc="0409000F">
      <w:start w:val="1"/>
      <w:numFmt w:val="decimal"/>
      <w:lvlText w:val="%1."/>
      <w:lvlJc w:val="left"/>
      <w:pPr>
        <w:ind w:left="720" w:hanging="360"/>
      </w:pPr>
    </w:lvl>
    <w:lvl w:ilvl="1" w:tplc="62248D9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76132"/>
    <w:multiLevelType w:val="hybridMultilevel"/>
    <w:tmpl w:val="1D6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85C55"/>
    <w:multiLevelType w:val="hybridMultilevel"/>
    <w:tmpl w:val="ED706D68"/>
    <w:lvl w:ilvl="0" w:tplc="BC9A0CBC">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23F6"/>
    <w:multiLevelType w:val="hybridMultilevel"/>
    <w:tmpl w:val="290A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80C8D"/>
    <w:multiLevelType w:val="hybridMultilevel"/>
    <w:tmpl w:val="82081162"/>
    <w:lvl w:ilvl="0" w:tplc="62248D96">
      <w:numFmt w:val="bullet"/>
      <w:lvlText w:val="•"/>
      <w:lvlJc w:val="left"/>
      <w:pPr>
        <w:ind w:left="720" w:hanging="360"/>
      </w:pPr>
      <w:rPr>
        <w:rFonts w:ascii="Times New Roman" w:eastAsia="Times New Roman" w:hAnsi="Times New Roman" w:cs="Times New Roman" w:hint="default"/>
      </w:rPr>
    </w:lvl>
    <w:lvl w:ilvl="1" w:tplc="62248D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75889">
    <w:abstractNumId w:val="27"/>
  </w:num>
  <w:num w:numId="2" w16cid:durableId="985626867">
    <w:abstractNumId w:val="18"/>
  </w:num>
  <w:num w:numId="3" w16cid:durableId="1898587833">
    <w:abstractNumId w:val="22"/>
  </w:num>
  <w:num w:numId="4" w16cid:durableId="1247108367">
    <w:abstractNumId w:val="44"/>
  </w:num>
  <w:num w:numId="5" w16cid:durableId="2085367795">
    <w:abstractNumId w:val="26"/>
  </w:num>
  <w:num w:numId="6" w16cid:durableId="1860700231">
    <w:abstractNumId w:val="34"/>
  </w:num>
  <w:num w:numId="7" w16cid:durableId="1533033136">
    <w:abstractNumId w:val="38"/>
  </w:num>
  <w:num w:numId="8" w16cid:durableId="1417479713">
    <w:abstractNumId w:val="6"/>
  </w:num>
  <w:num w:numId="9" w16cid:durableId="2109538572">
    <w:abstractNumId w:val="41"/>
  </w:num>
  <w:num w:numId="10" w16cid:durableId="955478595">
    <w:abstractNumId w:val="36"/>
  </w:num>
  <w:num w:numId="11" w16cid:durableId="2019654037">
    <w:abstractNumId w:val="5"/>
  </w:num>
  <w:num w:numId="12" w16cid:durableId="1434472387">
    <w:abstractNumId w:val="16"/>
  </w:num>
  <w:num w:numId="13" w16cid:durableId="535432905">
    <w:abstractNumId w:val="24"/>
  </w:num>
  <w:num w:numId="14" w16cid:durableId="323172073">
    <w:abstractNumId w:val="11"/>
  </w:num>
  <w:num w:numId="15" w16cid:durableId="1494296775">
    <w:abstractNumId w:val="20"/>
  </w:num>
  <w:num w:numId="16" w16cid:durableId="825127625">
    <w:abstractNumId w:val="4"/>
  </w:num>
  <w:num w:numId="17" w16cid:durableId="175117535">
    <w:abstractNumId w:val="3"/>
  </w:num>
  <w:num w:numId="18" w16cid:durableId="1569068349">
    <w:abstractNumId w:val="7"/>
  </w:num>
  <w:num w:numId="19" w16cid:durableId="1639266749">
    <w:abstractNumId w:val="45"/>
  </w:num>
  <w:num w:numId="20" w16cid:durableId="987130580">
    <w:abstractNumId w:val="0"/>
  </w:num>
  <w:num w:numId="21" w16cid:durableId="1531186271">
    <w:abstractNumId w:val="33"/>
  </w:num>
  <w:num w:numId="22" w16cid:durableId="1804736619">
    <w:abstractNumId w:val="28"/>
  </w:num>
  <w:num w:numId="23" w16cid:durableId="1293249466">
    <w:abstractNumId w:val="9"/>
  </w:num>
  <w:num w:numId="24" w16cid:durableId="1520389827">
    <w:abstractNumId w:val="31"/>
  </w:num>
  <w:num w:numId="25" w16cid:durableId="1849908036">
    <w:abstractNumId w:val="37"/>
  </w:num>
  <w:num w:numId="26" w16cid:durableId="2040007382">
    <w:abstractNumId w:val="40"/>
  </w:num>
  <w:num w:numId="27" w16cid:durableId="1127967037">
    <w:abstractNumId w:val="32"/>
  </w:num>
  <w:num w:numId="28" w16cid:durableId="1665548221">
    <w:abstractNumId w:val="42"/>
  </w:num>
  <w:num w:numId="29" w16cid:durableId="1345086371">
    <w:abstractNumId w:val="8"/>
  </w:num>
  <w:num w:numId="30" w16cid:durableId="185557379">
    <w:abstractNumId w:val="14"/>
  </w:num>
  <w:num w:numId="31" w16cid:durableId="968631159">
    <w:abstractNumId w:val="25"/>
  </w:num>
  <w:num w:numId="32" w16cid:durableId="980232901">
    <w:abstractNumId w:val="2"/>
  </w:num>
  <w:num w:numId="33" w16cid:durableId="1066491827">
    <w:abstractNumId w:val="21"/>
  </w:num>
  <w:num w:numId="34" w16cid:durableId="843207751">
    <w:abstractNumId w:val="17"/>
  </w:num>
  <w:num w:numId="35" w16cid:durableId="665477077">
    <w:abstractNumId w:val="29"/>
  </w:num>
  <w:num w:numId="36" w16cid:durableId="1569346324">
    <w:abstractNumId w:val="35"/>
  </w:num>
  <w:num w:numId="37" w16cid:durableId="1174223920">
    <w:abstractNumId w:val="13"/>
  </w:num>
  <w:num w:numId="38" w16cid:durableId="929893835">
    <w:abstractNumId w:val="43"/>
  </w:num>
  <w:num w:numId="39" w16cid:durableId="1854176459">
    <w:abstractNumId w:val="1"/>
  </w:num>
  <w:num w:numId="40" w16cid:durableId="228393169">
    <w:abstractNumId w:val="19"/>
  </w:num>
  <w:num w:numId="41" w16cid:durableId="20937416">
    <w:abstractNumId w:val="30"/>
  </w:num>
  <w:num w:numId="42" w16cid:durableId="282150243">
    <w:abstractNumId w:val="15"/>
  </w:num>
  <w:num w:numId="43" w16cid:durableId="1277756439">
    <w:abstractNumId w:val="39"/>
  </w:num>
  <w:num w:numId="44" w16cid:durableId="1754282292">
    <w:abstractNumId w:val="12"/>
  </w:num>
  <w:num w:numId="45" w16cid:durableId="1117673851">
    <w:abstractNumId w:val="10"/>
  </w:num>
  <w:num w:numId="46" w16cid:durableId="298732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BF"/>
    <w:rsid w:val="00052061"/>
    <w:rsid w:val="000C7A49"/>
    <w:rsid w:val="00195590"/>
    <w:rsid w:val="00225925"/>
    <w:rsid w:val="00442287"/>
    <w:rsid w:val="00490F24"/>
    <w:rsid w:val="004B0497"/>
    <w:rsid w:val="005145A2"/>
    <w:rsid w:val="005C3C16"/>
    <w:rsid w:val="00674140"/>
    <w:rsid w:val="006C093C"/>
    <w:rsid w:val="00727E30"/>
    <w:rsid w:val="00793CD8"/>
    <w:rsid w:val="00796BEB"/>
    <w:rsid w:val="008D0A71"/>
    <w:rsid w:val="00922046"/>
    <w:rsid w:val="00A636AB"/>
    <w:rsid w:val="00BE1A05"/>
    <w:rsid w:val="00BE6489"/>
    <w:rsid w:val="00BF495F"/>
    <w:rsid w:val="00C81E19"/>
    <w:rsid w:val="00DA70AB"/>
    <w:rsid w:val="00DF5CA0"/>
    <w:rsid w:val="00DF6CBF"/>
    <w:rsid w:val="00E22D6D"/>
    <w:rsid w:val="00E833D4"/>
    <w:rsid w:val="00F5016D"/>
    <w:rsid w:val="00F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FFB1"/>
  <w15:docId w15:val="{2CD92CF0-7853-47CB-AF69-8F3EAF9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A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F5CA0"/>
    <w:pPr>
      <w:keepNext/>
      <w:outlineLvl w:val="0"/>
    </w:pPr>
    <w:rPr>
      <w:b/>
    </w:rPr>
  </w:style>
  <w:style w:type="paragraph" w:styleId="Heading2">
    <w:name w:val="heading 2"/>
    <w:basedOn w:val="Normal"/>
    <w:next w:val="Normal"/>
    <w:link w:val="Heading2Char"/>
    <w:qFormat/>
    <w:rsid w:val="00DF5CA0"/>
    <w:pPr>
      <w:keepNext/>
      <w:outlineLvl w:val="1"/>
    </w:pPr>
    <w:rPr>
      <w:i/>
    </w:rPr>
  </w:style>
  <w:style w:type="paragraph" w:styleId="Heading3">
    <w:name w:val="heading 3"/>
    <w:basedOn w:val="Normal"/>
    <w:next w:val="Normal"/>
    <w:link w:val="Heading3Char"/>
    <w:uiPriority w:val="9"/>
    <w:semiHidden/>
    <w:unhideWhenUsed/>
    <w:qFormat/>
    <w:rsid w:val="0044228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DF5CA0"/>
    <w:pPr>
      <w:keepNext/>
      <w:widowControl w:val="0"/>
      <w:tabs>
        <w:tab w:val="left" w:pos="1843"/>
        <w:tab w:val="left" w:pos="2126"/>
        <w:tab w:val="left" w:pos="2410"/>
      </w:tabs>
      <w:outlineLvl w:val="3"/>
    </w:pPr>
    <w:rPr>
      <w:rFonts w:ascii="Univers" w:hAnsi="Univers"/>
      <w:b/>
      <w:spacing w:val="-2"/>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A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F5CA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F5CA0"/>
    <w:rPr>
      <w:rFonts w:ascii="Univers" w:eastAsia="Times New Roman" w:hAnsi="Univers" w:cs="Times New Roman"/>
      <w:b/>
      <w:spacing w:val="-2"/>
      <w:sz w:val="20"/>
      <w:szCs w:val="20"/>
      <w:lang w:val="en-GB"/>
    </w:rPr>
  </w:style>
  <w:style w:type="paragraph" w:styleId="BodyText2">
    <w:name w:val="Body Text 2"/>
    <w:basedOn w:val="Normal"/>
    <w:link w:val="BodyText2Char"/>
    <w:rsid w:val="00DF5CA0"/>
    <w:pPr>
      <w:widowControl w:val="0"/>
      <w:tabs>
        <w:tab w:val="left" w:pos="-1417"/>
        <w:tab w:val="left" w:pos="-697"/>
        <w:tab w:val="left" w:pos="1843"/>
        <w:tab w:val="left" w:pos="2126"/>
        <w:tab w:val="left" w:pos="2694"/>
      </w:tabs>
      <w:suppressAutoHyphens/>
    </w:pPr>
    <w:rPr>
      <w:rFonts w:ascii="CG Times" w:hAnsi="CG Times"/>
      <w:spacing w:val="-2"/>
      <w:sz w:val="20"/>
      <w:lang w:val="en-GB"/>
    </w:rPr>
  </w:style>
  <w:style w:type="character" w:customStyle="1" w:styleId="BodyText2Char">
    <w:name w:val="Body Text 2 Char"/>
    <w:basedOn w:val="DefaultParagraphFont"/>
    <w:link w:val="BodyText2"/>
    <w:rsid w:val="00DF5CA0"/>
    <w:rPr>
      <w:rFonts w:ascii="CG Times" w:eastAsia="Times New Roman" w:hAnsi="CG Times" w:cs="Times New Roman"/>
      <w:spacing w:val="-2"/>
      <w:sz w:val="20"/>
      <w:szCs w:val="20"/>
      <w:lang w:val="en-GB"/>
    </w:rPr>
  </w:style>
  <w:style w:type="paragraph" w:styleId="Footer">
    <w:name w:val="footer"/>
    <w:basedOn w:val="Normal"/>
    <w:link w:val="FooterChar"/>
    <w:rsid w:val="00DF5CA0"/>
    <w:pPr>
      <w:tabs>
        <w:tab w:val="center" w:pos="4536"/>
        <w:tab w:val="right" w:pos="9072"/>
      </w:tabs>
    </w:pPr>
  </w:style>
  <w:style w:type="character" w:customStyle="1" w:styleId="FooterChar">
    <w:name w:val="Footer Char"/>
    <w:basedOn w:val="DefaultParagraphFont"/>
    <w:link w:val="Footer"/>
    <w:rsid w:val="00DF5CA0"/>
    <w:rPr>
      <w:rFonts w:ascii="Times New Roman" w:eastAsia="Times New Roman" w:hAnsi="Times New Roman" w:cs="Times New Roman"/>
      <w:sz w:val="24"/>
      <w:szCs w:val="20"/>
    </w:rPr>
  </w:style>
  <w:style w:type="character" w:styleId="PageNumber">
    <w:name w:val="page number"/>
    <w:basedOn w:val="DefaultParagraphFont"/>
    <w:rsid w:val="00DF5CA0"/>
  </w:style>
  <w:style w:type="character" w:styleId="Hyperlink">
    <w:name w:val="Hyperlink"/>
    <w:rsid w:val="00DF5CA0"/>
    <w:rPr>
      <w:color w:val="0000FF"/>
      <w:u w:val="single"/>
    </w:rPr>
  </w:style>
  <w:style w:type="character" w:customStyle="1" w:styleId="ng-binding">
    <w:name w:val="ng-binding"/>
    <w:rsid w:val="00DF5CA0"/>
  </w:style>
  <w:style w:type="paragraph" w:styleId="ListParagraph">
    <w:name w:val="List Paragraph"/>
    <w:aliases w:val="Litertatu ne tab"/>
    <w:basedOn w:val="Normal"/>
    <w:uiPriority w:val="34"/>
    <w:qFormat/>
    <w:rsid w:val="00BE1A05"/>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uiPriority w:val="9"/>
    <w:semiHidden/>
    <w:rsid w:val="00442287"/>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442287"/>
    <w:pPr>
      <w:spacing w:after="120"/>
    </w:pPr>
  </w:style>
  <w:style w:type="character" w:customStyle="1" w:styleId="BodyTextChar">
    <w:name w:val="Body Text Char"/>
    <w:basedOn w:val="DefaultParagraphFont"/>
    <w:link w:val="BodyText"/>
    <w:uiPriority w:val="99"/>
    <w:semiHidden/>
    <w:rsid w:val="00442287"/>
    <w:rPr>
      <w:rFonts w:ascii="Times New Roman" w:eastAsia="Times New Roman" w:hAnsi="Times New Roman" w:cs="Times New Roman"/>
      <w:sz w:val="24"/>
      <w:szCs w:val="20"/>
    </w:rPr>
  </w:style>
  <w:style w:type="paragraph" w:customStyle="1" w:styleId="MittleresRaster2">
    <w:name w:val="Mittleres Raster 2"/>
    <w:link w:val="MittleresRaster2Zchn"/>
    <w:uiPriority w:val="1"/>
    <w:qFormat/>
    <w:rsid w:val="00442287"/>
    <w:pPr>
      <w:spacing w:after="0" w:line="240" w:lineRule="auto"/>
    </w:pPr>
    <w:rPr>
      <w:rFonts w:ascii="Times New Roman" w:eastAsia="Times New Roman" w:hAnsi="Times New Roman" w:cs="Times New Roman"/>
      <w:sz w:val="24"/>
      <w:szCs w:val="24"/>
    </w:rPr>
  </w:style>
  <w:style w:type="character" w:customStyle="1" w:styleId="MittleresRaster2Zchn">
    <w:name w:val="Mittleres Raster 2 Zchn"/>
    <w:link w:val="MittleresRaster2"/>
    <w:uiPriority w:val="1"/>
    <w:rsid w:val="00442287"/>
    <w:rPr>
      <w:rFonts w:ascii="Times New Roman" w:eastAsia="Times New Roman" w:hAnsi="Times New Roman" w:cs="Times New Roman"/>
      <w:sz w:val="24"/>
      <w:szCs w:val="24"/>
    </w:rPr>
  </w:style>
  <w:style w:type="paragraph" w:customStyle="1" w:styleId="Formatvorlage1">
    <w:name w:val="Formatvorlage1"/>
    <w:basedOn w:val="Normal"/>
    <w:rsid w:val="00442287"/>
    <w:pPr>
      <w:overflowPunct/>
      <w:autoSpaceDE/>
      <w:autoSpaceDN/>
      <w:adjustRightInd/>
      <w:spacing w:line="360" w:lineRule="auto"/>
      <w:textAlignment w:val="auto"/>
    </w:pPr>
    <w:rPr>
      <w:rFonts w:ascii="Arial" w:hAnsi="Arial"/>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document/activities/cont/201212/20121219ATT58300/20121219ATT58300EN.pdf" TargetMode="External"/><Relationship Id="rId3" Type="http://schemas.openxmlformats.org/officeDocument/2006/relationships/settings" Target="settings.xml"/><Relationship Id="rId7" Type="http://schemas.openxmlformats.org/officeDocument/2006/relationships/hyperlink" Target="mailto:hajredin.kuc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jon.kuci123@gmail.com</cp:lastModifiedBy>
  <cp:revision>2</cp:revision>
  <dcterms:created xsi:type="dcterms:W3CDTF">2026-02-20T17:43:00Z</dcterms:created>
  <dcterms:modified xsi:type="dcterms:W3CDTF">2026-02-20T17:43:00Z</dcterms:modified>
</cp:coreProperties>
</file>