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7A7534" w:rsidRDefault="003B3AAB" w:rsidP="00585875">
      <w:pPr>
        <w:rPr>
          <w:b/>
          <w:sz w:val="32"/>
          <w:szCs w:val="32"/>
          <w:u w:val="single"/>
        </w:rPr>
      </w:pPr>
      <w:r w:rsidRPr="007A7534">
        <w:rPr>
          <w:b/>
          <w:sz w:val="32"/>
          <w:szCs w:val="32"/>
          <w:u w:val="single"/>
        </w:rPr>
        <w:t>Course</w:t>
      </w:r>
      <w:r w:rsidR="00781805" w:rsidRPr="007A7534">
        <w:rPr>
          <w:b/>
          <w:sz w:val="32"/>
          <w:szCs w:val="32"/>
          <w:u w:val="single"/>
        </w:rPr>
        <w:t xml:space="preserve"> </w:t>
      </w:r>
      <w:r w:rsidR="002D3069" w:rsidRPr="007A7534">
        <w:rPr>
          <w:b/>
          <w:sz w:val="32"/>
          <w:szCs w:val="32"/>
          <w:u w:val="single"/>
        </w:rPr>
        <w:t>SYL</w:t>
      </w:r>
      <w:r w:rsidR="00781805" w:rsidRPr="007A7534">
        <w:rPr>
          <w:b/>
          <w:sz w:val="32"/>
          <w:szCs w:val="32"/>
          <w:u w:val="single"/>
        </w:rPr>
        <w:t>L</w:t>
      </w:r>
      <w:r w:rsidR="004C0CCA" w:rsidRPr="007A7534">
        <w:rPr>
          <w:b/>
          <w:sz w:val="32"/>
          <w:szCs w:val="32"/>
          <w:u w:val="single"/>
        </w:rPr>
        <w:t>ABUS</w:t>
      </w:r>
      <w:r w:rsidR="00781805" w:rsidRPr="007A7534">
        <w:rPr>
          <w:b/>
          <w:sz w:val="32"/>
          <w:szCs w:val="32"/>
          <w:u w:val="single"/>
        </w:rPr>
        <w:t xml:space="preserve"> </w:t>
      </w:r>
      <w:r w:rsidRPr="007A7534">
        <w:rPr>
          <w:b/>
          <w:sz w:val="32"/>
          <w:szCs w:val="32"/>
          <w:u w:val="single"/>
        </w:rPr>
        <w:t>form</w:t>
      </w:r>
      <w:r w:rsidR="00781805" w:rsidRPr="007A7534">
        <w:rPr>
          <w:b/>
          <w:sz w:val="32"/>
          <w:szCs w:val="32"/>
          <w:u w:val="single"/>
        </w:rPr>
        <w:t xml:space="preserve"> </w:t>
      </w:r>
      <w:r w:rsidR="006752C5">
        <w:rPr>
          <w:b/>
          <w:sz w:val="32"/>
          <w:szCs w:val="32"/>
          <w:u w:val="single"/>
        </w:rPr>
        <w:t>Biophysics</w:t>
      </w:r>
    </w:p>
    <w:p w:rsidR="00CF116F" w:rsidRPr="003B3AAB" w:rsidRDefault="00CF116F" w:rsidP="00585875">
      <w:pPr>
        <w:rPr>
          <w:rFonts w:ascii="Calibri" w:hAnsi="Calibri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360"/>
        <w:gridCol w:w="539"/>
        <w:gridCol w:w="1425"/>
        <w:gridCol w:w="1770"/>
        <w:gridCol w:w="2116"/>
      </w:tblGrid>
      <w:tr w:rsidR="00CF116F" w:rsidRPr="00584FA0" w:rsidTr="00BB7518">
        <w:tc>
          <w:tcPr>
            <w:tcW w:w="8928" w:type="dxa"/>
            <w:gridSpan w:val="6"/>
            <w:shd w:val="clear" w:color="auto" w:fill="B8CCE4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Basic data of the subject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Academic Unit</w:t>
            </w:r>
            <w:r w:rsidR="00CF116F" w:rsidRPr="00A36558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850" w:type="dxa"/>
            <w:gridSpan w:val="4"/>
          </w:tcPr>
          <w:p w:rsidR="00CF116F" w:rsidRPr="00A36558" w:rsidRDefault="00DC0821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Faculty of Mathematics &amp; Natural Sciences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Course title</w:t>
            </w:r>
            <w:r w:rsidR="00CF116F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</w:tcPr>
          <w:p w:rsidR="00CF116F" w:rsidRPr="00A36558" w:rsidRDefault="006752C5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Biophysics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Level</w:t>
            </w:r>
            <w:r w:rsidR="00CF116F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</w:tcPr>
          <w:p w:rsidR="00A17C2C" w:rsidRPr="00A36558" w:rsidRDefault="00DC0821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Bachelor (Bsc)</w:t>
            </w:r>
          </w:p>
        </w:tc>
      </w:tr>
      <w:tr w:rsidR="00781805" w:rsidRPr="00FA69A0" w:rsidTr="00FB79E5">
        <w:tc>
          <w:tcPr>
            <w:tcW w:w="3078" w:type="dxa"/>
            <w:gridSpan w:val="2"/>
            <w:tcBorders>
              <w:top w:val="single" w:sz="4" w:space="0" w:color="auto"/>
            </w:tcBorders>
          </w:tcPr>
          <w:p w:rsidR="00781805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Course status</w:t>
            </w:r>
            <w:r w:rsidR="00781805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</w:tcBorders>
          </w:tcPr>
          <w:p w:rsidR="00781805" w:rsidRPr="00A36558" w:rsidRDefault="00DA2CB6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Elective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Study year</w:t>
            </w:r>
            <w:r w:rsidR="00584FA0" w:rsidRPr="00A36558">
              <w:rPr>
                <w:b/>
                <w:sz w:val="22"/>
                <w:szCs w:val="22"/>
              </w:rPr>
              <w:t>/Semester</w:t>
            </w:r>
            <w:r w:rsidR="00CF116F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</w:tcPr>
          <w:p w:rsidR="00CF116F" w:rsidRPr="00A36558" w:rsidRDefault="006752C5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Third Year/Winter </w:t>
            </w:r>
            <w:r w:rsidR="00584FA0" w:rsidRPr="00A36558">
              <w:rPr>
                <w:b/>
                <w:sz w:val="22"/>
                <w:szCs w:val="22"/>
              </w:rPr>
              <w:t>Semester (II</w:t>
            </w:r>
            <w:r>
              <w:rPr>
                <w:b/>
                <w:sz w:val="22"/>
                <w:szCs w:val="22"/>
              </w:rPr>
              <w:t>I/5</w:t>
            </w:r>
            <w:r w:rsidR="00584FA0" w:rsidRPr="00A36558">
              <w:rPr>
                <w:b/>
                <w:sz w:val="22"/>
                <w:szCs w:val="22"/>
              </w:rPr>
              <w:t>)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Number of hours per week</w:t>
            </w:r>
            <w:r w:rsidR="00CF116F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</w:tcPr>
          <w:p w:rsidR="00CF116F" w:rsidRPr="00A36558" w:rsidRDefault="0056641E" w:rsidP="0056641E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C0821" w:rsidRPr="00A36558">
              <w:rPr>
                <w:b/>
                <w:sz w:val="22"/>
                <w:szCs w:val="22"/>
              </w:rPr>
              <w:t xml:space="preserve"> +</w:t>
            </w:r>
            <w:r w:rsidR="006752C5">
              <w:rPr>
                <w:b/>
                <w:sz w:val="22"/>
                <w:szCs w:val="22"/>
              </w:rPr>
              <w:t xml:space="preserve"> 1 </w:t>
            </w:r>
            <w:r>
              <w:rPr>
                <w:b/>
                <w:sz w:val="22"/>
                <w:szCs w:val="22"/>
              </w:rPr>
              <w:t>+</w:t>
            </w:r>
            <w:r w:rsidR="006752C5">
              <w:rPr>
                <w:b/>
                <w:sz w:val="22"/>
                <w:szCs w:val="22"/>
              </w:rPr>
              <w:t xml:space="preserve"> 0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Credit value</w:t>
            </w:r>
            <w:r w:rsidR="00CF116F" w:rsidRPr="00A36558">
              <w:rPr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850" w:type="dxa"/>
            <w:gridSpan w:val="4"/>
          </w:tcPr>
          <w:p w:rsidR="00CF116F" w:rsidRPr="00A36558" w:rsidRDefault="006752C5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CF116F" w:rsidRPr="00584FA0" w:rsidTr="00FB79E5">
        <w:tc>
          <w:tcPr>
            <w:tcW w:w="3078" w:type="dxa"/>
            <w:gridSpan w:val="2"/>
            <w:tcBorders>
              <w:top w:val="single" w:sz="4" w:space="0" w:color="auto"/>
            </w:tcBorders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Time / location</w:t>
            </w:r>
            <w:r w:rsidR="00CF116F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</w:tcBorders>
          </w:tcPr>
          <w:p w:rsidR="00CF116F" w:rsidRPr="00A36558" w:rsidRDefault="006752C5" w:rsidP="00584FA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Lecturer</w:t>
            </w:r>
            <w:r w:rsidR="00CF116F" w:rsidRPr="00A365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4"/>
          </w:tcPr>
          <w:p w:rsidR="00CF116F" w:rsidRPr="00A36558" w:rsidRDefault="00DC0821" w:rsidP="006752C5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 xml:space="preserve">Prof. </w:t>
            </w:r>
            <w:r w:rsidR="00320007">
              <w:rPr>
                <w:b/>
                <w:sz w:val="22"/>
                <w:szCs w:val="22"/>
              </w:rPr>
              <w:t>Asoc</w:t>
            </w:r>
            <w:r w:rsidR="006752C5">
              <w:rPr>
                <w:b/>
                <w:sz w:val="22"/>
                <w:szCs w:val="22"/>
              </w:rPr>
              <w:t xml:space="preserve">. </w:t>
            </w:r>
            <w:r w:rsidRPr="00A36558">
              <w:rPr>
                <w:b/>
                <w:sz w:val="22"/>
                <w:szCs w:val="22"/>
              </w:rPr>
              <w:t xml:space="preserve">Dr. </w:t>
            </w:r>
            <w:r w:rsidR="006752C5">
              <w:rPr>
                <w:b/>
                <w:sz w:val="22"/>
                <w:szCs w:val="22"/>
              </w:rPr>
              <w:t>Gazmend Nafezi</w:t>
            </w:r>
          </w:p>
        </w:tc>
      </w:tr>
      <w:tr w:rsidR="00CF116F" w:rsidRPr="00584FA0" w:rsidTr="00A36558">
        <w:tc>
          <w:tcPr>
            <w:tcW w:w="3078" w:type="dxa"/>
            <w:gridSpan w:val="2"/>
          </w:tcPr>
          <w:p w:rsidR="00CF116F" w:rsidRPr="00A36558" w:rsidRDefault="00236441" w:rsidP="00585875">
            <w:pPr>
              <w:pStyle w:val="NoSpacing"/>
              <w:rPr>
                <w:b/>
                <w:sz w:val="22"/>
                <w:szCs w:val="22"/>
              </w:rPr>
            </w:pPr>
            <w:r w:rsidRPr="00A36558">
              <w:rPr>
                <w:b/>
                <w:sz w:val="22"/>
                <w:szCs w:val="22"/>
              </w:rPr>
              <w:t>Contact details</w:t>
            </w:r>
            <w:r w:rsidR="00CF116F" w:rsidRPr="00A36558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850" w:type="dxa"/>
            <w:gridSpan w:val="4"/>
          </w:tcPr>
          <w:p w:rsidR="00CF116F" w:rsidRPr="00A36558" w:rsidRDefault="00212FDF" w:rsidP="006752C5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hyperlink r:id="rId7" w:history="1">
              <w:r w:rsidR="006752C5" w:rsidRPr="002A5AEF">
                <w:rPr>
                  <w:rStyle w:val="Hyperlink"/>
                  <w:b/>
                  <w:sz w:val="22"/>
                  <w:szCs w:val="22"/>
                </w:rPr>
                <w:t>gazmend.nafezi@uni-pr.edu</w:t>
              </w:r>
            </w:hyperlink>
          </w:p>
        </w:tc>
      </w:tr>
      <w:tr w:rsidR="00FB79E5" w:rsidRPr="00584FA0" w:rsidTr="007A7534">
        <w:tc>
          <w:tcPr>
            <w:tcW w:w="3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79E5" w:rsidRPr="00584FA0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>Course description</w:t>
            </w:r>
          </w:p>
        </w:tc>
        <w:tc>
          <w:tcPr>
            <w:tcW w:w="5850" w:type="dxa"/>
            <w:gridSpan w:val="4"/>
            <w:tcBorders>
              <w:left w:val="single" w:sz="4" w:space="0" w:color="auto"/>
            </w:tcBorders>
          </w:tcPr>
          <w:p w:rsidR="006752C5" w:rsidRPr="006752C5" w:rsidRDefault="006752C5" w:rsidP="006752C5">
            <w:pPr>
              <w:pStyle w:val="NoSpacing"/>
              <w:jc w:val="both"/>
              <w:rPr>
                <w:rFonts w:eastAsiaTheme="minorHAnsi" w:cstheme="minorBidi"/>
                <w:sz w:val="22"/>
                <w:szCs w:val="22"/>
                <w:lang w:val="sq-AL"/>
              </w:rPr>
            </w:pPr>
            <w:r w:rsidRPr="006752C5">
              <w:rPr>
                <w:rFonts w:eastAsiaTheme="minorHAnsi" w:cstheme="minorBidi"/>
                <w:sz w:val="22"/>
                <w:szCs w:val="22"/>
                <w:lang w:val="sq-AL"/>
              </w:rPr>
              <w:t xml:space="preserve">This basic module of Biophysics aims to introduce the full complement of fundamental principles of life sciences and the association with physics. </w:t>
            </w:r>
          </w:p>
          <w:p w:rsidR="006752C5" w:rsidRDefault="006752C5" w:rsidP="006752C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sz w:val="22"/>
                <w:szCs w:val="22"/>
                <w:lang w:val="sq-AL"/>
              </w:rPr>
            </w:pPr>
            <w:r w:rsidRPr="00E16F99">
              <w:rPr>
                <w:rFonts w:eastAsiaTheme="minorHAnsi" w:cstheme="minorBidi"/>
                <w:sz w:val="22"/>
                <w:szCs w:val="22"/>
                <w:lang w:val="sq-AL"/>
              </w:rPr>
              <w:t xml:space="preserve">It incorporates introductory concepts of physics into the basic phenomena associated with the biological functions. </w:t>
            </w:r>
          </w:p>
          <w:p w:rsidR="00FB79E5" w:rsidRPr="001910E4" w:rsidRDefault="00FB79E5" w:rsidP="007A75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B79E5" w:rsidRPr="00584FA0" w:rsidTr="007A7534">
        <w:tc>
          <w:tcPr>
            <w:tcW w:w="3078" w:type="dxa"/>
            <w:gridSpan w:val="2"/>
            <w:tcBorders>
              <w:right w:val="single" w:sz="4" w:space="0" w:color="auto"/>
            </w:tcBorders>
          </w:tcPr>
          <w:p w:rsidR="00FB79E5" w:rsidRPr="00584FA0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>Course objectives:</w:t>
            </w:r>
          </w:p>
        </w:tc>
        <w:tc>
          <w:tcPr>
            <w:tcW w:w="5850" w:type="dxa"/>
            <w:gridSpan w:val="4"/>
            <w:tcBorders>
              <w:left w:val="single" w:sz="4" w:space="0" w:color="auto"/>
            </w:tcBorders>
          </w:tcPr>
          <w:p w:rsidR="006752C5" w:rsidRPr="00550AB2" w:rsidRDefault="00E203DB" w:rsidP="006752C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The aim of the course is to know the students with b</w:t>
            </w:r>
            <w:r w:rsidR="006752C5" w:rsidRPr="00550AB2">
              <w:rPr>
                <w:color w:val="000000"/>
                <w:sz w:val="22"/>
                <w:szCs w:val="22"/>
                <w:shd w:val="clear" w:color="auto" w:fill="FFFFFF"/>
              </w:rPr>
              <w:t xml:space="preserve">iological structures and the relation to biophysics, physical principles and methods in biology;  </w:t>
            </w:r>
          </w:p>
          <w:p w:rsidR="00FB79E5" w:rsidRPr="00E203DB" w:rsidRDefault="00E203DB" w:rsidP="005F60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Students with be understood also the laws of </w:t>
            </w:r>
            <w:r w:rsidR="006752C5" w:rsidRPr="00550AB2">
              <w:rPr>
                <w:color w:val="000000"/>
                <w:sz w:val="22"/>
                <w:szCs w:val="22"/>
                <w:shd w:val="clear" w:color="auto" w:fill="FFFFFF"/>
              </w:rPr>
              <w:t>Biomechanics, Biophysics and Fluid Flo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w, Biophysics and Gas Transport, </w:t>
            </w:r>
            <w:r w:rsidR="006752C5" w:rsidRPr="00550AB2">
              <w:rPr>
                <w:color w:val="000000"/>
                <w:sz w:val="22"/>
                <w:szCs w:val="22"/>
                <w:shd w:val="clear" w:color="auto" w:fill="FFFFFF"/>
              </w:rPr>
              <w:t>Biophysics of Audition, Biophysics of Vision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and other topics on biophysics.</w:t>
            </w:r>
          </w:p>
        </w:tc>
      </w:tr>
      <w:tr w:rsidR="00FB79E5" w:rsidRPr="00584FA0" w:rsidTr="007A7534">
        <w:tc>
          <w:tcPr>
            <w:tcW w:w="3078" w:type="dxa"/>
            <w:gridSpan w:val="2"/>
            <w:tcBorders>
              <w:right w:val="single" w:sz="4" w:space="0" w:color="auto"/>
            </w:tcBorders>
          </w:tcPr>
          <w:p w:rsidR="00FB79E5" w:rsidRPr="00584FA0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 xml:space="preserve"> Learning outcomes:</w:t>
            </w:r>
          </w:p>
        </w:tc>
        <w:tc>
          <w:tcPr>
            <w:tcW w:w="5850" w:type="dxa"/>
            <w:gridSpan w:val="4"/>
            <w:tcBorders>
              <w:left w:val="single" w:sz="4" w:space="0" w:color="auto"/>
            </w:tcBorders>
          </w:tcPr>
          <w:p w:rsidR="00FB79E5" w:rsidRPr="001910E4" w:rsidRDefault="00FB79E5" w:rsidP="00932508">
            <w:pPr>
              <w:pStyle w:val="ListParagraph"/>
              <w:ind w:left="0"/>
              <w:jc w:val="both"/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 xml:space="preserve">Specific Course Learning Objectives Include: </w:t>
            </w:r>
          </w:p>
          <w:p w:rsidR="006752C5" w:rsidRPr="00550AB2" w:rsidRDefault="006752C5" w:rsidP="006752C5">
            <w:pPr>
              <w:pStyle w:val="ListParagraph"/>
              <w:ind w:left="0"/>
              <w:contextualSpacing w:val="0"/>
              <w:jc w:val="both"/>
            </w:pPr>
            <w:r w:rsidRPr="00550AB2">
              <w:t>- be familiar with basic concepts of physics and relation to biology on undergraduate level.</w:t>
            </w:r>
          </w:p>
          <w:p w:rsidR="006752C5" w:rsidRPr="00550AB2" w:rsidRDefault="006752C5" w:rsidP="006752C5">
            <w:pPr>
              <w:pStyle w:val="ListParagraph"/>
              <w:ind w:left="0"/>
              <w:contextualSpacing w:val="0"/>
              <w:jc w:val="both"/>
            </w:pPr>
            <w:r w:rsidRPr="00550AB2">
              <w:t xml:space="preserve">- Understand the physical principles that relate to the function of important biological phenomena such as DNA packing, bacterial motion, membrane deformations, and signalling circuits. </w:t>
            </w:r>
            <w:r w:rsidRPr="00550AB2">
              <w:rPr>
                <w:color w:val="FF0000"/>
              </w:rPr>
              <w:tab/>
            </w:r>
          </w:p>
          <w:p w:rsidR="006752C5" w:rsidRPr="00550AB2" w:rsidRDefault="006752C5" w:rsidP="006752C5">
            <w:pPr>
              <w:pStyle w:val="ListParagraph"/>
              <w:ind w:left="0"/>
              <w:contextualSpacing w:val="0"/>
              <w:jc w:val="both"/>
              <w:rPr>
                <w:rStyle w:val="hps"/>
              </w:rPr>
            </w:pPr>
            <w:r w:rsidRPr="00550AB2">
              <w:rPr>
                <w:rStyle w:val="hps"/>
              </w:rPr>
              <w:t>- Compare and draw conclusions about various phenomena in organisms by applying physical laws.</w:t>
            </w:r>
          </w:p>
          <w:p w:rsidR="006752C5" w:rsidRPr="00550AB2" w:rsidRDefault="006752C5" w:rsidP="006752C5">
            <w:pPr>
              <w:pStyle w:val="ListParagraph"/>
              <w:ind w:left="0"/>
              <w:contextualSpacing w:val="0"/>
              <w:jc w:val="both"/>
              <w:rPr>
                <w:rStyle w:val="hps"/>
              </w:rPr>
            </w:pPr>
            <w:r w:rsidRPr="00550AB2">
              <w:rPr>
                <w:rStyle w:val="hps"/>
              </w:rPr>
              <w:t>- Practice the application of the laws of physics and mathematical procedures to a particular biological phenomenon and predict its outcome.</w:t>
            </w:r>
          </w:p>
          <w:p w:rsidR="006752C5" w:rsidRPr="00CA73DC" w:rsidRDefault="006752C5" w:rsidP="006752C5">
            <w:pPr>
              <w:pStyle w:val="NoSpacing"/>
              <w:spacing w:before="60"/>
              <w:jc w:val="both"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550AB2">
              <w:rPr>
                <w:rStyle w:val="hps"/>
              </w:rPr>
              <w:t>- Obtain information on the methods and physical instruments used in laboratory research (microscopy, spectroscopy, radioactivity, etc..).</w:t>
            </w:r>
          </w:p>
          <w:p w:rsidR="00FB79E5" w:rsidRPr="001910E4" w:rsidRDefault="00FB79E5" w:rsidP="006752C5">
            <w:pPr>
              <w:spacing w:line="276" w:lineRule="auto"/>
              <w:jc w:val="both"/>
            </w:pPr>
          </w:p>
        </w:tc>
      </w:tr>
      <w:tr w:rsidR="00FA69A0" w:rsidRPr="00584FA0" w:rsidTr="00BB7518">
        <w:tc>
          <w:tcPr>
            <w:tcW w:w="8928" w:type="dxa"/>
            <w:gridSpan w:val="6"/>
            <w:shd w:val="clear" w:color="auto" w:fill="B8CCE4"/>
          </w:tcPr>
          <w:p w:rsidR="00FA69A0" w:rsidRPr="001910E4" w:rsidRDefault="00FA69A0" w:rsidP="00585875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>Contribution on student load (must correspond with learning outcomes)</w:t>
            </w:r>
          </w:p>
        </w:tc>
      </w:tr>
      <w:tr w:rsidR="00FB79E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FB79E5" w:rsidRPr="001910E4" w:rsidRDefault="00FB79E5" w:rsidP="00585875">
            <w:pPr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B79E5" w:rsidRPr="001910E4" w:rsidRDefault="00FB79E5" w:rsidP="00585875">
            <w:pPr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B79E5" w:rsidRPr="001910E4" w:rsidRDefault="00FB79E5" w:rsidP="00585875">
            <w:pPr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B8CCE4"/>
          </w:tcPr>
          <w:p w:rsidR="00FB79E5" w:rsidRPr="001910E4" w:rsidRDefault="00FB79E5" w:rsidP="00585875">
            <w:pPr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 xml:space="preserve">Total /hours 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Lessions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15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30</w:t>
            </w:r>
          </w:p>
        </w:tc>
      </w:tr>
      <w:tr w:rsidR="006752C5" w:rsidRPr="00584FA0" w:rsidTr="00BB7518">
        <w:trPr>
          <w:trHeight w:val="215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Theoritocal exercises</w:t>
            </w:r>
            <w:r w:rsidRPr="00A237C2">
              <w:t>/</w:t>
            </w:r>
            <w:r>
              <w:t>experiments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15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15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Practical 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4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4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lastRenderedPageBreak/>
              <w:t>Contact with lecturer/consultations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5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5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Field exercises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2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4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 w:rsidRPr="00103EF3">
              <w:t>colloquium</w:t>
            </w:r>
            <w:r>
              <w:t>s</w:t>
            </w:r>
            <w:r w:rsidRPr="00A237C2">
              <w:t>,</w:t>
            </w:r>
            <w:r>
              <w:t xml:space="preserve"> seminars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2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4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Homework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5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10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Self study time</w:t>
            </w:r>
            <w:r w:rsidRPr="00A237C2"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15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15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Final exam preparation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9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>
              <w:t>9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Evaluation time (tests, q</w:t>
            </w:r>
            <w:r w:rsidRPr="00A237C2">
              <w:t xml:space="preserve">uiz, </w:t>
            </w:r>
            <w:r>
              <w:t>final exam</w:t>
            </w:r>
            <w:r w:rsidRPr="00A237C2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2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4</w:t>
            </w:r>
          </w:p>
        </w:tc>
      </w:tr>
      <w:tr w:rsidR="006752C5" w:rsidRPr="00584FA0" w:rsidTr="00BB751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</w:pPr>
            <w:r>
              <w:t>Projects, presentations ,etc.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1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FFFFFF"/>
          </w:tcPr>
          <w:p w:rsidR="006752C5" w:rsidRPr="00A237C2" w:rsidRDefault="006752C5" w:rsidP="006752C5">
            <w:pPr>
              <w:spacing w:before="60"/>
              <w:jc w:val="center"/>
            </w:pPr>
            <w:r w:rsidRPr="00A237C2">
              <w:t>2</w:t>
            </w:r>
          </w:p>
        </w:tc>
      </w:tr>
      <w:tr w:rsidR="0056641E" w:rsidRPr="00584FA0" w:rsidTr="00584FA0">
        <w:trPr>
          <w:trHeight w:val="287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56641E" w:rsidRPr="001910E4" w:rsidRDefault="0056641E" w:rsidP="00585875">
            <w:pPr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6641E" w:rsidRPr="001707AA" w:rsidRDefault="0056641E" w:rsidP="007A54D1">
            <w:pPr>
              <w:jc w:val="center"/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6641E" w:rsidRPr="001707AA" w:rsidRDefault="0056641E" w:rsidP="007A54D1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B8CCE4"/>
          </w:tcPr>
          <w:p w:rsidR="0056641E" w:rsidRPr="001707AA" w:rsidRDefault="006752C5" w:rsidP="007A54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641E" w:rsidRPr="001707AA">
              <w:rPr>
                <w:b/>
              </w:rPr>
              <w:t>00</w:t>
            </w:r>
          </w:p>
        </w:tc>
      </w:tr>
      <w:tr w:rsidR="00FB79E5" w:rsidRPr="00584FA0" w:rsidTr="004C5292">
        <w:tc>
          <w:tcPr>
            <w:tcW w:w="3617" w:type="dxa"/>
            <w:gridSpan w:val="3"/>
          </w:tcPr>
          <w:p w:rsidR="00FB79E5" w:rsidRPr="001910E4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 xml:space="preserve">Teaching methods  </w:t>
            </w:r>
          </w:p>
        </w:tc>
        <w:tc>
          <w:tcPr>
            <w:tcW w:w="5311" w:type="dxa"/>
            <w:gridSpan w:val="3"/>
          </w:tcPr>
          <w:p w:rsidR="00FB79E5" w:rsidRPr="001910E4" w:rsidRDefault="00FB79E5" w:rsidP="00584FA0">
            <w:pPr>
              <w:jc w:val="both"/>
              <w:rPr>
                <w:i/>
                <w:sz w:val="22"/>
                <w:szCs w:val="22"/>
              </w:rPr>
            </w:pPr>
            <w:r w:rsidRPr="001910E4">
              <w:rPr>
                <w:sz w:val="22"/>
                <w:szCs w:val="22"/>
              </w:rPr>
              <w:t>Teaching methodology is based on: Lectures, exercises, seminars and debates.</w:t>
            </w:r>
          </w:p>
        </w:tc>
      </w:tr>
      <w:tr w:rsidR="00FB79E5" w:rsidRPr="00584FA0" w:rsidTr="004C5292">
        <w:tc>
          <w:tcPr>
            <w:tcW w:w="3617" w:type="dxa"/>
            <w:gridSpan w:val="3"/>
          </w:tcPr>
          <w:p w:rsidR="00FB79E5" w:rsidRPr="001910E4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>Evaluation methods</w:t>
            </w:r>
          </w:p>
        </w:tc>
        <w:tc>
          <w:tcPr>
            <w:tcW w:w="5311" w:type="dxa"/>
            <w:gridSpan w:val="3"/>
          </w:tcPr>
          <w:p w:rsidR="006752C5" w:rsidRDefault="006752C5" w:rsidP="006752C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</w:pPr>
            <w:r w:rsidRPr="00550AB2">
              <w:t>Lecture Attendance 5%</w:t>
            </w:r>
            <w:r>
              <w:t xml:space="preserve">. </w:t>
            </w:r>
            <w:r w:rsidRPr="00550AB2">
              <w:t>Experimental Attendance 5%</w:t>
            </w:r>
            <w:r>
              <w:t xml:space="preserve">. </w:t>
            </w:r>
            <w:r w:rsidRPr="00550AB2">
              <w:t>Homework Exercises 10%</w:t>
            </w:r>
            <w:r>
              <w:t xml:space="preserve">. </w:t>
            </w:r>
            <w:r w:rsidRPr="00550AB2">
              <w:t>First Colloquium 20%</w:t>
            </w:r>
            <w:r>
              <w:t xml:space="preserve">. </w:t>
            </w:r>
            <w:r w:rsidRPr="00550AB2">
              <w:t>Second Colloquium 20%</w:t>
            </w:r>
            <w:r>
              <w:t xml:space="preserve">. </w:t>
            </w:r>
            <w:r w:rsidRPr="00550AB2">
              <w:t>Final exam 40%</w:t>
            </w:r>
          </w:p>
          <w:p w:rsidR="00FB79E5" w:rsidRPr="001910E4" w:rsidRDefault="00FB79E5" w:rsidP="00584FA0">
            <w:pPr>
              <w:pStyle w:val="NoSpacing"/>
              <w:rPr>
                <w:i/>
                <w:sz w:val="22"/>
                <w:szCs w:val="22"/>
              </w:rPr>
            </w:pPr>
          </w:p>
        </w:tc>
      </w:tr>
      <w:tr w:rsidR="00FB79E5" w:rsidRPr="00584FA0" w:rsidTr="00BB7518">
        <w:tc>
          <w:tcPr>
            <w:tcW w:w="8928" w:type="dxa"/>
            <w:gridSpan w:val="6"/>
            <w:shd w:val="clear" w:color="auto" w:fill="B8CCE4"/>
          </w:tcPr>
          <w:p w:rsidR="00FB79E5" w:rsidRPr="001910E4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1910E4">
              <w:rPr>
                <w:b/>
                <w:sz w:val="22"/>
                <w:szCs w:val="22"/>
              </w:rPr>
              <w:t>Literature:</w:t>
            </w:r>
          </w:p>
        </w:tc>
      </w:tr>
      <w:tr w:rsidR="00FB79E5" w:rsidRPr="00584FA0" w:rsidTr="004C5292">
        <w:tc>
          <w:tcPr>
            <w:tcW w:w="2718" w:type="dxa"/>
          </w:tcPr>
          <w:p w:rsidR="00FB79E5" w:rsidRPr="00584FA0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 xml:space="preserve">Basic Literature:  </w:t>
            </w:r>
          </w:p>
          <w:p w:rsidR="00FB79E5" w:rsidRPr="00584FA0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6210" w:type="dxa"/>
            <w:gridSpan w:val="5"/>
          </w:tcPr>
          <w:p w:rsidR="006752C5" w:rsidRPr="003C3AF9" w:rsidRDefault="006752C5" w:rsidP="006752C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11538A">
              <w:t>D.R. Dance</w:t>
            </w:r>
            <w:r>
              <w:t>,</w:t>
            </w:r>
            <w:r w:rsidRPr="0011538A">
              <w:t xml:space="preserve"> S. Christofides</w:t>
            </w:r>
            <w:r>
              <w:t>,</w:t>
            </w:r>
            <w:r w:rsidRPr="0011538A">
              <w:t xml:space="preserve"> A.D.A. Maidment</w:t>
            </w:r>
            <w:r>
              <w:t>,</w:t>
            </w:r>
            <w:r w:rsidRPr="0011538A">
              <w:t xml:space="preserve"> I.D. McLean</w:t>
            </w:r>
            <w:r>
              <w:t xml:space="preserve"> and</w:t>
            </w:r>
            <w:r w:rsidRPr="0011538A">
              <w:t xml:space="preserve"> K.H. Ng</w:t>
            </w:r>
            <w:r>
              <w:t>: Diagnostic Radiology Physics: a handbook for</w:t>
            </w:r>
            <w:r w:rsidRPr="0011538A">
              <w:t xml:space="preserve"> </w:t>
            </w:r>
            <w:r>
              <w:t>teachers and stud</w:t>
            </w:r>
            <w:r w:rsidRPr="0011538A">
              <w:t>ents</w:t>
            </w:r>
            <w:r>
              <w:t xml:space="preserve">, IAEA 2014. </w:t>
            </w:r>
            <w:r w:rsidRPr="003C3AF9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</w:p>
          <w:p w:rsidR="006752C5" w:rsidRDefault="006752C5" w:rsidP="006752C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6C0E19">
              <w:t>P. Nelson, Freeman, “Biological Physics: Energy, Information,</w:t>
            </w:r>
            <w:r>
              <w:t xml:space="preserve"> Life”, </w:t>
            </w:r>
            <w:r w:rsidRPr="006C0E19">
              <w:t>2008</w:t>
            </w:r>
            <w:r>
              <w:t>.</w:t>
            </w:r>
            <w:r w:rsidRPr="006C0E19">
              <w:t xml:space="preserve"> </w:t>
            </w:r>
          </w:p>
          <w:p w:rsidR="006752C5" w:rsidRPr="00AF678C" w:rsidRDefault="006752C5" w:rsidP="006752C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AF678C">
              <w:rPr>
                <w:bCs/>
              </w:rPr>
              <w:t xml:space="preserve">Paul Davidovits, Physics in Biology and Medicine, Fourth Edition </w:t>
            </w:r>
            <w:r w:rsidRPr="00AF678C">
              <w:t>A. PRESS, 2013.</w:t>
            </w:r>
          </w:p>
          <w:p w:rsidR="00FB79E5" w:rsidRPr="001910E4" w:rsidRDefault="00FB79E5" w:rsidP="006752C5">
            <w:pPr>
              <w:pStyle w:val="ListParagraph"/>
              <w:jc w:val="both"/>
            </w:pPr>
          </w:p>
        </w:tc>
      </w:tr>
      <w:tr w:rsidR="00FB79E5" w:rsidRPr="00584FA0" w:rsidTr="004C5292">
        <w:tc>
          <w:tcPr>
            <w:tcW w:w="2718" w:type="dxa"/>
          </w:tcPr>
          <w:p w:rsidR="00FB79E5" w:rsidRPr="00584FA0" w:rsidRDefault="00FB79E5" w:rsidP="00585875">
            <w:pPr>
              <w:pStyle w:val="NoSpacing"/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 xml:space="preserve">Additional Literature </w:t>
            </w:r>
          </w:p>
        </w:tc>
        <w:tc>
          <w:tcPr>
            <w:tcW w:w="6210" w:type="dxa"/>
            <w:gridSpan w:val="5"/>
          </w:tcPr>
          <w:p w:rsidR="006752C5" w:rsidRDefault="006752C5" w:rsidP="006752C5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6C0E19">
              <w:t>E. Hysenbegasi, T. Karaja</w:t>
            </w:r>
            <w:r>
              <w:t>,</w:t>
            </w:r>
            <w:r w:rsidRPr="006C0E19">
              <w:t xml:space="preserve"> Fizika </w:t>
            </w:r>
            <w:r>
              <w:t>Biomjekësore</w:t>
            </w:r>
            <w:r w:rsidRPr="006C0E19">
              <w:t>, 2020, Tiran</w:t>
            </w:r>
            <w:r>
              <w:t>ë.</w:t>
            </w:r>
          </w:p>
          <w:p w:rsidR="00FB79E5" w:rsidRPr="001910E4" w:rsidRDefault="006752C5" w:rsidP="006752C5">
            <w:pPr>
              <w:pStyle w:val="NoSpacing"/>
              <w:numPr>
                <w:ilvl w:val="0"/>
                <w:numId w:val="33"/>
              </w:numPr>
              <w:jc w:val="both"/>
              <w:rPr>
                <w:i/>
                <w:sz w:val="22"/>
                <w:szCs w:val="22"/>
                <w:lang w:val="sq-AL"/>
              </w:rPr>
            </w:pPr>
            <w:r>
              <w:t>Didactic and presentations materials from the lecturer.</w:t>
            </w:r>
            <w:r w:rsidRPr="001910E4">
              <w:t xml:space="preserve"> </w:t>
            </w:r>
            <w:r w:rsidR="001910E4" w:rsidRPr="001910E4">
              <w:t xml:space="preserve">“Principles of Electronic Instrumentation” (3rd Ed.) by </w:t>
            </w:r>
          </w:p>
        </w:tc>
      </w:tr>
    </w:tbl>
    <w:p w:rsidR="002F2DC0" w:rsidRPr="00584FA0" w:rsidRDefault="002F2DC0" w:rsidP="00585875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210"/>
      </w:tblGrid>
      <w:tr w:rsidR="00D67209" w:rsidRPr="00584FA0" w:rsidTr="002F6630">
        <w:tc>
          <w:tcPr>
            <w:tcW w:w="8928" w:type="dxa"/>
            <w:gridSpan w:val="2"/>
            <w:shd w:val="clear" w:color="auto" w:fill="B8CCE4"/>
          </w:tcPr>
          <w:p w:rsidR="00D67209" w:rsidRPr="00584FA0" w:rsidRDefault="003B3AAB" w:rsidP="002F6630">
            <w:pPr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>Designed study plan</w:t>
            </w:r>
            <w:r w:rsidR="00584FA0">
              <w:rPr>
                <w:b/>
                <w:sz w:val="22"/>
                <w:szCs w:val="22"/>
              </w:rPr>
              <w:t xml:space="preserve"> - Lecture</w:t>
            </w:r>
            <w:r w:rsidR="00D67209" w:rsidRPr="00584FA0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D67209" w:rsidRPr="00584FA0" w:rsidTr="002F6630">
        <w:tc>
          <w:tcPr>
            <w:tcW w:w="2718" w:type="dxa"/>
            <w:shd w:val="clear" w:color="auto" w:fill="B8CCE4"/>
          </w:tcPr>
          <w:p w:rsidR="00D67209" w:rsidRPr="00584FA0" w:rsidRDefault="003B3AAB" w:rsidP="002F6630">
            <w:pPr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6210" w:type="dxa"/>
            <w:shd w:val="clear" w:color="auto" w:fill="B8CCE4"/>
          </w:tcPr>
          <w:p w:rsidR="00D67209" w:rsidRPr="00584FA0" w:rsidRDefault="003B3AAB" w:rsidP="002F6630">
            <w:pPr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t xml:space="preserve">Lectures </w:t>
            </w:r>
            <w:r w:rsidR="00475248" w:rsidRPr="00584FA0">
              <w:rPr>
                <w:b/>
                <w:sz w:val="22"/>
                <w:szCs w:val="22"/>
              </w:rPr>
              <w:t xml:space="preserve">which </w:t>
            </w:r>
            <w:r w:rsidRPr="00584FA0">
              <w:rPr>
                <w:b/>
                <w:sz w:val="22"/>
                <w:szCs w:val="22"/>
              </w:rPr>
              <w:t>will be held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First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Biological structures and the relation to biophysics, physical principles and methods in biology;  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Second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Biomechanics, Biophysics and Fluid Flow, Biophysics and Gas Transport;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Third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Biophysics of Audition, Biophysics of Vision;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Fourth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Physical principles of bioenergy conversion and membrane-bound energy transduction;  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Fifth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Physical and symmetrical relationships between biomolecules, physical and structural characteristics of proteins and amino acids; </w:t>
            </w:r>
          </w:p>
        </w:tc>
      </w:tr>
      <w:tr w:rsidR="006752C5" w:rsidRPr="00584FA0" w:rsidTr="002F6630">
        <w:trPr>
          <w:trHeight w:val="275"/>
        </w:trPr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Sixth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First law and second law of thermodynamics in biological systems; 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Seventh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Bonding and non-bonding potentials, </w:t>
            </w:r>
            <w:r w:rsidR="00320007">
              <w:rPr>
                <w:color w:val="000000"/>
                <w:sz w:val="22"/>
                <w:szCs w:val="22"/>
                <w:shd w:val="clear" w:color="auto" w:fill="FFFFFF"/>
              </w:rPr>
              <w:t>stabilizing interactions in bio</w:t>
            </w: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macromolecules; </w:t>
            </w:r>
          </w:p>
        </w:tc>
      </w:tr>
      <w:tr w:rsidR="006752C5" w:rsidRPr="00584FA0" w:rsidTr="002F6630">
        <w:trPr>
          <w:trHeight w:val="347"/>
        </w:trPr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Eighth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Classification of radiation. Interaction of radiation with matter;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Ninth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Fundamentals of Dosimetry. Measures of image quality;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ind w:left="720" w:hanging="720"/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lastRenderedPageBreak/>
              <w:t>Tenth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X ray production and applications. Fluoroscopic imaging systems. Mammography;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Eleventh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Computed tomography. Quality management. 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Twelfth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Ultrasound imaging. Physics of magnetic resonance;</w:t>
            </w:r>
          </w:p>
        </w:tc>
      </w:tr>
      <w:tr w:rsidR="006752C5" w:rsidRPr="00584FA0" w:rsidTr="002F6630"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Thirteenth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rFonts w:eastAsiaTheme="minorHAnsi"/>
                <w:lang w:val="sq-AL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Receptors and projection radio</w:t>
            </w:r>
            <w:bookmarkStart w:id="0" w:name="_GoBack"/>
            <w:bookmarkEnd w:id="0"/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 xml:space="preserve">graphy. Digital imaging. </w:t>
            </w:r>
          </w:p>
        </w:tc>
      </w:tr>
      <w:tr w:rsidR="006752C5" w:rsidRPr="00584FA0" w:rsidTr="002F6630">
        <w:trPr>
          <w:trHeight w:val="350"/>
        </w:trPr>
        <w:tc>
          <w:tcPr>
            <w:tcW w:w="2718" w:type="dxa"/>
          </w:tcPr>
          <w:p w:rsidR="006752C5" w:rsidRPr="00584FA0" w:rsidRDefault="006752C5" w:rsidP="006752C5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Fourteenth  week:</w:t>
            </w:r>
          </w:p>
        </w:tc>
        <w:tc>
          <w:tcPr>
            <w:tcW w:w="6210" w:type="dxa"/>
          </w:tcPr>
          <w:p w:rsidR="006752C5" w:rsidRPr="000A1FE3" w:rsidRDefault="006752C5" w:rsidP="006752C5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0A1FE3">
              <w:rPr>
                <w:color w:val="000000"/>
                <w:sz w:val="22"/>
                <w:szCs w:val="22"/>
                <w:shd w:val="clear" w:color="auto" w:fill="FFFFFF"/>
              </w:rPr>
              <w:t>Radiation biology. Radiotherapy.</w:t>
            </w:r>
          </w:p>
        </w:tc>
      </w:tr>
      <w:tr w:rsidR="00DC0821" w:rsidRPr="00584FA0" w:rsidTr="002F6630">
        <w:tc>
          <w:tcPr>
            <w:tcW w:w="2718" w:type="dxa"/>
          </w:tcPr>
          <w:p w:rsidR="00DC0821" w:rsidRPr="00584FA0" w:rsidRDefault="00DC0821" w:rsidP="002F6630">
            <w:pPr>
              <w:rPr>
                <w:b/>
                <w:i/>
                <w:sz w:val="22"/>
                <w:szCs w:val="22"/>
              </w:rPr>
            </w:pPr>
            <w:r w:rsidRPr="00584FA0">
              <w:rPr>
                <w:b/>
                <w:i/>
                <w:sz w:val="22"/>
                <w:szCs w:val="22"/>
              </w:rPr>
              <w:t>Fifteenth  week:</w:t>
            </w:r>
          </w:p>
        </w:tc>
        <w:tc>
          <w:tcPr>
            <w:tcW w:w="6210" w:type="dxa"/>
          </w:tcPr>
          <w:p w:rsidR="00DC0821" w:rsidRPr="00584FA0" w:rsidRDefault="006752C5" w:rsidP="006752C5">
            <w:pPr>
              <w:pStyle w:val="Default"/>
              <w:tabs>
                <w:tab w:val="left" w:pos="6012"/>
              </w:tabs>
              <w:ind w:left="40"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Seminars, projects, homework</w:t>
            </w:r>
          </w:p>
        </w:tc>
      </w:tr>
    </w:tbl>
    <w:p w:rsidR="0014342B" w:rsidRPr="00584FA0" w:rsidRDefault="0014342B" w:rsidP="00585875">
      <w:pPr>
        <w:rPr>
          <w:vanish/>
          <w:sz w:val="22"/>
          <w:szCs w:val="22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CF116F" w:rsidRPr="00584FA0" w:rsidTr="00A55F40">
        <w:tc>
          <w:tcPr>
            <w:tcW w:w="8928" w:type="dxa"/>
            <w:shd w:val="clear" w:color="auto" w:fill="B8CCE4"/>
          </w:tcPr>
          <w:p w:rsidR="00CF116F" w:rsidRPr="00584FA0" w:rsidRDefault="0078607F" w:rsidP="00585875">
            <w:pPr>
              <w:jc w:val="center"/>
              <w:rPr>
                <w:b/>
                <w:sz w:val="22"/>
                <w:szCs w:val="22"/>
              </w:rPr>
            </w:pPr>
            <w:r w:rsidRPr="00584FA0">
              <w:rPr>
                <w:b/>
                <w:sz w:val="22"/>
                <w:szCs w:val="22"/>
              </w:rPr>
              <w:lastRenderedPageBreak/>
              <w:t>Academic policies and rules of conduct:</w:t>
            </w:r>
          </w:p>
        </w:tc>
      </w:tr>
      <w:tr w:rsidR="00CF116F" w:rsidRPr="00584FA0" w:rsidTr="00827D92">
        <w:trPr>
          <w:trHeight w:val="800"/>
        </w:trPr>
        <w:tc>
          <w:tcPr>
            <w:tcW w:w="8928" w:type="dxa"/>
          </w:tcPr>
          <w:p w:rsidR="00585875" w:rsidRPr="00584FA0" w:rsidRDefault="00827D92" w:rsidP="00623AE0">
            <w:pPr>
              <w:jc w:val="both"/>
              <w:rPr>
                <w:sz w:val="22"/>
                <w:szCs w:val="22"/>
              </w:rPr>
            </w:pPr>
            <w:r w:rsidRPr="00584FA0">
              <w:rPr>
                <w:sz w:val="22"/>
                <w:szCs w:val="22"/>
              </w:rPr>
              <w:t xml:space="preserve">Regular attendance of students in classes </w:t>
            </w:r>
            <w:r w:rsidR="00623AE0">
              <w:rPr>
                <w:sz w:val="22"/>
                <w:szCs w:val="22"/>
              </w:rPr>
              <w:t>and</w:t>
            </w:r>
            <w:r w:rsidRPr="00584FA0">
              <w:rPr>
                <w:sz w:val="22"/>
                <w:szCs w:val="22"/>
              </w:rPr>
              <w:t xml:space="preserve"> exercises is mandatory. During the lectures and exercises </w:t>
            </w:r>
            <w:r w:rsidR="007A7534">
              <w:rPr>
                <w:sz w:val="22"/>
                <w:szCs w:val="22"/>
              </w:rPr>
              <w:t>the use of cell phones are not allowed.</w:t>
            </w:r>
            <w:r w:rsidR="001124D7">
              <w:rPr>
                <w:sz w:val="22"/>
                <w:szCs w:val="22"/>
              </w:rPr>
              <w:t xml:space="preserve"> Respecting the statute of University and ethical code related to lessons schedule is mandatory.</w:t>
            </w:r>
          </w:p>
        </w:tc>
      </w:tr>
    </w:tbl>
    <w:p w:rsidR="00CF116F" w:rsidRPr="003B3AAB" w:rsidRDefault="00CF116F" w:rsidP="00585875">
      <w:pPr>
        <w:rPr>
          <w:rFonts w:ascii="Calibri" w:hAnsi="Calibri"/>
          <w:b/>
          <w:sz w:val="28"/>
          <w:szCs w:val="28"/>
        </w:rPr>
      </w:pPr>
    </w:p>
    <w:p w:rsidR="00B815D1" w:rsidRPr="003B3AAB" w:rsidRDefault="00B815D1" w:rsidP="00585875">
      <w:pPr>
        <w:rPr>
          <w:rFonts w:ascii="Calibri" w:hAnsi="Calibri"/>
          <w:b/>
          <w:sz w:val="28"/>
          <w:szCs w:val="28"/>
        </w:rPr>
      </w:pPr>
    </w:p>
    <w:sectPr w:rsidR="00B815D1" w:rsidRPr="003B3AAB" w:rsidSect="00483F1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DF" w:rsidRDefault="00212FDF">
      <w:r>
        <w:separator/>
      </w:r>
    </w:p>
  </w:endnote>
  <w:endnote w:type="continuationSeparator" w:id="0">
    <w:p w:rsidR="00212FDF" w:rsidRDefault="0021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C43D9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C43D9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77C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DF" w:rsidRDefault="00212FDF">
      <w:r>
        <w:separator/>
      </w:r>
    </w:p>
  </w:footnote>
  <w:footnote w:type="continuationSeparator" w:id="0">
    <w:p w:rsidR="00212FDF" w:rsidRDefault="0021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12C8"/>
    <w:multiLevelType w:val="hybridMultilevel"/>
    <w:tmpl w:val="4AB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4A"/>
    <w:multiLevelType w:val="hybridMultilevel"/>
    <w:tmpl w:val="9AB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01EB"/>
    <w:multiLevelType w:val="hybridMultilevel"/>
    <w:tmpl w:val="14E4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7825"/>
    <w:multiLevelType w:val="hybridMultilevel"/>
    <w:tmpl w:val="05AAC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44AE"/>
    <w:multiLevelType w:val="hybridMultilevel"/>
    <w:tmpl w:val="2E8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6FBA"/>
    <w:multiLevelType w:val="hybridMultilevel"/>
    <w:tmpl w:val="05E0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545AF"/>
    <w:multiLevelType w:val="hybridMultilevel"/>
    <w:tmpl w:val="2C40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4266"/>
    <w:multiLevelType w:val="hybridMultilevel"/>
    <w:tmpl w:val="5F9428E0"/>
    <w:lvl w:ilvl="0" w:tplc="80023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EF8"/>
    <w:multiLevelType w:val="hybridMultilevel"/>
    <w:tmpl w:val="E804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33723"/>
    <w:multiLevelType w:val="hybridMultilevel"/>
    <w:tmpl w:val="05AAC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D7B31"/>
    <w:multiLevelType w:val="hybridMultilevel"/>
    <w:tmpl w:val="6F4C280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B791F"/>
    <w:multiLevelType w:val="hybridMultilevel"/>
    <w:tmpl w:val="E3C23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726C6"/>
    <w:multiLevelType w:val="hybridMultilevel"/>
    <w:tmpl w:val="A508B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D0497"/>
    <w:multiLevelType w:val="hybridMultilevel"/>
    <w:tmpl w:val="A156E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A1E7E"/>
    <w:multiLevelType w:val="hybridMultilevel"/>
    <w:tmpl w:val="A8741908"/>
    <w:lvl w:ilvl="0" w:tplc="A3127E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2847B5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765BB5"/>
    <w:multiLevelType w:val="hybridMultilevel"/>
    <w:tmpl w:val="0F1CF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B4D31"/>
    <w:multiLevelType w:val="hybridMultilevel"/>
    <w:tmpl w:val="50901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76B150F"/>
    <w:multiLevelType w:val="hybridMultilevel"/>
    <w:tmpl w:val="A2FAB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D485B"/>
    <w:multiLevelType w:val="hybridMultilevel"/>
    <w:tmpl w:val="9CFE5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84DA3"/>
    <w:multiLevelType w:val="hybridMultilevel"/>
    <w:tmpl w:val="2C0AF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A22E3"/>
    <w:multiLevelType w:val="hybridMultilevel"/>
    <w:tmpl w:val="05E0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1034F"/>
    <w:multiLevelType w:val="hybridMultilevel"/>
    <w:tmpl w:val="3AAE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B1506"/>
    <w:multiLevelType w:val="hybridMultilevel"/>
    <w:tmpl w:val="58985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9109CD"/>
    <w:multiLevelType w:val="hybridMultilevel"/>
    <w:tmpl w:val="39B0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B1B7F"/>
    <w:multiLevelType w:val="hybridMultilevel"/>
    <w:tmpl w:val="3B545E64"/>
    <w:lvl w:ilvl="0" w:tplc="79E6C8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9570A5"/>
    <w:multiLevelType w:val="hybridMultilevel"/>
    <w:tmpl w:val="E5F22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2A3A2A"/>
    <w:multiLevelType w:val="hybridMultilevel"/>
    <w:tmpl w:val="6822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033EC"/>
    <w:multiLevelType w:val="hybridMultilevel"/>
    <w:tmpl w:val="3182D6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F0E03"/>
    <w:multiLevelType w:val="hybridMultilevel"/>
    <w:tmpl w:val="7F08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D3134"/>
    <w:multiLevelType w:val="hybridMultilevel"/>
    <w:tmpl w:val="E70C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87115"/>
    <w:multiLevelType w:val="hybridMultilevel"/>
    <w:tmpl w:val="6F4C280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23799"/>
    <w:multiLevelType w:val="hybridMultilevel"/>
    <w:tmpl w:val="6E644D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17628E"/>
    <w:multiLevelType w:val="hybridMultilevel"/>
    <w:tmpl w:val="0550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0"/>
  </w:num>
  <w:num w:numId="6">
    <w:abstractNumId w:val="17"/>
  </w:num>
  <w:num w:numId="7">
    <w:abstractNumId w:val="32"/>
  </w:num>
  <w:num w:numId="8">
    <w:abstractNumId w:val="3"/>
  </w:num>
  <w:num w:numId="9">
    <w:abstractNumId w:val="23"/>
  </w:num>
  <w:num w:numId="10">
    <w:abstractNumId w:val="28"/>
  </w:num>
  <w:num w:numId="11">
    <w:abstractNumId w:val="9"/>
  </w:num>
  <w:num w:numId="12">
    <w:abstractNumId w:val="18"/>
  </w:num>
  <w:num w:numId="13">
    <w:abstractNumId w:val="29"/>
  </w:num>
  <w:num w:numId="14">
    <w:abstractNumId w:val="26"/>
  </w:num>
  <w:num w:numId="15">
    <w:abstractNumId w:val="4"/>
  </w:num>
  <w:num w:numId="16">
    <w:abstractNumId w:val="1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7"/>
  </w:num>
  <w:num w:numId="22">
    <w:abstractNumId w:val="13"/>
  </w:num>
  <w:num w:numId="23">
    <w:abstractNumId w:val="5"/>
  </w:num>
  <w:num w:numId="24">
    <w:abstractNumId w:val="20"/>
  </w:num>
  <w:num w:numId="25">
    <w:abstractNumId w:val="30"/>
  </w:num>
  <w:num w:numId="26">
    <w:abstractNumId w:val="11"/>
  </w:num>
  <w:num w:numId="27">
    <w:abstractNumId w:val="10"/>
  </w:num>
  <w:num w:numId="28">
    <w:abstractNumId w:val="8"/>
  </w:num>
  <w:num w:numId="29">
    <w:abstractNumId w:val="6"/>
  </w:num>
  <w:num w:numId="30">
    <w:abstractNumId w:val="19"/>
  </w:num>
  <w:num w:numId="31">
    <w:abstractNumId w:val="15"/>
  </w:num>
  <w:num w:numId="32">
    <w:abstractNumId w:val="31"/>
  </w:num>
  <w:num w:numId="33">
    <w:abstractNumId w:val="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5F79"/>
    <w:rsid w:val="00006E3E"/>
    <w:rsid w:val="00012981"/>
    <w:rsid w:val="00015860"/>
    <w:rsid w:val="00031020"/>
    <w:rsid w:val="00032EF2"/>
    <w:rsid w:val="00043592"/>
    <w:rsid w:val="00057A38"/>
    <w:rsid w:val="00060E9F"/>
    <w:rsid w:val="0006672F"/>
    <w:rsid w:val="000701CD"/>
    <w:rsid w:val="00085D20"/>
    <w:rsid w:val="00086ACA"/>
    <w:rsid w:val="00097289"/>
    <w:rsid w:val="000A33FC"/>
    <w:rsid w:val="000C10CE"/>
    <w:rsid w:val="000C7E9D"/>
    <w:rsid w:val="000D06AF"/>
    <w:rsid w:val="000D18AA"/>
    <w:rsid w:val="000F4021"/>
    <w:rsid w:val="000F55CF"/>
    <w:rsid w:val="00102557"/>
    <w:rsid w:val="00105C2D"/>
    <w:rsid w:val="001124D7"/>
    <w:rsid w:val="00120F34"/>
    <w:rsid w:val="00132604"/>
    <w:rsid w:val="0014342B"/>
    <w:rsid w:val="00164F02"/>
    <w:rsid w:val="001663A7"/>
    <w:rsid w:val="00180732"/>
    <w:rsid w:val="00183773"/>
    <w:rsid w:val="00183923"/>
    <w:rsid w:val="001910E4"/>
    <w:rsid w:val="001C42BE"/>
    <w:rsid w:val="001D00B6"/>
    <w:rsid w:val="001D3224"/>
    <w:rsid w:val="001E4A45"/>
    <w:rsid w:val="002002FF"/>
    <w:rsid w:val="00212FDF"/>
    <w:rsid w:val="0021580C"/>
    <w:rsid w:val="002177ED"/>
    <w:rsid w:val="00236441"/>
    <w:rsid w:val="002417D9"/>
    <w:rsid w:val="002466FE"/>
    <w:rsid w:val="00246802"/>
    <w:rsid w:val="00250A06"/>
    <w:rsid w:val="00255CDA"/>
    <w:rsid w:val="00257161"/>
    <w:rsid w:val="002610A3"/>
    <w:rsid w:val="002703E7"/>
    <w:rsid w:val="002A22DB"/>
    <w:rsid w:val="002A6C8B"/>
    <w:rsid w:val="002B2BF4"/>
    <w:rsid w:val="002B4190"/>
    <w:rsid w:val="002C00FA"/>
    <w:rsid w:val="002C31C0"/>
    <w:rsid w:val="002D3069"/>
    <w:rsid w:val="002E54BB"/>
    <w:rsid w:val="002F2DC0"/>
    <w:rsid w:val="002F6630"/>
    <w:rsid w:val="003028B7"/>
    <w:rsid w:val="0030354C"/>
    <w:rsid w:val="00305892"/>
    <w:rsid w:val="00320007"/>
    <w:rsid w:val="00340752"/>
    <w:rsid w:val="003456A0"/>
    <w:rsid w:val="003604B7"/>
    <w:rsid w:val="0036198E"/>
    <w:rsid w:val="00367213"/>
    <w:rsid w:val="00373704"/>
    <w:rsid w:val="00373A9D"/>
    <w:rsid w:val="00373F99"/>
    <w:rsid w:val="00381B41"/>
    <w:rsid w:val="00381F55"/>
    <w:rsid w:val="003919CA"/>
    <w:rsid w:val="00394787"/>
    <w:rsid w:val="00397F4B"/>
    <w:rsid w:val="003A2B7F"/>
    <w:rsid w:val="003B3AAB"/>
    <w:rsid w:val="003B458E"/>
    <w:rsid w:val="003B625C"/>
    <w:rsid w:val="003D4FDD"/>
    <w:rsid w:val="003E1CD7"/>
    <w:rsid w:val="003E3193"/>
    <w:rsid w:val="003F7A7B"/>
    <w:rsid w:val="00446317"/>
    <w:rsid w:val="0045468D"/>
    <w:rsid w:val="00460ACC"/>
    <w:rsid w:val="00461956"/>
    <w:rsid w:val="004631AB"/>
    <w:rsid w:val="00465640"/>
    <w:rsid w:val="004718CC"/>
    <w:rsid w:val="00473031"/>
    <w:rsid w:val="00475248"/>
    <w:rsid w:val="00476853"/>
    <w:rsid w:val="00483F14"/>
    <w:rsid w:val="004A534C"/>
    <w:rsid w:val="004B7BFC"/>
    <w:rsid w:val="004C06C2"/>
    <w:rsid w:val="004C0CCA"/>
    <w:rsid w:val="004C1404"/>
    <w:rsid w:val="004C3CA1"/>
    <w:rsid w:val="004C5292"/>
    <w:rsid w:val="004D2979"/>
    <w:rsid w:val="004D4187"/>
    <w:rsid w:val="004F0628"/>
    <w:rsid w:val="00505F2B"/>
    <w:rsid w:val="00542AC0"/>
    <w:rsid w:val="00551C1E"/>
    <w:rsid w:val="005662E4"/>
    <w:rsid w:val="0056641E"/>
    <w:rsid w:val="00574EBE"/>
    <w:rsid w:val="00584FA0"/>
    <w:rsid w:val="00585875"/>
    <w:rsid w:val="005A30C2"/>
    <w:rsid w:val="005B0B3C"/>
    <w:rsid w:val="005D6706"/>
    <w:rsid w:val="005E161F"/>
    <w:rsid w:val="005F6081"/>
    <w:rsid w:val="00603DD2"/>
    <w:rsid w:val="0061149A"/>
    <w:rsid w:val="00623AE0"/>
    <w:rsid w:val="00641B27"/>
    <w:rsid w:val="006420ED"/>
    <w:rsid w:val="0064254E"/>
    <w:rsid w:val="006541CF"/>
    <w:rsid w:val="0067277C"/>
    <w:rsid w:val="006752C5"/>
    <w:rsid w:val="00695DA3"/>
    <w:rsid w:val="006A02CC"/>
    <w:rsid w:val="006A16BC"/>
    <w:rsid w:val="006A59BA"/>
    <w:rsid w:val="006A5A9F"/>
    <w:rsid w:val="006B37A9"/>
    <w:rsid w:val="006D3D1D"/>
    <w:rsid w:val="006D7FB4"/>
    <w:rsid w:val="006F061C"/>
    <w:rsid w:val="006F116D"/>
    <w:rsid w:val="006F1A66"/>
    <w:rsid w:val="006F3BBF"/>
    <w:rsid w:val="007038CC"/>
    <w:rsid w:val="007166C7"/>
    <w:rsid w:val="00732E44"/>
    <w:rsid w:val="00746D8D"/>
    <w:rsid w:val="007472E1"/>
    <w:rsid w:val="00762A65"/>
    <w:rsid w:val="00777D28"/>
    <w:rsid w:val="00781805"/>
    <w:rsid w:val="00782C6A"/>
    <w:rsid w:val="0078607F"/>
    <w:rsid w:val="007A7534"/>
    <w:rsid w:val="007B14F8"/>
    <w:rsid w:val="007B1510"/>
    <w:rsid w:val="007B68A2"/>
    <w:rsid w:val="007C3132"/>
    <w:rsid w:val="007D2BFB"/>
    <w:rsid w:val="007D6BD1"/>
    <w:rsid w:val="007E0C0D"/>
    <w:rsid w:val="007E23C1"/>
    <w:rsid w:val="007E6202"/>
    <w:rsid w:val="007F29E6"/>
    <w:rsid w:val="007F46C5"/>
    <w:rsid w:val="007F6BE9"/>
    <w:rsid w:val="0081348F"/>
    <w:rsid w:val="00822216"/>
    <w:rsid w:val="0082731F"/>
    <w:rsid w:val="00827685"/>
    <w:rsid w:val="00827D92"/>
    <w:rsid w:val="00833350"/>
    <w:rsid w:val="00842E5B"/>
    <w:rsid w:val="008533A2"/>
    <w:rsid w:val="00861BB0"/>
    <w:rsid w:val="008622A6"/>
    <w:rsid w:val="00870DB9"/>
    <w:rsid w:val="00871BCF"/>
    <w:rsid w:val="00873DFE"/>
    <w:rsid w:val="0087557D"/>
    <w:rsid w:val="008976A3"/>
    <w:rsid w:val="008A439B"/>
    <w:rsid w:val="008A716D"/>
    <w:rsid w:val="008C454D"/>
    <w:rsid w:val="008D0608"/>
    <w:rsid w:val="008E104A"/>
    <w:rsid w:val="008E3F13"/>
    <w:rsid w:val="00903474"/>
    <w:rsid w:val="009152E9"/>
    <w:rsid w:val="00932508"/>
    <w:rsid w:val="0093666F"/>
    <w:rsid w:val="00941F4D"/>
    <w:rsid w:val="00945FA8"/>
    <w:rsid w:val="00950C7D"/>
    <w:rsid w:val="00977CE0"/>
    <w:rsid w:val="00996D4F"/>
    <w:rsid w:val="009B3F0A"/>
    <w:rsid w:val="009D50CE"/>
    <w:rsid w:val="009E2AF8"/>
    <w:rsid w:val="009E54DE"/>
    <w:rsid w:val="00A073CD"/>
    <w:rsid w:val="00A10825"/>
    <w:rsid w:val="00A16A83"/>
    <w:rsid w:val="00A17C2C"/>
    <w:rsid w:val="00A308A8"/>
    <w:rsid w:val="00A36558"/>
    <w:rsid w:val="00A545BA"/>
    <w:rsid w:val="00A54A24"/>
    <w:rsid w:val="00A55F40"/>
    <w:rsid w:val="00A56B41"/>
    <w:rsid w:val="00A662A0"/>
    <w:rsid w:val="00A66523"/>
    <w:rsid w:val="00A70C5C"/>
    <w:rsid w:val="00A8132F"/>
    <w:rsid w:val="00AA14B8"/>
    <w:rsid w:val="00AA2C57"/>
    <w:rsid w:val="00AA3C2B"/>
    <w:rsid w:val="00AB56E7"/>
    <w:rsid w:val="00AC08ED"/>
    <w:rsid w:val="00B17D2A"/>
    <w:rsid w:val="00B278FF"/>
    <w:rsid w:val="00B35215"/>
    <w:rsid w:val="00B37B98"/>
    <w:rsid w:val="00B51740"/>
    <w:rsid w:val="00B6061D"/>
    <w:rsid w:val="00B815D1"/>
    <w:rsid w:val="00BA6E9C"/>
    <w:rsid w:val="00BA76BB"/>
    <w:rsid w:val="00BA7D2C"/>
    <w:rsid w:val="00BB1A1A"/>
    <w:rsid w:val="00BB707D"/>
    <w:rsid w:val="00BB7518"/>
    <w:rsid w:val="00BC6EDA"/>
    <w:rsid w:val="00BD312B"/>
    <w:rsid w:val="00BD3B61"/>
    <w:rsid w:val="00BD7535"/>
    <w:rsid w:val="00BF77CB"/>
    <w:rsid w:val="00C03D9C"/>
    <w:rsid w:val="00C07D1D"/>
    <w:rsid w:val="00C22656"/>
    <w:rsid w:val="00C24F7F"/>
    <w:rsid w:val="00C27282"/>
    <w:rsid w:val="00C27550"/>
    <w:rsid w:val="00C3095C"/>
    <w:rsid w:val="00C424E4"/>
    <w:rsid w:val="00C43D9F"/>
    <w:rsid w:val="00C44485"/>
    <w:rsid w:val="00C50FA2"/>
    <w:rsid w:val="00C51292"/>
    <w:rsid w:val="00C6155B"/>
    <w:rsid w:val="00C61B5F"/>
    <w:rsid w:val="00C766E0"/>
    <w:rsid w:val="00C80B02"/>
    <w:rsid w:val="00CA2A19"/>
    <w:rsid w:val="00CA2CB4"/>
    <w:rsid w:val="00CA499D"/>
    <w:rsid w:val="00CA63D3"/>
    <w:rsid w:val="00CB54B6"/>
    <w:rsid w:val="00CC0AC6"/>
    <w:rsid w:val="00CC3C54"/>
    <w:rsid w:val="00CC6545"/>
    <w:rsid w:val="00CD7D78"/>
    <w:rsid w:val="00CE53B5"/>
    <w:rsid w:val="00CE6185"/>
    <w:rsid w:val="00CF03CC"/>
    <w:rsid w:val="00CF116F"/>
    <w:rsid w:val="00CF6550"/>
    <w:rsid w:val="00D10BC6"/>
    <w:rsid w:val="00D14CFD"/>
    <w:rsid w:val="00D20993"/>
    <w:rsid w:val="00D4362C"/>
    <w:rsid w:val="00D56DB1"/>
    <w:rsid w:val="00D57F03"/>
    <w:rsid w:val="00D61FF5"/>
    <w:rsid w:val="00D67209"/>
    <w:rsid w:val="00D72842"/>
    <w:rsid w:val="00D90743"/>
    <w:rsid w:val="00DA2CB6"/>
    <w:rsid w:val="00DA7C5A"/>
    <w:rsid w:val="00DB1628"/>
    <w:rsid w:val="00DB2823"/>
    <w:rsid w:val="00DB4FCF"/>
    <w:rsid w:val="00DB7729"/>
    <w:rsid w:val="00DB7CE1"/>
    <w:rsid w:val="00DC0821"/>
    <w:rsid w:val="00DC7EA9"/>
    <w:rsid w:val="00DD2049"/>
    <w:rsid w:val="00DF2DBD"/>
    <w:rsid w:val="00DF6543"/>
    <w:rsid w:val="00E203DB"/>
    <w:rsid w:val="00E22B11"/>
    <w:rsid w:val="00E24FE5"/>
    <w:rsid w:val="00E332D7"/>
    <w:rsid w:val="00E43A7C"/>
    <w:rsid w:val="00E64FDE"/>
    <w:rsid w:val="00E8125C"/>
    <w:rsid w:val="00E83922"/>
    <w:rsid w:val="00E87D2C"/>
    <w:rsid w:val="00E9744C"/>
    <w:rsid w:val="00EF3DC9"/>
    <w:rsid w:val="00EF57F9"/>
    <w:rsid w:val="00F04222"/>
    <w:rsid w:val="00F13522"/>
    <w:rsid w:val="00F34158"/>
    <w:rsid w:val="00F3682C"/>
    <w:rsid w:val="00F36D38"/>
    <w:rsid w:val="00F440B4"/>
    <w:rsid w:val="00F47480"/>
    <w:rsid w:val="00F556A2"/>
    <w:rsid w:val="00F5660C"/>
    <w:rsid w:val="00F60D5D"/>
    <w:rsid w:val="00F82819"/>
    <w:rsid w:val="00FA69A0"/>
    <w:rsid w:val="00FB050B"/>
    <w:rsid w:val="00FB52B1"/>
    <w:rsid w:val="00FB566C"/>
    <w:rsid w:val="00FB79E5"/>
    <w:rsid w:val="00FC014F"/>
    <w:rsid w:val="00FD1144"/>
    <w:rsid w:val="00FD55A1"/>
    <w:rsid w:val="00FF0783"/>
    <w:rsid w:val="00FF2AA9"/>
    <w:rsid w:val="00FF6271"/>
    <w:rsid w:val="00FF708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7EED84-D7CA-4AA7-BBFF-05E5A6A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customStyle="1" w:styleId="ptbrand5">
    <w:name w:val="ptbrand5"/>
    <w:basedOn w:val="DefaultParagraphFont"/>
    <w:rsid w:val="007E0C0D"/>
  </w:style>
  <w:style w:type="character" w:customStyle="1" w:styleId="bindingandrelease">
    <w:name w:val="bindingandrelease"/>
    <w:basedOn w:val="DefaultParagraphFont"/>
    <w:rsid w:val="007E0C0D"/>
  </w:style>
  <w:style w:type="character" w:styleId="Hyperlink">
    <w:name w:val="Hyperlink"/>
    <w:unhideWhenUsed/>
    <w:rsid w:val="007E0C0D"/>
    <w:rPr>
      <w:color w:val="004B91"/>
      <w:u w:val="single"/>
    </w:rPr>
  </w:style>
  <w:style w:type="paragraph" w:customStyle="1" w:styleId="Default">
    <w:name w:val="Default"/>
    <w:uiPriority w:val="99"/>
    <w:rsid w:val="00FF627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226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52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910E4"/>
  </w:style>
  <w:style w:type="character" w:customStyle="1" w:styleId="NoSpacingChar">
    <w:name w:val="No Spacing Char"/>
    <w:basedOn w:val="DefaultParagraphFont"/>
    <w:link w:val="NoSpacing"/>
    <w:uiPriority w:val="1"/>
    <w:rsid w:val="006752C5"/>
    <w:rPr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6752C5"/>
    <w:rPr>
      <w:sz w:val="24"/>
      <w:szCs w:val="24"/>
    </w:rPr>
  </w:style>
  <w:style w:type="character" w:customStyle="1" w:styleId="hps">
    <w:name w:val="hps"/>
    <w:basedOn w:val="DefaultParagraphFont"/>
    <w:rsid w:val="0067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zmend.nafez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4668</CharactersWithSpaces>
  <SharedDoc>false</SharedDoc>
  <HLinks>
    <vt:vector size="48" baseType="variant">
      <vt:variant>
        <vt:i4>6029382</vt:i4>
      </vt:variant>
      <vt:variant>
        <vt:i4>21</vt:i4>
      </vt:variant>
      <vt:variant>
        <vt:i4>0</vt:i4>
      </vt:variant>
      <vt:variant>
        <vt:i4>5</vt:i4>
      </vt:variant>
      <vt:variant>
        <vt:lpwstr>http://www.amazon.com/s/ref=dp_byline_sr_book_1?ie=UTF8&amp;field-author=Sivasankar&amp;search-alias=books&amp;text=Sivasankar&amp;sort=relevancerank</vt:lpwstr>
      </vt:variant>
      <vt:variant>
        <vt:lpwstr/>
      </vt:variant>
      <vt:variant>
        <vt:i4>6750335</vt:i4>
      </vt:variant>
      <vt:variant>
        <vt:i4>18</vt:i4>
      </vt:variant>
      <vt:variant>
        <vt:i4>0</vt:i4>
      </vt:variant>
      <vt:variant>
        <vt:i4>5</vt:i4>
      </vt:variant>
      <vt:variant>
        <vt:lpwstr>http://www.amazon.com/s/ref=dp_byline_sr_book_3?ie=UTF8&amp;field-author=Stanley+R.+Crouch&amp;search-alias=books&amp;text=Stanley+R.+Crouch&amp;sort=relevancerank</vt:lpwstr>
      </vt:variant>
      <vt:variant>
        <vt:lpwstr/>
      </vt:variant>
      <vt:variant>
        <vt:i4>6750334</vt:i4>
      </vt:variant>
      <vt:variant>
        <vt:i4>15</vt:i4>
      </vt:variant>
      <vt:variant>
        <vt:i4>0</vt:i4>
      </vt:variant>
      <vt:variant>
        <vt:i4>5</vt:i4>
      </vt:variant>
      <vt:variant>
        <vt:lpwstr>http://www.amazon.com/s/ref=dp_byline_sr_book_2?ie=UTF8&amp;field-author=F.+James+Holler&amp;search-alias=books&amp;text=F.+James+Holler&amp;sort=relevancerank</vt:lpwstr>
      </vt:variant>
      <vt:variant>
        <vt:lpwstr/>
      </vt:variant>
      <vt:variant>
        <vt:i4>131096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http://www.amazon.com/s/ref=dp_byline_sr_book_1?ie=UTF8&amp;field-author=Douglas+A.+Skoog&amp;search-alias=books&amp;text=Douglas+A.+Skoog&amp;sort=relevancerank</vt:lpwstr>
      </vt:variant>
      <vt:variant>
        <vt:lpwstr/>
      </vt:variant>
      <vt:variant>
        <vt:i4>8192057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http://www.amazon.com/George-M.-Frame-II/e/B00GDWP6LC/ref=dp_byline_cont_book_3</vt:lpwstr>
      </vt:variant>
      <vt:variant>
        <vt:lpwstr/>
      </vt:variant>
      <vt:variant>
        <vt:i4>6750334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http://www.amazon.com/s/ref=dp_byline_sr_book_2?ie=UTF8&amp;field-author=Eileen+Skelly+Frame&amp;search-alias=books&amp;text=Eileen+Skelly+Frame&amp;sort=relevancerank</vt:lpwstr>
      </vt:variant>
      <vt:variant>
        <vt:lpwstr/>
      </vt:variant>
      <vt:variant>
        <vt:i4>2818080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http://www.amazon.com/James-W.-Robinson/e/B001KIQ7NU/ref=dp_byline_cont_book_1</vt:lpwstr>
      </vt:variant>
      <vt:variant>
        <vt:lpwstr/>
      </vt:variant>
      <vt:variant>
        <vt:i4>6488140</vt:i4>
      </vt:variant>
      <vt:variant>
        <vt:i4>0</vt:i4>
      </vt:variant>
      <vt:variant>
        <vt:i4>0</vt:i4>
      </vt:variant>
      <vt:variant>
        <vt:i4>5</vt:i4>
      </vt:variant>
      <vt:variant>
        <vt:lpwstr>mailto:tahir.arbneshi@uni-pr.edu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Admin</cp:lastModifiedBy>
  <cp:revision>4</cp:revision>
  <cp:lastPrinted>2011-03-07T08:39:00Z</cp:lastPrinted>
  <dcterms:created xsi:type="dcterms:W3CDTF">2024-09-14T09:43:00Z</dcterms:created>
  <dcterms:modified xsi:type="dcterms:W3CDTF">2024-09-14T11:57:00Z</dcterms:modified>
</cp:coreProperties>
</file>