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44" w:rsidRDefault="00AC3F44" w:rsidP="00AC3F44">
      <w:pPr>
        <w:snapToGrid w:val="0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SYLLABUS i Lëndës GIS-i i aplikuar</w:t>
      </w:r>
    </w:p>
    <w:p w:rsidR="00AC3F44" w:rsidRDefault="00AC3F44" w:rsidP="00AC3F44">
      <w:pPr>
        <w:snapToGrid w:val="0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AC3F4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Të dhëna bazike të lëndës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FSHMN, Departamenti i Gjeografisë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GIS-i i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aplikuar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Bachlar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Obligative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II -dytë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3+2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Prishtine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Dr. Florim Isufi, Profesor i asocuar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tabs>
                <w:tab w:val="left" w:pos="8819"/>
              </w:tabs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Mob. 044-241-463 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 w:history="1">
              <w:r w:rsidRPr="00B8557E">
                <w:rPr>
                  <w:rFonts w:ascii="Times New Roman" w:hAnsi="Times New Roman"/>
                  <w:color w:val="0000FF"/>
                  <w:sz w:val="24"/>
                </w:rPr>
                <w:t>florim.isufi@uni-pr.edu</w:t>
              </w:r>
            </w:hyperlink>
            <w:r w:rsidRPr="00B8557E">
              <w:rPr>
                <w:rFonts w:ascii="Times New Roman" w:hAnsi="Times New Roman"/>
                <w:color w:val="000000"/>
                <w:sz w:val="24"/>
              </w:rPr>
              <w:t xml:space="preserve">,         </w:t>
            </w:r>
            <w:hyperlink r:id="rId6" w:history="1">
              <w:r w:rsidRPr="00B8557E">
                <w:rPr>
                  <w:rFonts w:ascii="Times New Roman" w:hAnsi="Times New Roman"/>
                  <w:color w:val="0000FF"/>
                  <w:sz w:val="24"/>
                </w:rPr>
                <w:t>florim_isufi@yahoo.com</w:t>
              </w:r>
            </w:hyperlink>
            <w:r w:rsidRPr="00B8557E">
              <w:rPr>
                <w:rFonts w:ascii="Times New Roman" w:hAnsi="Times New Roman"/>
                <w:color w:val="000000"/>
                <w:sz w:val="24"/>
              </w:rPr>
              <w:t xml:space="preserve">,   </w:t>
            </w:r>
          </w:p>
        </w:tc>
      </w:tr>
      <w:tr w:rsidR="00AC3F4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Moduli ju ofron studentëve një pasqyrë të përgjithshme të aplikimit më të avancuar të kompjuterit në gjeografi. Moduli përfshinë njohjet të elementeve të gjeoinformatikës.  Moduli i GIS-it të avancuar ofron përgatitje për të dhëna, komponentët dhe përpunimin digjital te te dhënave hapësinore.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Zhvillimi i njohurive mbi bazat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e  gjeoinformatikës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dhe aplikimit të saj në gjeografi. Kursi mundëson krijimin e njohurive mbi metodat dhe mënyrat e gjeokodimit, shfrytëzimit të tokës dhe mbulimit të sipërfaqes së tokës. 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Zhvillimi i njohurive mbi deshifrimin e imazheve satelitore, analiza e tyre si dhe zotimin e analizave statistikore dhe gjeografike me programe aplikative. Kursi gjithashtu do të bëjë të mundur aplikimin e SQL-së në analiza hapësinore.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Paraqesin aftësitë e studentit për të përdorur GIS-in në nivel më të avancuar. Të njoh procedurat e regjistrimit dhe konvertimit të imazheve satelitore për nevojat e analizave statistikore dhe hapësinore duke pasur si rezultat final hartën dhe raporte tabelore.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Gjithashtu studenti do të jetë në gjendje që të aplikoj SQL3.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Ai do të jete ne gjendje:</w:t>
            </w:r>
          </w:p>
          <w:p w:rsidR="00AC3F44" w:rsidRDefault="00AC3F44" w:rsidP="00AC3F44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ind w:left="72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që të njoh procesin e gjeokodimit </w:t>
            </w:r>
          </w:p>
          <w:p w:rsidR="00AC3F44" w:rsidRDefault="00AC3F44" w:rsidP="00AC3F44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sistemin DBMS</w:t>
            </w:r>
          </w:p>
          <w:p w:rsidR="00AC3F44" w:rsidRDefault="00AC3F44" w:rsidP="00AC3F44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procedurën e krijimit të LU dhe LC</w:t>
            </w:r>
          </w:p>
          <w:p w:rsidR="00AC3F44" w:rsidRDefault="00AC3F44" w:rsidP="00AC3F44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ind w:left="72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që të njoh objektet në GIS. </w:t>
            </w:r>
          </w:p>
          <w:p w:rsidR="00AC3F44" w:rsidRDefault="00AC3F44" w:rsidP="00AC3F44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dhe kodifikimin në lëmin e gjeografisë fizike</w:t>
            </w:r>
          </w:p>
          <w:p w:rsidR="00AC3F44" w:rsidRDefault="00AC3F44" w:rsidP="00AC3F44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dhe kodifikimin në lëmin e gjeografisë shoqërore</w:t>
            </w:r>
          </w:p>
        </w:tc>
      </w:tr>
      <w:tr w:rsidR="00AC3F4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AC3F4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Kontributi nё ngarkesën e studentit ( gjë që duhet të korrespondoj me rezultatet e tё nxënit të studentit)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Gjithsej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 semester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 semestër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9559A" w:rsidTr="004D42A2">
        <w:trPr>
          <w:trHeight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Projektet,prezentimet ,etj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9559A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Default="00E9559A" w:rsidP="00E9559A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A" w:rsidRPr="00E5506B" w:rsidRDefault="00E9559A" w:rsidP="00E9559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220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Ligjërata, ushtrime, pune praktike ne grupe, seminare, konsultime, qasje interactive, prezantime te studenteve.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Përqindja e pjesëmarrjes së secilit vlerësim parcial ose intermedier e përcakton vlerësimin definitiv. 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parë: 20%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dytë; 20%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Detyrat e shtëpisë ose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2"/>
              </w:rPr>
              <w:t>angazhime  tjera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 15%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Vijimi i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2"/>
              </w:rPr>
              <w:t>rregullt  5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Provimi final    40%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Total 100%</w:t>
            </w:r>
          </w:p>
        </w:tc>
      </w:tr>
      <w:tr w:rsidR="00AC3F4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 xml:space="preserve">Literatura 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AF" w:rsidRPr="004868AF" w:rsidRDefault="004868AF" w:rsidP="004D42A2">
            <w:pPr>
              <w:snapToGrid w:val="0"/>
            </w:pPr>
            <w:r>
              <w:rPr>
                <w:b/>
              </w:rPr>
              <w:t>F.</w:t>
            </w:r>
            <w:r w:rsidRPr="004868AF">
              <w:rPr>
                <w:b/>
              </w:rPr>
              <w:t xml:space="preserve"> Isufi</w:t>
            </w:r>
            <w:r>
              <w:rPr>
                <w:b/>
              </w:rPr>
              <w:t>, F. Krasniqi, K. Dragusha, Sh. Bulliqi</w:t>
            </w:r>
            <w:r w:rsidRPr="004868AF">
              <w:rPr>
                <w:b/>
              </w:rPr>
              <w:t xml:space="preserve"> etj:</w:t>
            </w:r>
            <w:r>
              <w:t xml:space="preserve"> GIS-i në GIS-I në analiza Gjeografike dhe gjeostatistikore, Prishtinë 2022</w:t>
            </w:r>
          </w:p>
          <w:p w:rsidR="00AC3F44" w:rsidRDefault="004868AF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hyperlink r:id="rId7" w:history="1">
              <w:r w:rsidR="00AC3F44" w:rsidRPr="004868AF">
                <w:rPr>
                  <w:rFonts w:ascii="Times New Roman" w:hAnsi="Times New Roman"/>
                  <w:b/>
                  <w:sz w:val="22"/>
                </w:rPr>
                <w:t>John Stillwell</w:t>
              </w:r>
            </w:hyperlink>
            <w:r w:rsidR="00AC3F44" w:rsidRPr="004868AF">
              <w:rPr>
                <w:rFonts w:ascii="Times New Roman" w:hAnsi="Times New Roman"/>
                <w:b/>
                <w:sz w:val="22"/>
              </w:rPr>
              <w:t>&amp;</w:t>
            </w:r>
            <w:hyperlink r:id="rId8" w:history="1">
              <w:r w:rsidR="00AC3F44" w:rsidRPr="004868AF">
                <w:rPr>
                  <w:rFonts w:ascii="Times New Roman" w:hAnsi="Times New Roman"/>
                  <w:b/>
                  <w:sz w:val="22"/>
                </w:rPr>
                <w:t>Graham Clarke</w:t>
              </w:r>
            </w:hyperlink>
            <w:r w:rsidR="00AC3F44" w:rsidRPr="004868AF">
              <w:rPr>
                <w:rFonts w:ascii="Times New Roman" w:hAnsi="Times New Roman"/>
                <w:b/>
                <w:sz w:val="22"/>
              </w:rPr>
              <w:t>,</w:t>
            </w:r>
            <w:r w:rsidR="00AC3F44" w:rsidRPr="004868AF">
              <w:rPr>
                <w:rFonts w:ascii="Times New Roman" w:hAnsi="Times New Roman"/>
                <w:sz w:val="22"/>
              </w:rPr>
              <w:t xml:space="preserve">Applied </w:t>
            </w:r>
            <w:r w:rsidR="00AC3F44">
              <w:rPr>
                <w:rFonts w:ascii="Times New Roman" w:hAnsi="Times New Roman"/>
                <w:color w:val="000000"/>
                <w:sz w:val="22"/>
              </w:rPr>
              <w:t>GIS and Spatial Analysis, WILEY, 2003</w:t>
            </w:r>
          </w:p>
          <w:p w:rsidR="00AC3F44" w:rsidRDefault="00AC3F4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Grup Autorësh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(2002) Geograp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</w:rPr>
              <w:t>hic Information Systems and Science, New York, USA</w:t>
            </w:r>
          </w:p>
          <w:p w:rsidR="00AC3F44" w:rsidRDefault="00AC3F4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Florim Isufi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: (monoskript)“Hyrje në GIS përmes MapInfo profesional &amp; Global Mapper ” </w:t>
            </w:r>
            <w:r w:rsidR="00E9559A">
              <w:rPr>
                <w:rFonts w:ascii="Times New Roman" w:hAnsi="Times New Roman"/>
                <w:color w:val="000000"/>
                <w:sz w:val="22"/>
              </w:rPr>
              <w:t>2015</w:t>
            </w:r>
          </w:p>
        </w:tc>
      </w:tr>
      <w:tr w:rsidR="00AC3F4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Michael N. Demers,”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Fundamentals of Geographic Information Systems”, Johan Wiler&amp;Sons, New York, 2002.</w:t>
            </w:r>
          </w:p>
        </w:tc>
      </w:tr>
    </w:tbl>
    <w:p w:rsidR="00AC3F44" w:rsidRDefault="00AC3F44" w:rsidP="00AC3F44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pPr w:vertAnchor="text" w:horzAnchor="margin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AC3F44" w:rsidTr="004D42A2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Plani i dizajnuar i mësimit: 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Ligjërata që do të zhvillohet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Aplikimi i komponentëve të GIS-it,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Gjeokodimi hartografik,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Objektet në GIS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Deshifrimi dhe vektorializimi i imazheve satelitore dhe ortofotove me GIS,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Analiza statistikore,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lastRenderedPageBreak/>
              <w:t>Java e gjashtë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Analiza hapësinore,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shtatë: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GIS-i në Land Use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dhe Kollokfium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tetë: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GIS-i në Land Cover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nëntë: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Aplikimi i SQL në analiza,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Analiza përmes bazës së shënimeve,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njëmbëdhjetë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Rëndësia e DBMS në analiza hapësinore të objekteve në GIS,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Pr="004868AF" w:rsidRDefault="00AC3F44" w:rsidP="004D42A2">
            <w:pPr>
              <w:snapToGrid w:val="0"/>
              <w:ind w:left="72"/>
              <w:rPr>
                <w:rFonts w:ascii="Times New Roman" w:hAnsi="Times New Roman"/>
                <w:sz w:val="22"/>
              </w:rPr>
            </w:pPr>
            <w:r w:rsidRPr="004868AF">
              <w:rPr>
                <w:rFonts w:ascii="Times New Roman" w:hAnsi="Times New Roman"/>
                <w:sz w:val="22"/>
              </w:rPr>
              <w:t xml:space="preserve">Sistemi i kodifikimit dhe i rifreskimi në komponentët fiziko gjeografike,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Sistemi i kodifikimit dhe i rifreskimi në komponentët shoqëroro ekonomike,dhe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Kollokfium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Analizat e kombinuara, </w:t>
            </w:r>
          </w:p>
        </w:tc>
      </w:tr>
      <w:tr w:rsidR="00AC3F4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Disa shembuj gjeomatik.</w:t>
            </w:r>
          </w:p>
        </w:tc>
      </w:tr>
    </w:tbl>
    <w:p w:rsidR="00AC3F44" w:rsidRDefault="00AC3F44" w:rsidP="00AC3F44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C3F44" w:rsidTr="004D42A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Politikat akademike dhe rregullat e mirësjelljes:</w:t>
            </w:r>
          </w:p>
        </w:tc>
      </w:tr>
      <w:tr w:rsidR="00AC3F44" w:rsidTr="004D42A2">
        <w:trPr>
          <w:trHeight w:val="47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44" w:rsidRDefault="00AC3F4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Mësimdhënësi cakton kriteret për vijimin e rregullt në ligjërata dhe ushtrime  dhe rregullat e mirësjelljes konform statusit te universitetit.</w:t>
            </w:r>
          </w:p>
        </w:tc>
      </w:tr>
    </w:tbl>
    <w:p w:rsidR="003D0F14" w:rsidRPr="00AC3F44" w:rsidRDefault="004868AF" w:rsidP="00AC3F44"/>
    <w:sectPr w:rsidR="003D0F14" w:rsidRPr="00AC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" w15:restartNumberingAfterBreak="0">
    <w:nsid w:val="5C94629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" w15:restartNumberingAfterBreak="0">
    <w:nsid w:val="5C94629B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" w15:restartNumberingAfterBreak="0">
    <w:nsid w:val="5C94629C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D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C94629E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F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F4"/>
    <w:rsid w:val="00014B3C"/>
    <w:rsid w:val="00246E56"/>
    <w:rsid w:val="00380DE5"/>
    <w:rsid w:val="00414AAC"/>
    <w:rsid w:val="004832F4"/>
    <w:rsid w:val="004868AF"/>
    <w:rsid w:val="00AC3F44"/>
    <w:rsid w:val="00E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1B18"/>
  <w15:chartTrackingRefBased/>
  <w15:docId w15:val="{B6D61A5C-55FB-4BFD-ADCC-2348A93D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F4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ntt_athr_dp_sr_2?_encoding=UTF8&amp;field-author=Graham%20Clarke&amp;ie=UTF8&amp;search-alias=books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1?_encoding=UTF8&amp;field-author=John%20Stillwell&amp;ie=UTF8&amp;search-alias=books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im_isufi@yahoo.com" TargetMode="External"/><Relationship Id="rId5" Type="http://schemas.openxmlformats.org/officeDocument/2006/relationships/hyperlink" Target="mailto:florim.isuf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2021-04-29T09:12:00Z</dcterms:created>
  <dcterms:modified xsi:type="dcterms:W3CDTF">2024-11-13T15:10:00Z</dcterms:modified>
</cp:coreProperties>
</file>