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170F" w14:textId="21BD8363" w:rsidR="00CF116F" w:rsidRPr="003B1F4F" w:rsidRDefault="00F117E7" w:rsidP="00756984">
      <w:pPr>
        <w:pStyle w:val="Heading1"/>
        <w:rPr>
          <w:lang w:val="sq-AL"/>
        </w:rPr>
      </w:pPr>
      <w:r>
        <w:rPr>
          <w:lang w:val="sq-AL"/>
        </w:rPr>
        <w:t>P</w:t>
      </w:r>
      <w:r w:rsidR="0006366C">
        <w:rPr>
          <w:lang w:val="sq-AL"/>
        </w:rPr>
        <w:t>rogrami i lëndës:</w:t>
      </w:r>
      <w:r w:rsidR="00781805" w:rsidRPr="008E1347">
        <w:rPr>
          <w:lang w:val="sq-AL"/>
        </w:rPr>
        <w:t xml:space="preserve"> </w:t>
      </w:r>
      <w:r w:rsidR="00425263" w:rsidRPr="003B1F4F">
        <w:rPr>
          <w:lang w:val="sq-AL"/>
        </w:rPr>
        <w:t>Zhanre e gazetarisë I</w:t>
      </w:r>
    </w:p>
    <w:tbl>
      <w:tblPr>
        <w:tblW w:w="14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25"/>
        <w:gridCol w:w="957"/>
        <w:gridCol w:w="1425"/>
        <w:gridCol w:w="1770"/>
        <w:gridCol w:w="2044"/>
        <w:gridCol w:w="5247"/>
      </w:tblGrid>
      <w:tr w:rsidR="00CF116F" w:rsidRPr="008E1347" w14:paraId="6980F4C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05CB762B" w14:textId="77777777" w:rsidR="00CF116F" w:rsidRPr="008E1347" w:rsidRDefault="00CF116F" w:rsidP="00CF116F">
            <w:pPr>
              <w:pStyle w:val="NoSpacing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Të dh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na bazike t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l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nd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s</w:t>
            </w:r>
          </w:p>
        </w:tc>
      </w:tr>
      <w:tr w:rsidR="00983973" w:rsidRPr="008E1347" w14:paraId="73C8FC5B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3BA07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6621" w:type="dxa"/>
            <w:gridSpan w:val="5"/>
          </w:tcPr>
          <w:p w14:paraId="71876F62" w14:textId="77777777" w:rsidR="00983973" w:rsidRPr="008E1347" w:rsidRDefault="00FD679D" w:rsidP="0098397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Fakulteti i Filologjisë, Departamenti i Gazetarisë </w:t>
            </w:r>
          </w:p>
        </w:tc>
      </w:tr>
      <w:tr w:rsidR="00983973" w:rsidRPr="008E1347" w14:paraId="6DBB91F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08635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6621" w:type="dxa"/>
            <w:gridSpan w:val="5"/>
          </w:tcPr>
          <w:p w14:paraId="37C723F7" w14:textId="77777777" w:rsidR="00983973" w:rsidRPr="00C20E9E" w:rsidRDefault="00FD679D" w:rsidP="003E3990">
            <w:pPr>
              <w:pStyle w:val="NoSpacing1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C20E9E">
              <w:rPr>
                <w:rFonts w:ascii="Garamond" w:hAnsi="Garamond"/>
                <w:b/>
                <w:sz w:val="22"/>
                <w:szCs w:val="22"/>
                <w:lang w:val="sq-AL"/>
              </w:rPr>
              <w:t>Zhanret e gazetarisë I</w:t>
            </w:r>
          </w:p>
        </w:tc>
      </w:tr>
      <w:tr w:rsidR="00983973" w:rsidRPr="008E1347" w14:paraId="47E584A0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FDAE6B3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6621" w:type="dxa"/>
            <w:gridSpan w:val="5"/>
          </w:tcPr>
          <w:p w14:paraId="1BD14F8D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Bachelor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44FCE1C8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B1DD500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6621" w:type="dxa"/>
            <w:gridSpan w:val="5"/>
          </w:tcPr>
          <w:p w14:paraId="528149E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O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bligative</w:t>
            </w:r>
            <w:proofErr w:type="spellEnd"/>
          </w:p>
        </w:tc>
      </w:tr>
      <w:tr w:rsidR="00983973" w:rsidRPr="008E1347" w14:paraId="1D2AF26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346E9E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6621" w:type="dxa"/>
            <w:gridSpan w:val="5"/>
          </w:tcPr>
          <w:p w14:paraId="12CB528F" w14:textId="6FC5D25F" w:rsidR="00983973" w:rsidRPr="008E1347" w:rsidRDefault="00FD679D" w:rsidP="008F3EA3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>V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iti 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i I-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proofErr w:type="spellEnd"/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, semestri i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 I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rë</w:t>
            </w:r>
            <w:proofErr w:type="spellEnd"/>
            <w:r w:rsidR="008F3EA3">
              <w:rPr>
                <w:rFonts w:ascii="Garamond" w:hAnsi="Garamond"/>
                <w:sz w:val="22"/>
                <w:szCs w:val="22"/>
                <w:lang w:val="sq-AL"/>
              </w:rPr>
              <w:t>/ Viti akademik 202</w:t>
            </w:r>
            <w:r w:rsidR="006B3220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  <w:r w:rsidR="00F844E7">
              <w:rPr>
                <w:rFonts w:ascii="Garamond" w:hAnsi="Garamond"/>
                <w:sz w:val="22"/>
                <w:szCs w:val="22"/>
                <w:lang w:val="sq-AL"/>
              </w:rPr>
              <w:t>-2</w:t>
            </w:r>
            <w:r w:rsidR="006B3220">
              <w:rPr>
                <w:rFonts w:ascii="Garamond" w:hAnsi="Garamond"/>
                <w:sz w:val="22"/>
                <w:szCs w:val="22"/>
                <w:lang w:val="sq-AL"/>
              </w:rPr>
              <w:t>6</w:t>
            </w:r>
          </w:p>
        </w:tc>
      </w:tr>
      <w:tr w:rsidR="00983973" w:rsidRPr="008E1347" w14:paraId="49811F96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A1DA3F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6621" w:type="dxa"/>
            <w:gridSpan w:val="5"/>
          </w:tcPr>
          <w:p w14:paraId="433E564A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 + 2</w:t>
            </w:r>
          </w:p>
        </w:tc>
      </w:tr>
      <w:tr w:rsidR="00983973" w:rsidRPr="008E1347" w14:paraId="4677645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79A59B0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6621" w:type="dxa"/>
            <w:gridSpan w:val="5"/>
          </w:tcPr>
          <w:p w14:paraId="6138433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</w:p>
        </w:tc>
      </w:tr>
      <w:tr w:rsidR="00983973" w:rsidRPr="008E1347" w14:paraId="6670996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D50D21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6621" w:type="dxa"/>
            <w:gridSpan w:val="5"/>
          </w:tcPr>
          <w:p w14:paraId="5097B110" w14:textId="5284E0CA" w:rsidR="00F844E7" w:rsidRPr="001A176E" w:rsidRDefault="00090B7E" w:rsidP="00474BF4">
            <w:pPr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>Ligjëratat:</w:t>
            </w:r>
            <w:r w:rsidR="00433617">
              <w:rPr>
                <w:lang w:val="sq-AL"/>
              </w:rPr>
              <w:t xml:space="preserve"> E hënë</w:t>
            </w:r>
            <w:r w:rsidR="00756984" w:rsidRPr="00756984">
              <w:rPr>
                <w:b/>
                <w:bCs/>
                <w:lang w:val="sq-AL"/>
              </w:rPr>
              <w:t xml:space="preserve">: </w:t>
            </w:r>
            <w:r w:rsidR="00707BC7">
              <w:rPr>
                <w:b/>
                <w:bCs/>
                <w:lang w:val="sq-AL"/>
              </w:rPr>
              <w:t>11.30</w:t>
            </w:r>
            <w:r w:rsidR="00433617">
              <w:rPr>
                <w:b/>
                <w:bCs/>
                <w:lang w:val="sq-AL"/>
              </w:rPr>
              <w:t>-</w:t>
            </w:r>
            <w:r w:rsidR="00707BC7">
              <w:rPr>
                <w:b/>
                <w:bCs/>
                <w:lang w:val="sq-AL"/>
              </w:rPr>
              <w:t>13</w:t>
            </w:r>
            <w:r w:rsidR="00756984" w:rsidRPr="00756984">
              <w:rPr>
                <w:b/>
                <w:bCs/>
                <w:lang w:val="sq-AL"/>
              </w:rPr>
              <w:t xml:space="preserve"> me grupin e parë;</w:t>
            </w:r>
            <w:r>
              <w:rPr>
                <w:lang w:val="sq-AL"/>
              </w:rPr>
              <w:br/>
            </w:r>
            <w:r w:rsidR="00756984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                                 prej orës </w:t>
            </w:r>
            <w:r w:rsidR="00707BC7">
              <w:rPr>
                <w:rFonts w:ascii="Garamond" w:hAnsi="Garamond"/>
                <w:b/>
                <w:sz w:val="22"/>
                <w:szCs w:val="22"/>
                <w:lang w:val="sq-AL"/>
              </w:rPr>
              <w:t>13</w:t>
            </w:r>
            <w:r w:rsidR="00756984">
              <w:rPr>
                <w:rFonts w:ascii="Garamond" w:hAnsi="Garamond"/>
                <w:b/>
                <w:sz w:val="22"/>
                <w:szCs w:val="22"/>
                <w:lang w:val="sq-AL"/>
              </w:rPr>
              <w:t>-</w:t>
            </w:r>
            <w:r w:rsidR="00707BC7">
              <w:rPr>
                <w:rFonts w:ascii="Garamond" w:hAnsi="Garamond"/>
                <w:b/>
                <w:sz w:val="22"/>
                <w:szCs w:val="22"/>
                <w:lang w:val="sq-AL"/>
              </w:rPr>
              <w:t>14</w:t>
            </w:r>
            <w:r w:rsidR="00433617">
              <w:rPr>
                <w:rFonts w:ascii="Garamond" w:hAnsi="Garamond"/>
                <w:b/>
                <w:sz w:val="22"/>
                <w:szCs w:val="22"/>
                <w:lang w:val="sq-AL"/>
              </w:rPr>
              <w:t>.30</w:t>
            </w:r>
            <w:r w:rsidR="00756984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me grupin e dytë.</w:t>
            </w:r>
          </w:p>
        </w:tc>
      </w:tr>
      <w:tr w:rsidR="00983973" w:rsidRPr="008E1347" w14:paraId="01FD58C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8B95E5C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Mësimëdhënësi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6621" w:type="dxa"/>
            <w:gridSpan w:val="5"/>
          </w:tcPr>
          <w:p w14:paraId="3694B555" w14:textId="3FA16F86" w:rsidR="001A176E" w:rsidRPr="008E1347" w:rsidRDefault="007E2DC1" w:rsidP="00D50D7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Prof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..</w:t>
            </w:r>
            <w:proofErr w:type="spellStart"/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>A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ss.</w:t>
            </w:r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>Dr</w:t>
            </w:r>
            <w:proofErr w:type="spellEnd"/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>Faton</w:t>
            </w:r>
            <w:proofErr w:type="spellEnd"/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>Ismajli</w:t>
            </w:r>
            <w:proofErr w:type="spellEnd"/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 xml:space="preserve">, 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- </w:t>
            </w:r>
            <w:hyperlink r:id="rId7" w:history="1">
              <w:r w:rsidR="008B708A" w:rsidRPr="00B71ABB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faton.ismajli@uni-pr.edu</w:t>
              </w:r>
            </w:hyperlink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br/>
            </w:r>
            <w:r w:rsidR="002D68AF">
              <w:rPr>
                <w:rFonts w:ascii="Garamond" w:hAnsi="Garamond"/>
                <w:sz w:val="22"/>
                <w:szCs w:val="22"/>
                <w:lang w:val="sq-AL"/>
              </w:rPr>
              <w:t xml:space="preserve">Asistente: MA. </w:t>
            </w:r>
            <w:proofErr w:type="spellStart"/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>Arbenitë</w:t>
            </w:r>
            <w:proofErr w:type="spellEnd"/>
            <w:r w:rsidR="00433617">
              <w:rPr>
                <w:rFonts w:ascii="Garamond" w:hAnsi="Garamond"/>
                <w:sz w:val="22"/>
                <w:szCs w:val="22"/>
                <w:lang w:val="sq-AL"/>
              </w:rPr>
              <w:t xml:space="preserve"> Hoxha - </w:t>
            </w:r>
            <w:hyperlink r:id="rId8" w:history="1">
              <w:r w:rsidR="00433617" w:rsidRPr="00361365">
                <w:rPr>
                  <w:rStyle w:val="Hyperlink"/>
                  <w:rFonts w:ascii="Garamond" w:hAnsi="Garamond"/>
                  <w:sz w:val="22"/>
                  <w:szCs w:val="22"/>
                </w:rPr>
                <w:t>arbenita.hoxha@uni-pr.edu</w:t>
              </w:r>
            </w:hyperlink>
            <w:r w:rsidR="00433617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83973" w:rsidRPr="008E1347" w14:paraId="21B2336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F433DB4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6621" w:type="dxa"/>
            <w:gridSpan w:val="5"/>
          </w:tcPr>
          <w:p w14:paraId="127701D9" w14:textId="05BEF043" w:rsidR="00D50D7E" w:rsidRDefault="008F3EA3" w:rsidP="00C4013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E-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maili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për detyra: </w:t>
            </w:r>
            <w:hyperlink r:id="rId9" w:history="1">
              <w:r w:rsidRPr="00DF16D9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zhanre.gazetari@gmail.com</w:t>
              </w:r>
            </w:hyperlink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  <w:p w14:paraId="677C2C09" w14:textId="46D5C86E" w:rsidR="002D68AF" w:rsidRPr="008E1347" w:rsidRDefault="002D68AF" w:rsidP="00C4013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983973" w:rsidRPr="008E1347" w14:paraId="7B9D2BF9" w14:textId="77777777">
        <w:tc>
          <w:tcPr>
            <w:tcW w:w="8856" w:type="dxa"/>
            <w:gridSpan w:val="6"/>
            <w:shd w:val="clear" w:color="auto" w:fill="B8CCE4"/>
          </w:tcPr>
          <w:p w14:paraId="4C69FAF0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5247" w:type="dxa"/>
          </w:tcPr>
          <w:p w14:paraId="18CC95D8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983973" w:rsidRPr="008E1347" w14:paraId="32CC0757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7ACEB9D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621" w:type="dxa"/>
            <w:gridSpan w:val="5"/>
          </w:tcPr>
          <w:p w14:paraId="1FD7BF21" w14:textId="3F973BD1" w:rsidR="00983973" w:rsidRPr="008E1347" w:rsidRDefault="00C13ADB" w:rsidP="008E1347">
            <w:pPr>
              <w:pStyle w:val="NormalWeb"/>
              <w:spacing w:line="276" w:lineRule="auto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Në këtë lëndë studentët </w:t>
            </w:r>
            <w:r w:rsidR="00E43FDD">
              <w:rPr>
                <w:rFonts w:ascii="Garamond" w:hAnsi="Garamond"/>
                <w:sz w:val="22"/>
                <w:szCs w:val="22"/>
                <w:lang w:val="sq-AL"/>
              </w:rPr>
              <w:t>studiojnë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teorinë dhe praktikën për shumicën e llojeve të gazetarisë, duke filluar prej 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gazetarisë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tipizuar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baz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faktorëve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ndrysh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m, si medium, koha e botimit 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tj. Pjesa kryesore e kursit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trajton zhanrin e tekstit gazetar, me përqendrim te zhanri informativ.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Teoria e zhanrit përqendrohet te dy faktor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themelor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: qëllimi përmbajtjesor i tekstit dhe struktura e tekstit.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Secili zhanër i ka edhe nënndarjet dhe studentët 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>studiojnë aspektet teorike dhe praktike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për secilin lloj dhe nënlloj të zhanrit gazetar.</w:t>
            </w:r>
          </w:p>
        </w:tc>
      </w:tr>
      <w:tr w:rsidR="00983973" w:rsidRPr="008E1347" w14:paraId="745B439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84270D7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621" w:type="dxa"/>
            <w:gridSpan w:val="5"/>
          </w:tcPr>
          <w:p w14:paraId="07EFD8F4" w14:textId="77777777" w:rsidR="008E1347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Ligjërimi i kësaj lënde ka për qëllim që studentëve të vitit të pare t’u japë njohuritë bazike për ndarjet tipologjike të gazetarisë, për nocionet që lidhen me këtë fushë, për zhanret e gazetarisë, për llojet e nënllojet e 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tekstit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gazetar;</w:t>
            </w:r>
          </w:p>
          <w:p w14:paraId="1762AAE3" w14:textId="62338F32" w:rsidR="00FD679D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t’i aftësojë ata për të </w:t>
            </w:r>
            <w:r w:rsidR="008B708A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shkruar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cilindo nga llojet apo nënllojet e shkrimit gazetar, për lidhjen e shkrimit gazetar me atë letrar dhe me metodologjinë shkencore të hulumtimit; t’u japë dijen e duhur dhe t’u krijojë shkathtësinë e nevojshme për të mbledhë informacionin, për ta përpunuar atë dhe për të krijuar prej tyre formën e dëshiruar të shkrimit gazetar; t’ua bëjë të njohur ndikimin e gazetarisë, në veçanti të zhanreve të saja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në rrethe të caktuara shoqërore; po ashtu, programi i kësaj lënde ka për qëllim aftësimin e studentëve në mënyrë që ata të bartin përvojat e fituara edhe te të tjerët.</w:t>
            </w:r>
          </w:p>
          <w:p w14:paraId="3F427A51" w14:textId="77777777" w:rsidR="00983973" w:rsidRPr="008E1347" w:rsidRDefault="00983973" w:rsidP="00C4013E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571C85E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C3C498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621" w:type="dxa"/>
            <w:gridSpan w:val="5"/>
          </w:tcPr>
          <w:p w14:paraId="5FDE7678" w14:textId="77777777" w:rsidR="008E1347" w:rsidRDefault="008E1347" w:rsidP="008E1347">
            <w:p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Studenti:</w:t>
            </w:r>
          </w:p>
          <w:p w14:paraId="7473C81C" w14:textId="77777777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kupton tipologjinë e gazetarisë në shumë forma, por veçanërisht tipologjinë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zhanrore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Ai përvetëson nocionet themelore të zhanreve të gazetarisë. Kupton dallimet themelore midis gazetarisë informative, gazetarisë analitike dhe gazetarisë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letrare (publicistikës);</w:t>
            </w:r>
          </w:p>
          <w:p w14:paraId="18D0D74E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Kupton se secili tekst gazetar ka nj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zhanër, i cili mund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deshifrohet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se e zb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rthejm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qëllimin përmbajtjesor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dhe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strukturën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e atij teksti;</w:t>
            </w:r>
          </w:p>
          <w:p w14:paraId="1EE08C00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to dy parime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studenti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mësohet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dalloj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zhanrin e tekstit gazetar dhe tri llojet kryesore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këtij zhanri: zhanri informativ, zhanri analitik dhe zhanri publicistik;</w:t>
            </w:r>
          </w:p>
          <w:p w14:paraId="2767AC7A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>Studenti kupton dhe dallon edhe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-n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darjet e mëtejme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zhanrore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: llojin dhe nënllojin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zhanret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;</w:t>
            </w:r>
          </w:p>
          <w:p w14:paraId="4F507AF1" w14:textId="73FC41C4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to dy parime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gazetar, studenti 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son teorikisht dhe praktikish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>t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lajmin, raportin, intervist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n, komentin,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editorialin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dhe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kolumn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proofErr w:type="spellEnd"/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dhe llojet tjera gazetare.</w:t>
            </w:r>
          </w:p>
          <w:p w14:paraId="5D895959" w14:textId="5C201BED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Mëson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lajmin dhe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raportin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shkruhe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cil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>i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qëllimi përmbajtjesor dhe struktura </w:t>
            </w:r>
            <w:proofErr w:type="spellStart"/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tekstore</w:t>
            </w:r>
            <w:proofErr w:type="spellEnd"/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tyre etj.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Kupton llojet e ndryshme të raportit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dhe dallimet në shkrimin e tyre;</w:t>
            </w:r>
          </w:p>
          <w:p w14:paraId="79359773" w14:textId="56DC3E78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Përfundimisht studenti aftësohet të dallojë, edhe në bazë të rregullave teorike po edhe në praktikë, secilin lloj gazetar nga tërësia e llojeve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zhanrore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dhe duhet të aftësohet të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secilin lloj gazetar. Ai përvetëson teknikën e shkrimit të llojeve të ndryshme gazetar, strukturën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tekstore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dhe përmbajtjesore të secilit lloj, gjuhën e llojit, përdorimin e burimeve të lajmit dhe të burimeve të tjera informative dhe kontekstin kur përdoret një lloj gazetar.</w:t>
            </w:r>
          </w:p>
          <w:p w14:paraId="18001B1A" w14:textId="77777777" w:rsidR="00983973" w:rsidRPr="008E1347" w:rsidRDefault="00983973" w:rsidP="00FD679D">
            <w:pPr>
              <w:pStyle w:val="ListParagraph"/>
              <w:spacing w:after="0"/>
              <w:ind w:left="295"/>
              <w:rPr>
                <w:rFonts w:ascii="Garamond" w:hAnsi="Garamond"/>
                <w:i/>
              </w:rPr>
            </w:pPr>
          </w:p>
        </w:tc>
      </w:tr>
      <w:tr w:rsidR="00983973" w:rsidRPr="008E1347" w14:paraId="26F4D570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7C4966A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B287DD7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19ACF465" w14:textId="77777777" w:rsidR="00983973" w:rsidRPr="008E1347" w:rsidRDefault="00983973" w:rsidP="00583A9E">
            <w:pPr>
              <w:pStyle w:val="NoSpacing"/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nё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583A9E" w:rsidRPr="008E1347">
              <w:rPr>
                <w:rFonts w:ascii="Garamond" w:hAnsi="Garamond"/>
                <w:sz w:val="22"/>
                <w:szCs w:val="22"/>
                <w:lang w:val="sq-AL"/>
              </w:rPr>
              <w:t>ngarkesën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e studentit (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duhet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tё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korrespondoj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me rezultatet e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tё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nxёnit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tё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983973" w:rsidRPr="008E1347" w14:paraId="67E6450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7B706EF4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35D7C48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4759086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D3651A0" w14:textId="77777777" w:rsidR="00983973" w:rsidRPr="008E1347" w:rsidRDefault="00B036A5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Gjithsej</w:t>
            </w:r>
          </w:p>
        </w:tc>
      </w:tr>
      <w:tr w:rsidR="00983973" w:rsidRPr="008E1347" w14:paraId="49B55A5D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7F24E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73FE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B6360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C0276D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6864ABC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D586C7D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6D4EB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32F9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4255CC4" w14:textId="77777777" w:rsidR="00983973" w:rsidRPr="008E1347" w:rsidRDefault="006A1D8D" w:rsidP="006A1D8D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4670C3A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91F1D07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97BA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min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3F24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C5510C2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137FCEB8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F0EF4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3BEC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9E52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57F5D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</w:tr>
      <w:tr w:rsidR="00983973" w:rsidRPr="008E1347" w14:paraId="47712A9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92A1B7F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DA8E2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4C67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6E66F9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75130F7C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B7B84F2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vetanak</w:t>
            </w:r>
            <w:proofErr w:type="spellEnd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82A8E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55FFA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EFE439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4</w:t>
            </w:r>
            <w:r w:rsidR="00AB7083"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2CDF02E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745EB66" w14:textId="05B24A9E" w:rsidR="00983973" w:rsidRPr="008E1347" w:rsidRDefault="003D7B4D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Përgatitja</w:t>
            </w:r>
            <w:r w:rsidR="00983973"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4A2DD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8C70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4887A71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937113A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183F837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teste,kuiz,provim</w:t>
            </w:r>
            <w:proofErr w:type="spellEnd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63835" w14:textId="77777777" w:rsidR="00983973" w:rsidRPr="008E1347" w:rsidRDefault="006A1D8D" w:rsidP="00E26153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74E7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CA76AA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  <w:r w:rsidR="006A1D8D">
              <w:rPr>
                <w:rFonts w:ascii="Garamond" w:hAnsi="Garamond"/>
                <w:sz w:val="22"/>
                <w:szCs w:val="22"/>
                <w:lang w:val="sq-AL"/>
              </w:rPr>
              <w:t>0</w:t>
            </w:r>
          </w:p>
        </w:tc>
      </w:tr>
      <w:tr w:rsidR="00983973" w:rsidRPr="008E1347" w14:paraId="37FBED7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09CC420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Projektet,prezentimet</w:t>
            </w:r>
            <w:proofErr w:type="spellEnd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etj</w:t>
            </w:r>
            <w:proofErr w:type="spellEnd"/>
          </w:p>
          <w:p w14:paraId="091CC23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463FF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EC33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04E5411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</w:tr>
      <w:tr w:rsidR="00983973" w:rsidRPr="008E1347" w14:paraId="51A2AE3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56D1A72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Totali </w:t>
            </w:r>
          </w:p>
          <w:p w14:paraId="440744FC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EE570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8CAAF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6869067" w14:textId="77777777" w:rsidR="00983973" w:rsidRPr="008E1347" w:rsidRDefault="00C4013E" w:rsidP="00C4013E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96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orë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= 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ECTS</w:t>
            </w:r>
          </w:p>
          <w:p w14:paraId="335EA9BE" w14:textId="77777777" w:rsidR="00983973" w:rsidRPr="008E1347" w:rsidRDefault="00E26153" w:rsidP="00E2615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(196</w:t>
            </w:r>
            <w:r w:rsidR="00C4013E" w:rsidRPr="008E1347">
              <w:rPr>
                <w:rFonts w:ascii="Garamond" w:hAnsi="Garamond"/>
                <w:sz w:val="22"/>
                <w:szCs w:val="22"/>
                <w:lang w:val="sq-AL"/>
              </w:rPr>
              <w:t>:25=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7.84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</w:p>
        </w:tc>
      </w:tr>
      <w:tr w:rsidR="00983973" w:rsidRPr="008E1347" w14:paraId="7DBCB67F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69019BA3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</w:tr>
      <w:tr w:rsidR="00983973" w:rsidRPr="008E1347" w14:paraId="46ECA2A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4BB210C2" w14:textId="66786F64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Metodologjia e </w:t>
            </w:r>
            <w:r w:rsidR="009F0183" w:rsidRPr="008E1347">
              <w:rPr>
                <w:rFonts w:ascii="Garamond" w:hAnsi="Garamond"/>
                <w:sz w:val="22"/>
                <w:szCs w:val="22"/>
                <w:lang w:val="sq-AL"/>
              </w:rPr>
              <w:t>mësimdhënies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96" w:type="dxa"/>
            <w:gridSpan w:val="4"/>
          </w:tcPr>
          <w:p w14:paraId="0939CE9A" w14:textId="6EE7FA48" w:rsidR="00983973" w:rsidRDefault="00983973" w:rsidP="009A0757">
            <w:pPr>
              <w:numPr>
                <w:ilvl w:val="12"/>
                <w:numId w:val="0"/>
              </w:numPr>
              <w:ind w:left="288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-ligjërata</w:t>
            </w:r>
          </w:p>
          <w:p w14:paraId="49147428" w14:textId="77777777" w:rsidR="00AE4F5E" w:rsidRDefault="00983973" w:rsidP="00AE4F5E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-ushtrime</w:t>
            </w:r>
          </w:p>
          <w:p w14:paraId="543E3F33" w14:textId="77777777" w:rsidR="00FC07B9" w:rsidRDefault="00FC07B9" w:rsidP="00FC07B9">
            <w:pPr>
              <w:numPr>
                <w:ilvl w:val="12"/>
                <w:numId w:val="0"/>
              </w:numPr>
              <w:ind w:left="288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-test</w:t>
            </w:r>
          </w:p>
          <w:p w14:paraId="64BD22CB" w14:textId="1CB6EAE3" w:rsidR="00983973" w:rsidRPr="008E1347" w:rsidRDefault="00983973" w:rsidP="00FA2BB1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2D5461FF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7F28E9DC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6196" w:type="dxa"/>
            <w:gridSpan w:val="4"/>
          </w:tcPr>
          <w:p w14:paraId="5FA08D2A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289651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19403008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196" w:type="dxa"/>
            <w:gridSpan w:val="4"/>
          </w:tcPr>
          <w:p w14:paraId="4E7F65D1" w14:textId="3ED4E762" w:rsidR="00F844E7" w:rsidRPr="008E1347" w:rsidRDefault="00F844E7" w:rsidP="00F844E7">
            <w:pPr>
              <w:tabs>
                <w:tab w:val="left" w:pos="1003"/>
                <w:tab w:val="left" w:pos="1093"/>
              </w:tabs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Detyrat e shtëpisë</w:t>
            </w:r>
            <w:r w:rsidR="007F0C55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r w:rsidR="007F0C55"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1-2</w:t>
            </w:r>
            <w:r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0 pikë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145CEF4C" w14:textId="3C58C74A" w:rsidR="00F844E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Viji</w:t>
            </w:r>
            <w:r w:rsidR="007F0C55">
              <w:rPr>
                <w:rFonts w:ascii="Garamond" w:hAnsi="Garamond"/>
                <w:sz w:val="22"/>
                <w:szCs w:val="22"/>
                <w:lang w:val="sq-AL"/>
              </w:rPr>
              <w:t>mi i rregullt dhe aktiviteti në klasë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r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1-10 pikë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  <w:p w14:paraId="6782CD73" w14:textId="79D1930E" w:rsidR="00F26271" w:rsidRDefault="00F26271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Testi vlerësues – </w:t>
            </w:r>
            <w:r w:rsidR="00BE7236">
              <w:rPr>
                <w:rFonts w:ascii="Garamond" w:hAnsi="Garamond"/>
                <w:sz w:val="22"/>
                <w:szCs w:val="22"/>
                <w:lang w:val="sq-AL"/>
              </w:rPr>
              <w:t>1-</w:t>
            </w:r>
            <w:r w:rsidR="009376A2">
              <w:rPr>
                <w:rFonts w:ascii="Garamond" w:hAnsi="Garamond"/>
                <w:sz w:val="22"/>
                <w:szCs w:val="22"/>
                <w:lang w:val="sq-AL"/>
              </w:rPr>
              <w:t>25</w:t>
            </w:r>
            <w:r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pikë</w:t>
            </w:r>
          </w:p>
          <w:p w14:paraId="4C550549" w14:textId="3757FFE9" w:rsidR="00F844E7" w:rsidRPr="008E1347" w:rsidRDefault="000F19B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Provimi final</w:t>
            </w:r>
            <w:r w:rsidR="00F844E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r w:rsidR="003E783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</w:t>
            </w:r>
            <w:r w:rsidR="00F658C2" w:rsidRPr="00926CAE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-</w:t>
            </w:r>
            <w:r w:rsidR="003E783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4</w:t>
            </w:r>
            <w:r w:rsidR="009376A2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5</w:t>
            </w:r>
            <w:r w:rsidR="00F844E7" w:rsidRPr="00926CAE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pikë</w:t>
            </w:r>
            <w:r w:rsidR="00F844E7"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6794BC75" w14:textId="1809AA45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Totali: </w:t>
            </w:r>
            <w:r w:rsidRPr="00F6079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100 pikë.</w:t>
            </w:r>
            <w:r w:rsidR="007640B0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(20+10+25+45)</w:t>
            </w:r>
          </w:p>
          <w:p w14:paraId="500EB7A2" w14:textId="7C03A651" w:rsidR="00F844E7" w:rsidRPr="008E1347" w:rsidRDefault="00F844E7" w:rsidP="00725185">
            <w:pPr>
              <w:ind w:right="180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Vlerat e pikëve: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0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59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6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  <w:t>60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69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7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  <w:t>70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79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8/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  <w:t>80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t>89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9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="00725185">
              <w:rPr>
                <w:rFonts w:ascii="Garamond" w:hAnsi="Garamond"/>
                <w:sz w:val="22"/>
                <w:szCs w:val="22"/>
                <w:lang w:val="sq-AL"/>
              </w:rPr>
              <w:br/>
              <w:t>90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100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= 10</w:t>
            </w:r>
          </w:p>
          <w:p w14:paraId="5FA7A79A" w14:textId="77777777" w:rsidR="00F844E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>Pikët nën 50 nuk mbërrijnë notën kaluese.</w:t>
            </w:r>
          </w:p>
          <w:p w14:paraId="3DD5B269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b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>Provimi:</w:t>
            </w:r>
          </w:p>
          <w:p w14:paraId="4A2A3C76" w14:textId="54EEA5C0" w:rsidR="00F844E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Detyrat e shtëpisë kryhen çdo jave dhe vlerëson me pike.</w:t>
            </w:r>
          </w:p>
          <w:p w14:paraId="2C5464E0" w14:textId="636B65ED" w:rsidR="00F844E7" w:rsidRPr="008E134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Vlerësimi i fundit bëhet përmes pyetjeve e përgjigjeve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me shkrim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 xml:space="preserve"> që përfshinë aspektin teorik dhe praktik të lëndës.</w:t>
            </w:r>
          </w:p>
          <w:p w14:paraId="3CAEA1FE" w14:textId="77777777" w:rsidR="00983973" w:rsidRPr="008E1347" w:rsidRDefault="00983973" w:rsidP="009A0757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330CC09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3BF7F8B3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 xml:space="preserve">Literatura </w:t>
            </w:r>
          </w:p>
        </w:tc>
      </w:tr>
      <w:tr w:rsidR="00983973" w:rsidRPr="008E1347" w14:paraId="3E36A861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0B4571B2" w14:textId="77777777" w:rsidR="00983973" w:rsidRPr="008E1347" w:rsidRDefault="00983973" w:rsidP="00E122BC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6196" w:type="dxa"/>
            <w:gridSpan w:val="4"/>
          </w:tcPr>
          <w:p w14:paraId="0E35AB6B" w14:textId="77777777" w:rsidR="00A84103" w:rsidRPr="00A84103" w:rsidRDefault="00C13ADB" w:rsidP="00A841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A84103">
              <w:rPr>
                <w:bCs/>
                <w:iCs/>
              </w:rPr>
              <w:t xml:space="preserve">Dr. Bajram </w:t>
            </w:r>
            <w:proofErr w:type="spellStart"/>
            <w:r w:rsidRPr="00A84103">
              <w:rPr>
                <w:bCs/>
                <w:iCs/>
              </w:rPr>
              <w:t>Kosumi</w:t>
            </w:r>
            <w:proofErr w:type="spellEnd"/>
            <w:r w:rsidRPr="00A84103">
              <w:rPr>
                <w:bCs/>
                <w:iCs/>
              </w:rPr>
              <w:t xml:space="preserve">, </w:t>
            </w:r>
            <w:r w:rsidRPr="00A84103">
              <w:rPr>
                <w:b/>
                <w:bCs/>
                <w:i/>
                <w:iCs/>
              </w:rPr>
              <w:t>Zhanret e gazeta</w:t>
            </w:r>
            <w:r w:rsidRPr="00A84103">
              <w:rPr>
                <w:bCs/>
                <w:i/>
                <w:iCs/>
              </w:rPr>
              <w:t>risë</w:t>
            </w:r>
            <w:r w:rsidRPr="00A84103">
              <w:rPr>
                <w:bCs/>
                <w:iCs/>
              </w:rPr>
              <w:t xml:space="preserve"> </w:t>
            </w:r>
            <w:r w:rsidR="00C04A73" w:rsidRPr="00A84103">
              <w:rPr>
                <w:bCs/>
                <w:iCs/>
              </w:rPr>
              <w:t>, UBT, 2016.</w:t>
            </w:r>
          </w:p>
          <w:p w14:paraId="340B6DA0" w14:textId="1349B32E" w:rsidR="003E7833" w:rsidRPr="003E7833" w:rsidRDefault="007E2DC1" w:rsidP="00F17DB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r w:rsidRPr="003E7833">
              <w:rPr>
                <w:bCs/>
                <w:iCs/>
              </w:rPr>
              <w:t>Missouri</w:t>
            </w:r>
            <w:proofErr w:type="spellEnd"/>
            <w:r w:rsidRPr="003E7833">
              <w:rPr>
                <w:bCs/>
                <w:iCs/>
              </w:rPr>
              <w:t xml:space="preserve"> </w:t>
            </w:r>
            <w:proofErr w:type="spellStart"/>
            <w:r w:rsidRPr="003E7833">
              <w:rPr>
                <w:bCs/>
                <w:iCs/>
              </w:rPr>
              <w:t>Group</w:t>
            </w:r>
            <w:proofErr w:type="spellEnd"/>
            <w:r w:rsidRPr="003E7833">
              <w:rPr>
                <w:bCs/>
                <w:iCs/>
              </w:rPr>
              <w:t>,</w:t>
            </w:r>
            <w:r w:rsidRPr="003E7833">
              <w:rPr>
                <w:bCs/>
                <w:i/>
                <w:iCs/>
              </w:rPr>
              <w:t xml:space="preserve"> </w:t>
            </w:r>
            <w:r w:rsidRPr="003E7833">
              <w:rPr>
                <w:b/>
                <w:bCs/>
                <w:i/>
                <w:iCs/>
              </w:rPr>
              <w:t>Raportimi dhe shkrimi i lajmeve</w:t>
            </w:r>
            <w:r w:rsidRPr="003E7833">
              <w:rPr>
                <w:bCs/>
                <w:i/>
                <w:iCs/>
              </w:rPr>
              <w:t>, B</w:t>
            </w:r>
            <w:r w:rsidR="00A84103" w:rsidRPr="003E7833">
              <w:rPr>
                <w:bCs/>
                <w:i/>
                <w:iCs/>
              </w:rPr>
              <w:t>o</w:t>
            </w:r>
            <w:r w:rsidRPr="003E7833">
              <w:rPr>
                <w:bCs/>
                <w:i/>
                <w:iCs/>
              </w:rPr>
              <w:t>timet</w:t>
            </w:r>
            <w:r w:rsidR="00C60C7F" w:rsidRPr="003E7833">
              <w:rPr>
                <w:bCs/>
                <w:i/>
                <w:iCs/>
              </w:rPr>
              <w:t xml:space="preserve"> </w:t>
            </w:r>
            <w:r w:rsidRPr="003E7833">
              <w:rPr>
                <w:bCs/>
                <w:i/>
                <w:iCs/>
              </w:rPr>
              <w:t>IDK, 2010</w:t>
            </w:r>
            <w:r w:rsidR="003E7833">
              <w:rPr>
                <w:bCs/>
                <w:i/>
                <w:iCs/>
              </w:rPr>
              <w:t xml:space="preserve"> (Disa kapituj)</w:t>
            </w:r>
          </w:p>
          <w:p w14:paraId="0227716A" w14:textId="0D6B9C1E" w:rsidR="007E2DC1" w:rsidRPr="00AE799E" w:rsidRDefault="007E2DC1" w:rsidP="00AE799E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983973" w:rsidRPr="008E1347" w14:paraId="7FB0516E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51E665E9" w14:textId="77777777" w:rsidR="00983973" w:rsidRPr="008E1347" w:rsidRDefault="00983973" w:rsidP="009E7046">
            <w:pPr>
              <w:rPr>
                <w:lang w:val="sq-AL"/>
              </w:rPr>
            </w:pPr>
            <w:r w:rsidRPr="008E1347">
              <w:rPr>
                <w:lang w:val="sq-AL"/>
              </w:rPr>
              <w:t xml:space="preserve">Literatura shtesë:  </w:t>
            </w:r>
          </w:p>
        </w:tc>
        <w:tc>
          <w:tcPr>
            <w:tcW w:w="6196" w:type="dxa"/>
            <w:gridSpan w:val="4"/>
          </w:tcPr>
          <w:p w14:paraId="3189CD8E" w14:textId="5F64040B" w:rsidR="00724344" w:rsidRPr="00AE799E" w:rsidRDefault="003E7833" w:rsidP="00AE799E">
            <w:pPr>
              <w:rPr>
                <w:rStyle w:val="Emphasis"/>
                <w:bCs/>
                <w:i w:val="0"/>
              </w:rPr>
            </w:pPr>
            <w:r>
              <w:rPr>
                <w:rStyle w:val="Emphasis"/>
              </w:rPr>
              <w:t>3</w:t>
            </w:r>
            <w:r w:rsidR="00474BF4" w:rsidRPr="00AE799E">
              <w:rPr>
                <w:rStyle w:val="Emphasis"/>
              </w:rPr>
              <w:t xml:space="preserve">. </w:t>
            </w:r>
            <w:r w:rsidR="00724344" w:rsidRPr="00AE799E">
              <w:rPr>
                <w:rStyle w:val="Emphasis"/>
              </w:rPr>
              <w:t xml:space="preserve"> </w:t>
            </w:r>
            <w:r w:rsidR="009E7046" w:rsidRPr="00AE799E">
              <w:rPr>
                <w:rStyle w:val="Emphasis"/>
              </w:rPr>
              <w:t xml:space="preserve">Melvin Mencher, </w:t>
            </w:r>
            <w:proofErr w:type="spellStart"/>
            <w:r w:rsidR="009E7046" w:rsidRPr="00AE799E">
              <w:rPr>
                <w:rStyle w:val="Emphasis"/>
                <w:b/>
              </w:rPr>
              <w:t>Raportimi</w:t>
            </w:r>
            <w:proofErr w:type="spellEnd"/>
            <w:r w:rsidR="009E7046" w:rsidRPr="00AE799E">
              <w:rPr>
                <w:rStyle w:val="Emphasis"/>
                <w:b/>
              </w:rPr>
              <w:t xml:space="preserve"> </w:t>
            </w:r>
            <w:proofErr w:type="spellStart"/>
            <w:r w:rsidR="009E7046" w:rsidRPr="00AE799E">
              <w:rPr>
                <w:rStyle w:val="Emphasis"/>
                <w:b/>
              </w:rPr>
              <w:t>dhe</w:t>
            </w:r>
            <w:proofErr w:type="spellEnd"/>
            <w:r w:rsidR="009E7046" w:rsidRPr="00AE799E">
              <w:rPr>
                <w:rStyle w:val="Emphasis"/>
                <w:b/>
              </w:rPr>
              <w:t xml:space="preserve"> </w:t>
            </w:r>
            <w:proofErr w:type="spellStart"/>
            <w:r w:rsidR="009E7046" w:rsidRPr="00AE799E">
              <w:rPr>
                <w:rStyle w:val="Emphasis"/>
                <w:b/>
              </w:rPr>
              <w:t>shkrimi</w:t>
            </w:r>
            <w:proofErr w:type="spellEnd"/>
            <w:r w:rsidR="009E7046" w:rsidRPr="00AE799E">
              <w:rPr>
                <w:rStyle w:val="Emphasis"/>
                <w:b/>
              </w:rPr>
              <w:t xml:space="preserve"> </w:t>
            </w:r>
            <w:proofErr w:type="spellStart"/>
            <w:r w:rsidR="009E7046" w:rsidRPr="00AE799E">
              <w:rPr>
                <w:rStyle w:val="Emphasis"/>
                <w:b/>
              </w:rPr>
              <w:t>i</w:t>
            </w:r>
            <w:proofErr w:type="spellEnd"/>
            <w:r w:rsidR="009E7046" w:rsidRPr="00AE799E">
              <w:rPr>
                <w:rStyle w:val="Emphasis"/>
                <w:b/>
              </w:rPr>
              <w:t xml:space="preserve"> </w:t>
            </w:r>
            <w:proofErr w:type="spellStart"/>
            <w:r w:rsidR="009E7046" w:rsidRPr="00AE799E">
              <w:rPr>
                <w:rStyle w:val="Emphasis"/>
                <w:b/>
              </w:rPr>
              <w:t>lajmit</w:t>
            </w:r>
            <w:proofErr w:type="spellEnd"/>
            <w:r w:rsidR="009E7046" w:rsidRPr="00AE799E">
              <w:rPr>
                <w:rStyle w:val="Emphasis"/>
              </w:rPr>
              <w:t xml:space="preserve">, </w:t>
            </w:r>
            <w:proofErr w:type="spellStart"/>
            <w:r w:rsidR="009E7046" w:rsidRPr="00AE799E">
              <w:rPr>
                <w:rStyle w:val="Emphasis"/>
              </w:rPr>
              <w:t>Tiranë</w:t>
            </w:r>
            <w:proofErr w:type="spellEnd"/>
            <w:r w:rsidR="009E7046" w:rsidRPr="00AE799E">
              <w:rPr>
                <w:rStyle w:val="Emphasis"/>
              </w:rPr>
              <w:t xml:space="preserve"> 1998</w:t>
            </w:r>
          </w:p>
          <w:p w14:paraId="2A49CD9A" w14:textId="77777777" w:rsidR="007E2DC1" w:rsidRDefault="003E7833" w:rsidP="00AE799E">
            <w:pPr>
              <w:rPr>
                <w:bCs/>
                <w:iCs/>
              </w:rPr>
            </w:pPr>
            <w:r>
              <w:rPr>
                <w:rStyle w:val="Emphasis"/>
              </w:rPr>
              <w:t>4</w:t>
            </w:r>
            <w:r w:rsidR="00474BF4" w:rsidRPr="00AE799E">
              <w:rPr>
                <w:rStyle w:val="Emphasis"/>
              </w:rPr>
              <w:t>.</w:t>
            </w:r>
            <w:r w:rsidR="00FA2BB1" w:rsidRPr="00AE799E">
              <w:rPr>
                <w:bCs/>
                <w:i/>
                <w:iCs/>
              </w:rPr>
              <w:t xml:space="preserve"> D</w:t>
            </w:r>
            <w:r w:rsidR="00FA2BB1" w:rsidRPr="00AE799E">
              <w:rPr>
                <w:bCs/>
                <w:iCs/>
              </w:rPr>
              <w:t xml:space="preserve">avid Randall, </w:t>
            </w:r>
            <w:proofErr w:type="spellStart"/>
            <w:r w:rsidR="00FA2BB1" w:rsidRPr="00AE799E">
              <w:rPr>
                <w:b/>
                <w:bCs/>
                <w:iCs/>
              </w:rPr>
              <w:t>Gazetari</w:t>
            </w:r>
            <w:proofErr w:type="spellEnd"/>
            <w:r w:rsidR="00FA2BB1" w:rsidRPr="00AE799E">
              <w:rPr>
                <w:b/>
                <w:bCs/>
                <w:iCs/>
              </w:rPr>
              <w:t xml:space="preserve"> universal</w:t>
            </w:r>
            <w:r w:rsidR="00FA2BB1" w:rsidRPr="00AE799E">
              <w:rPr>
                <w:bCs/>
                <w:iCs/>
              </w:rPr>
              <w:t>, ISHM, 2003.</w:t>
            </w:r>
          </w:p>
          <w:p w14:paraId="5330516B" w14:textId="1C9E8EC9" w:rsidR="003E7833" w:rsidRPr="00AE799E" w:rsidRDefault="003E7833" w:rsidP="00AE799E">
            <w:pPr>
              <w:rPr>
                <w:bCs/>
                <w:iCs/>
              </w:rPr>
            </w:pPr>
          </w:p>
        </w:tc>
      </w:tr>
    </w:tbl>
    <w:p w14:paraId="2A30E7D1" w14:textId="77777777" w:rsidR="0011167E" w:rsidRPr="008E1347" w:rsidRDefault="0011167E" w:rsidP="0011167E">
      <w:pPr>
        <w:rPr>
          <w:rFonts w:ascii="Garamond" w:hAnsi="Garamond"/>
          <w:vanish/>
          <w:sz w:val="22"/>
          <w:szCs w:val="22"/>
          <w:lang w:val="sq-AL"/>
        </w:rPr>
      </w:pPr>
    </w:p>
    <w:p w14:paraId="313A0455" w14:textId="77777777" w:rsidR="00CF116F" w:rsidRPr="008E1347" w:rsidRDefault="00CF116F" w:rsidP="00D67209">
      <w:pPr>
        <w:pStyle w:val="NoSpacing"/>
        <w:rPr>
          <w:rFonts w:ascii="Garamond" w:hAnsi="Garamond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8E1347" w14:paraId="37D15FAA" w14:textId="77777777">
        <w:tc>
          <w:tcPr>
            <w:tcW w:w="8856" w:type="dxa"/>
            <w:shd w:val="clear" w:color="auto" w:fill="B8CCE4"/>
          </w:tcPr>
          <w:p w14:paraId="19C50EB1" w14:textId="77777777" w:rsidR="00CF116F" w:rsidRPr="008E1347" w:rsidRDefault="00CF116F" w:rsidP="007E6202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CF116F" w:rsidRPr="008E1347" w14:paraId="43CEAD8C" w14:textId="77777777">
        <w:trPr>
          <w:trHeight w:val="1088"/>
        </w:trPr>
        <w:tc>
          <w:tcPr>
            <w:tcW w:w="8856" w:type="dxa"/>
          </w:tcPr>
          <w:p w14:paraId="764FBB8B" w14:textId="092DB637" w:rsidR="00CF116F" w:rsidRPr="008E1347" w:rsidRDefault="00606C26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Studenti është i obliguar të vijojë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ligjërata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dhe ushtrime,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nëse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studenti nuk vijon mësimin me rr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egull (mungon më shumë se tri he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ë nuk mund të hyjë në provim</w:t>
            </w:r>
            <w:r w:rsidR="00AE799E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Plagjia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tura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në provime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 xml:space="preserve"> e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dënueshme; studenti merr note negative.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Vlejnë kodi e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mirësjelljes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për studentët ashtu edhe për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mësimdhënësin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6BDACBF0" w14:textId="77777777" w:rsidR="006F116D" w:rsidRPr="008E1347" w:rsidRDefault="006F116D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6973"/>
      </w:tblGrid>
      <w:tr w:rsidR="008C021D" w:rsidRPr="008E1347" w14:paraId="63F3A629" w14:textId="77777777" w:rsidTr="00FA2BB1">
        <w:tc>
          <w:tcPr>
            <w:tcW w:w="8630" w:type="dxa"/>
            <w:gridSpan w:val="2"/>
            <w:shd w:val="clear" w:color="auto" w:fill="B8CCE4"/>
          </w:tcPr>
          <w:p w14:paraId="6AE4BB5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Plani i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dizajnuar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8C021D" w:rsidRPr="008E1347" w14:paraId="75223FFD" w14:textId="77777777" w:rsidTr="00FA2BB1">
        <w:tc>
          <w:tcPr>
            <w:tcW w:w="1657" w:type="dxa"/>
            <w:shd w:val="clear" w:color="auto" w:fill="B8CCE4"/>
          </w:tcPr>
          <w:p w14:paraId="153A5D8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Java</w:t>
            </w:r>
          </w:p>
        </w:tc>
        <w:tc>
          <w:tcPr>
            <w:tcW w:w="6973" w:type="dxa"/>
            <w:shd w:val="clear" w:color="auto" w:fill="B8CCE4"/>
          </w:tcPr>
          <w:p w14:paraId="7B227CFF" w14:textId="29F367D6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Ligjërata që do të zhvillohe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n:</w:t>
            </w:r>
          </w:p>
        </w:tc>
      </w:tr>
      <w:tr w:rsidR="008C021D" w:rsidRPr="008E1347" w14:paraId="6E44234B" w14:textId="77777777" w:rsidTr="00FA2BB1">
        <w:tc>
          <w:tcPr>
            <w:tcW w:w="1657" w:type="dxa"/>
          </w:tcPr>
          <w:p w14:paraId="3DFDC8C4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973" w:type="dxa"/>
          </w:tcPr>
          <w:p w14:paraId="4C0BEAC8" w14:textId="77777777" w:rsidR="00C04A73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Njoftim me studentët. Njoftim me </w:t>
            </w:r>
            <w:proofErr w:type="spellStart"/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Syllabusin</w:t>
            </w:r>
            <w:proofErr w:type="spellEnd"/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. Njoftim i studentëve </w:t>
            </w:r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me 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rolin e gazetarisë në shoqërinë moderne.</w:t>
            </w:r>
          </w:p>
          <w:p w14:paraId="003AE3DC" w14:textId="77777777" w:rsidR="008C021D" w:rsidRPr="008E1347" w:rsidRDefault="00C04A73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Çështje të nocioneve themelore të gazetarisë dhe të zhanreve gazetare. </w:t>
            </w:r>
          </w:p>
        </w:tc>
      </w:tr>
      <w:tr w:rsidR="008C021D" w:rsidRPr="008E1347" w14:paraId="042F4133" w14:textId="77777777" w:rsidTr="00FA2BB1">
        <w:tc>
          <w:tcPr>
            <w:tcW w:w="1657" w:type="dxa"/>
          </w:tcPr>
          <w:p w14:paraId="470AF32D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973" w:type="dxa"/>
          </w:tcPr>
          <w:p w14:paraId="0A1FE20A" w14:textId="01C090B4" w:rsidR="008C021D" w:rsidRPr="007A0994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Tipologjia </w:t>
            </w:r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e gazetarisë. (</w:t>
            </w:r>
            <w:proofErr w:type="spellStart"/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. 23-</w:t>
            </w:r>
            <w:r w:rsidR="00FA2BB1">
              <w:rPr>
                <w:rFonts w:ascii="Garamond" w:hAnsi="Garamond"/>
                <w:sz w:val="22"/>
                <w:szCs w:val="22"/>
                <w:lang w:val="sq-AL"/>
              </w:rPr>
              <w:t>-66</w:t>
            </w:r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</w:p>
        </w:tc>
      </w:tr>
      <w:tr w:rsidR="00FA2BB1" w:rsidRPr="008E1347" w14:paraId="3105CCE9" w14:textId="77777777" w:rsidTr="00FA2BB1">
        <w:tc>
          <w:tcPr>
            <w:tcW w:w="1657" w:type="dxa"/>
          </w:tcPr>
          <w:p w14:paraId="23E4F169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6973" w:type="dxa"/>
          </w:tcPr>
          <w:p w14:paraId="210DFF3F" w14:textId="1849794C" w:rsidR="00FA2BB1" w:rsidRPr="007A0994" w:rsidRDefault="00FA2BB1" w:rsidP="00FA2BB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Lëvizje të tekstit gazetar kah zhanri.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67-85)</w:t>
            </w:r>
          </w:p>
        </w:tc>
      </w:tr>
      <w:tr w:rsidR="00FA2BB1" w:rsidRPr="008E1347" w14:paraId="70C0F76B" w14:textId="77777777" w:rsidTr="00FA2BB1">
        <w:tc>
          <w:tcPr>
            <w:tcW w:w="1657" w:type="dxa"/>
          </w:tcPr>
          <w:p w14:paraId="4692C2E3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973" w:type="dxa"/>
          </w:tcPr>
          <w:p w14:paraId="074B59CE" w14:textId="216CC98F" w:rsidR="00FA2BB1" w:rsidRPr="007A0994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Gazetaria informative. Lajmi. Struktura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tekstore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e lajmit. (93-119)</w:t>
            </w:r>
          </w:p>
        </w:tc>
      </w:tr>
      <w:tr w:rsidR="00FA2BB1" w:rsidRPr="008E1347" w14:paraId="6AB27BA0" w14:textId="77777777" w:rsidTr="00FA2BB1">
        <w:tc>
          <w:tcPr>
            <w:tcW w:w="1657" w:type="dxa"/>
          </w:tcPr>
          <w:p w14:paraId="35E0BDEE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pestë: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73" w:type="dxa"/>
          </w:tcPr>
          <w:p w14:paraId="09E32942" w14:textId="0D603376" w:rsidR="00FA2BB1" w:rsidRPr="008E1347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Lajmi. Struktura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tekstore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e lajmit II. (119-133)</w:t>
            </w:r>
          </w:p>
        </w:tc>
      </w:tr>
      <w:tr w:rsidR="00FA2BB1" w:rsidRPr="008E1347" w14:paraId="3C38D7A3" w14:textId="77777777" w:rsidTr="00FA2BB1">
        <w:tc>
          <w:tcPr>
            <w:tcW w:w="1657" w:type="dxa"/>
          </w:tcPr>
          <w:p w14:paraId="5C3DA13C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gjashtë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6973" w:type="dxa"/>
          </w:tcPr>
          <w:p w14:paraId="435F5B28" w14:textId="0DA78692" w:rsidR="00FA2BB1" w:rsidRPr="008E1347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Nënlloje të lajmit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Flash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lajmi.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Antërfajlli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Fotolajmi</w:t>
            </w:r>
            <w:proofErr w:type="spellEnd"/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Lajmi protokollar.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Lajmi i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titruar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Lajmi gazetaresk dhe lajmi radio-televiziv.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135-150)</w:t>
            </w:r>
          </w:p>
        </w:tc>
      </w:tr>
      <w:tr w:rsidR="00FA2BB1" w:rsidRPr="008E1347" w14:paraId="6ABF2DF3" w14:textId="77777777" w:rsidTr="00FA2BB1">
        <w:tc>
          <w:tcPr>
            <w:tcW w:w="1657" w:type="dxa"/>
          </w:tcPr>
          <w:p w14:paraId="6BB55457" w14:textId="77777777" w:rsidR="00FA2BB1" w:rsidRPr="008E1347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shtatë: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73" w:type="dxa"/>
          </w:tcPr>
          <w:p w14:paraId="26717C6D" w14:textId="7B1E3C9A" w:rsidR="00FA2BB1" w:rsidRPr="007A0994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151-165) Diskutimi dhe përcaktimi i temës së seminarit.</w:t>
            </w:r>
          </w:p>
        </w:tc>
      </w:tr>
      <w:tr w:rsidR="00FA2BB1" w:rsidRPr="008E1347" w14:paraId="3E00804A" w14:textId="77777777" w:rsidTr="00FA2BB1">
        <w:tc>
          <w:tcPr>
            <w:tcW w:w="1657" w:type="dxa"/>
          </w:tcPr>
          <w:p w14:paraId="4352A0A3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tetë: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73" w:type="dxa"/>
          </w:tcPr>
          <w:p w14:paraId="126B6C59" w14:textId="3B95263E" w:rsidR="00FA2BB1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Kronika.</w:t>
            </w:r>
            <w:r w:rsidR="006B3220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167-172)</w:t>
            </w:r>
          </w:p>
          <w:p w14:paraId="53E9737E" w14:textId="7481D479" w:rsidR="00FA2BB1" w:rsidRPr="007A0994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Nekrologjia,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fiçëri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, përkujtimi.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173-189)</w:t>
            </w:r>
            <w:r w:rsidR="006B3220">
              <w:rPr>
                <w:rFonts w:ascii="Garamond" w:hAnsi="Garamond"/>
                <w:sz w:val="22"/>
                <w:szCs w:val="22"/>
                <w:lang w:val="sq-AL"/>
              </w:rPr>
              <w:t xml:space="preserve">;  </w:t>
            </w:r>
            <w:r w:rsidR="006B3220">
              <w:rPr>
                <w:rFonts w:ascii="Garamond" w:hAnsi="Garamond"/>
                <w:sz w:val="22"/>
                <w:szCs w:val="22"/>
                <w:lang w:val="sq-AL"/>
              </w:rPr>
              <w:t>Gazetaria e bashkëngjitur</w:t>
            </w:r>
            <w:r w:rsidR="006B3220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</w:tc>
      </w:tr>
      <w:tr w:rsidR="00FA2BB1" w:rsidRPr="008E1347" w14:paraId="7FF2076E" w14:textId="77777777" w:rsidTr="00FA2BB1">
        <w:tc>
          <w:tcPr>
            <w:tcW w:w="1657" w:type="dxa"/>
          </w:tcPr>
          <w:p w14:paraId="344676B8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nëntë: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73" w:type="dxa"/>
          </w:tcPr>
          <w:p w14:paraId="0F63BA62" w14:textId="5AECD0E6" w:rsidR="00FA2BB1" w:rsidRPr="00FD7FDB" w:rsidRDefault="00FA2BB1" w:rsidP="00FA2BB1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Testi i I-</w:t>
            </w:r>
            <w:proofErr w:type="spellStart"/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rë</w:t>
            </w:r>
            <w:proofErr w:type="spellEnd"/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 </w:t>
            </w:r>
          </w:p>
        </w:tc>
      </w:tr>
      <w:tr w:rsidR="00FA2BB1" w:rsidRPr="008E1347" w14:paraId="74E6468A" w14:textId="77777777" w:rsidTr="00FA2BB1">
        <w:tc>
          <w:tcPr>
            <w:tcW w:w="1657" w:type="dxa"/>
          </w:tcPr>
          <w:p w14:paraId="03141242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973" w:type="dxa"/>
          </w:tcPr>
          <w:p w14:paraId="340D14DE" w14:textId="6758045C" w:rsidR="00FA2BB1" w:rsidRPr="00C20E9E" w:rsidRDefault="00FA2BB1" w:rsidP="00FA2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r w:rsidRPr="008E1347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Gazetaria analitike.</w:t>
            </w: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 (</w:t>
            </w:r>
            <w:proofErr w:type="spellStart"/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fq</w:t>
            </w:r>
            <w:proofErr w:type="spellEnd"/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. 197-202)</w:t>
            </w:r>
          </w:p>
        </w:tc>
      </w:tr>
      <w:tr w:rsidR="00FA2BB1" w:rsidRPr="008E1347" w14:paraId="14E5F0D9" w14:textId="77777777" w:rsidTr="00FA2BB1">
        <w:tc>
          <w:tcPr>
            <w:tcW w:w="1657" w:type="dxa"/>
          </w:tcPr>
          <w:p w14:paraId="412D0E53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njëmbëdhjetë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6973" w:type="dxa"/>
          </w:tcPr>
          <w:p w14:paraId="788B5918" w14:textId="03B76EFF" w:rsidR="00FA2BB1" w:rsidRPr="00C20E9E" w:rsidRDefault="00FA2BB1" w:rsidP="00FA2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Editoriali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, 202-2016)</w:t>
            </w:r>
          </w:p>
        </w:tc>
      </w:tr>
      <w:tr w:rsidR="00FA2BB1" w:rsidRPr="008E1347" w14:paraId="673C4CE6" w14:textId="77777777" w:rsidTr="00FA2BB1">
        <w:tc>
          <w:tcPr>
            <w:tcW w:w="1657" w:type="dxa"/>
          </w:tcPr>
          <w:p w14:paraId="54556383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973" w:type="dxa"/>
          </w:tcPr>
          <w:p w14:paraId="6AD778A5" w14:textId="766A747A" w:rsidR="00FA2BB1" w:rsidRPr="007A0994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Komenti.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, 217-232)</w:t>
            </w:r>
          </w:p>
        </w:tc>
      </w:tr>
      <w:tr w:rsidR="00FA2BB1" w:rsidRPr="008E1347" w14:paraId="726F3A04" w14:textId="77777777" w:rsidTr="00FA2BB1">
        <w:tc>
          <w:tcPr>
            <w:tcW w:w="1657" w:type="dxa"/>
          </w:tcPr>
          <w:p w14:paraId="0F5EF03F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973" w:type="dxa"/>
          </w:tcPr>
          <w:p w14:paraId="48334873" w14:textId="3710E64F" w:rsidR="00FA2BB1" w:rsidRPr="00C20E9E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Analiza. (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sq-AL"/>
              </w:rPr>
              <w:t>fq</w:t>
            </w:r>
            <w:proofErr w:type="spellEnd"/>
            <w:r>
              <w:rPr>
                <w:rFonts w:ascii="Garamond" w:hAnsi="Garamond"/>
                <w:sz w:val="22"/>
                <w:szCs w:val="22"/>
                <w:lang w:val="sq-AL"/>
              </w:rPr>
              <w:t>. 251-260)</w:t>
            </w:r>
          </w:p>
        </w:tc>
      </w:tr>
      <w:tr w:rsidR="00FA2BB1" w:rsidRPr="008E1347" w14:paraId="0D6D95B3" w14:textId="77777777" w:rsidTr="00FA2BB1">
        <w:tc>
          <w:tcPr>
            <w:tcW w:w="1657" w:type="dxa"/>
          </w:tcPr>
          <w:p w14:paraId="3011AE47" w14:textId="77777777" w:rsidR="00FA2BB1" w:rsidRPr="008E1347" w:rsidRDefault="00FA2BB1" w:rsidP="00FA2BB1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973" w:type="dxa"/>
          </w:tcPr>
          <w:p w14:paraId="3157B954" w14:textId="69D0EDE5" w:rsidR="00FA2BB1" w:rsidRPr="006C229A" w:rsidRDefault="00FA2BB1" w:rsidP="00FA2BB1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Rishikim dhe përsëritje e kursit.</w:t>
            </w:r>
          </w:p>
        </w:tc>
      </w:tr>
    </w:tbl>
    <w:p w14:paraId="34AD1EAD" w14:textId="77777777" w:rsidR="00B815D1" w:rsidRPr="008E1347" w:rsidRDefault="00B815D1">
      <w:pPr>
        <w:rPr>
          <w:rFonts w:ascii="Garamond" w:hAnsi="Garamond"/>
          <w:sz w:val="22"/>
          <w:szCs w:val="22"/>
          <w:lang w:val="sq-AL"/>
        </w:rPr>
      </w:pPr>
    </w:p>
    <w:sectPr w:rsidR="00B815D1" w:rsidRPr="008E1347" w:rsidSect="002C52CD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5027" w14:textId="77777777" w:rsidR="003C6E32" w:rsidRDefault="003C6E32">
      <w:r>
        <w:separator/>
      </w:r>
    </w:p>
  </w:endnote>
  <w:endnote w:type="continuationSeparator" w:id="0">
    <w:p w14:paraId="30C1C500" w14:textId="77777777" w:rsidR="003C6E32" w:rsidRDefault="003C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8054" w14:textId="77777777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CD921" w14:textId="77777777" w:rsidR="00567470" w:rsidRDefault="0056747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3939" w14:textId="2A084235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8C2">
      <w:rPr>
        <w:rStyle w:val="PageNumber"/>
        <w:noProof/>
      </w:rPr>
      <w:t>4</w:t>
    </w:r>
    <w:r>
      <w:rPr>
        <w:rStyle w:val="PageNumber"/>
      </w:rPr>
      <w:fldChar w:fldCharType="end"/>
    </w:r>
  </w:p>
  <w:p w14:paraId="7AECE697" w14:textId="77777777" w:rsidR="00567470" w:rsidRDefault="0056747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A6D4" w14:textId="77777777" w:rsidR="003C6E32" w:rsidRDefault="003C6E32">
      <w:r>
        <w:separator/>
      </w:r>
    </w:p>
  </w:footnote>
  <w:footnote w:type="continuationSeparator" w:id="0">
    <w:p w14:paraId="40064A6D" w14:textId="77777777" w:rsidR="003C6E32" w:rsidRDefault="003C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82D"/>
    <w:multiLevelType w:val="hybridMultilevel"/>
    <w:tmpl w:val="EE84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603"/>
    <w:multiLevelType w:val="hybridMultilevel"/>
    <w:tmpl w:val="088C48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61F5E"/>
    <w:multiLevelType w:val="hybridMultilevel"/>
    <w:tmpl w:val="6A18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69E"/>
    <w:multiLevelType w:val="hybridMultilevel"/>
    <w:tmpl w:val="5F2809BE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997A11"/>
    <w:multiLevelType w:val="hybridMultilevel"/>
    <w:tmpl w:val="7E924BF8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728B2"/>
    <w:multiLevelType w:val="hybridMultilevel"/>
    <w:tmpl w:val="34306A38"/>
    <w:lvl w:ilvl="0" w:tplc="88081A9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40A8"/>
    <w:multiLevelType w:val="hybridMultilevel"/>
    <w:tmpl w:val="4D285102"/>
    <w:lvl w:ilvl="0" w:tplc="C10426C8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5F5"/>
    <w:multiLevelType w:val="hybridMultilevel"/>
    <w:tmpl w:val="6FD82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44B83"/>
    <w:multiLevelType w:val="hybridMultilevel"/>
    <w:tmpl w:val="E6A849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C65A7A"/>
    <w:multiLevelType w:val="multilevel"/>
    <w:tmpl w:val="E6A849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351EAB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1F9"/>
    <w:multiLevelType w:val="hybridMultilevel"/>
    <w:tmpl w:val="87962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36A07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9327F4"/>
    <w:multiLevelType w:val="hybridMultilevel"/>
    <w:tmpl w:val="6D4EAB66"/>
    <w:lvl w:ilvl="0" w:tplc="BA6A0526">
      <w:start w:val="1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 w15:restartNumberingAfterBreak="0">
    <w:nsid w:val="43D0357F"/>
    <w:multiLevelType w:val="hybridMultilevel"/>
    <w:tmpl w:val="2C8E9F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33B41"/>
    <w:multiLevelType w:val="hybridMultilevel"/>
    <w:tmpl w:val="F91C39FE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58692B"/>
    <w:multiLevelType w:val="hybridMultilevel"/>
    <w:tmpl w:val="A80C7A9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66237E6"/>
    <w:multiLevelType w:val="hybridMultilevel"/>
    <w:tmpl w:val="517216D4"/>
    <w:lvl w:ilvl="0" w:tplc="2EF84D9E">
      <w:start w:val="2"/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2E54B8"/>
    <w:multiLevelType w:val="singleLevel"/>
    <w:tmpl w:val="19FE6B60"/>
    <w:lvl w:ilvl="0">
      <w:start w:val="1"/>
      <w:numFmt w:val="decimal"/>
      <w:lvlText w:val="%1."/>
      <w:legacy w:legacy="1" w:legacySpace="0" w:legacyIndent="283"/>
      <w:lvlJc w:val="left"/>
      <w:pPr>
        <w:ind w:left="571" w:hanging="283"/>
      </w:pPr>
    </w:lvl>
  </w:abstractNum>
  <w:abstractNum w:abstractNumId="20" w15:restartNumberingAfterBreak="0">
    <w:nsid w:val="68747299"/>
    <w:multiLevelType w:val="hybridMultilevel"/>
    <w:tmpl w:val="9ED60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297B9F"/>
    <w:multiLevelType w:val="hybridMultilevel"/>
    <w:tmpl w:val="AF246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460BA"/>
    <w:multiLevelType w:val="multilevel"/>
    <w:tmpl w:val="7E924BF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80680B"/>
    <w:multiLevelType w:val="hybridMultilevel"/>
    <w:tmpl w:val="61625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1243">
    <w:abstractNumId w:val="11"/>
  </w:num>
  <w:num w:numId="2" w16cid:durableId="584723413">
    <w:abstractNumId w:val="19"/>
  </w:num>
  <w:num w:numId="3" w16cid:durableId="1275018728">
    <w:abstractNumId w:val="3"/>
  </w:num>
  <w:num w:numId="4" w16cid:durableId="2003048476">
    <w:abstractNumId w:val="15"/>
  </w:num>
  <w:num w:numId="5" w16cid:durableId="335494927">
    <w:abstractNumId w:val="14"/>
  </w:num>
  <w:num w:numId="6" w16cid:durableId="1234193871">
    <w:abstractNumId w:val="18"/>
  </w:num>
  <w:num w:numId="7" w16cid:durableId="1755978122">
    <w:abstractNumId w:val="23"/>
  </w:num>
  <w:num w:numId="8" w16cid:durableId="1076828671">
    <w:abstractNumId w:val="21"/>
  </w:num>
  <w:num w:numId="9" w16cid:durableId="1066416003">
    <w:abstractNumId w:val="7"/>
  </w:num>
  <w:num w:numId="10" w16cid:durableId="1390500412">
    <w:abstractNumId w:val="10"/>
  </w:num>
  <w:num w:numId="11" w16cid:durableId="1647394699">
    <w:abstractNumId w:val="0"/>
  </w:num>
  <w:num w:numId="12" w16cid:durableId="478543885">
    <w:abstractNumId w:val="20"/>
  </w:num>
  <w:num w:numId="13" w16cid:durableId="857279097">
    <w:abstractNumId w:val="16"/>
  </w:num>
  <w:num w:numId="14" w16cid:durableId="916404711">
    <w:abstractNumId w:val="4"/>
  </w:num>
  <w:num w:numId="15" w16cid:durableId="1260790599">
    <w:abstractNumId w:val="22"/>
  </w:num>
  <w:num w:numId="16" w16cid:durableId="246118416">
    <w:abstractNumId w:val="1"/>
  </w:num>
  <w:num w:numId="17" w16cid:durableId="1559046021">
    <w:abstractNumId w:val="17"/>
  </w:num>
  <w:num w:numId="18" w16cid:durableId="671375853">
    <w:abstractNumId w:val="8"/>
  </w:num>
  <w:num w:numId="19" w16cid:durableId="587735417">
    <w:abstractNumId w:val="9"/>
  </w:num>
  <w:num w:numId="20" w16cid:durableId="393357869">
    <w:abstractNumId w:val="5"/>
  </w:num>
  <w:num w:numId="21" w16cid:durableId="1710370988">
    <w:abstractNumId w:val="13"/>
  </w:num>
  <w:num w:numId="22" w16cid:durableId="987827575">
    <w:abstractNumId w:val="2"/>
  </w:num>
  <w:num w:numId="23" w16cid:durableId="433945428">
    <w:abstractNumId w:val="6"/>
  </w:num>
  <w:num w:numId="24" w16cid:durableId="1755199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4469"/>
    <w:rsid w:val="0003491F"/>
    <w:rsid w:val="00043592"/>
    <w:rsid w:val="00045165"/>
    <w:rsid w:val="0006028F"/>
    <w:rsid w:val="00060E9F"/>
    <w:rsid w:val="0006366C"/>
    <w:rsid w:val="00072174"/>
    <w:rsid w:val="00082189"/>
    <w:rsid w:val="00090B7E"/>
    <w:rsid w:val="000D14AE"/>
    <w:rsid w:val="000D34EE"/>
    <w:rsid w:val="000F19B7"/>
    <w:rsid w:val="000F35A3"/>
    <w:rsid w:val="00102557"/>
    <w:rsid w:val="00105C2D"/>
    <w:rsid w:val="0011167E"/>
    <w:rsid w:val="00115418"/>
    <w:rsid w:val="00132604"/>
    <w:rsid w:val="00146FB6"/>
    <w:rsid w:val="00183923"/>
    <w:rsid w:val="001A176E"/>
    <w:rsid w:val="001B7208"/>
    <w:rsid w:val="001C54CB"/>
    <w:rsid w:val="002143A0"/>
    <w:rsid w:val="002143D9"/>
    <w:rsid w:val="0021580C"/>
    <w:rsid w:val="002177ED"/>
    <w:rsid w:val="002466FE"/>
    <w:rsid w:val="002610A3"/>
    <w:rsid w:val="002A6714"/>
    <w:rsid w:val="002C00FA"/>
    <w:rsid w:val="002C52CD"/>
    <w:rsid w:val="002D3069"/>
    <w:rsid w:val="002D68AF"/>
    <w:rsid w:val="002F2C4E"/>
    <w:rsid w:val="0030354C"/>
    <w:rsid w:val="003502CA"/>
    <w:rsid w:val="00360389"/>
    <w:rsid w:val="003670C8"/>
    <w:rsid w:val="00381B41"/>
    <w:rsid w:val="003B1F4F"/>
    <w:rsid w:val="003B625C"/>
    <w:rsid w:val="003C6E32"/>
    <w:rsid w:val="003D7B4D"/>
    <w:rsid w:val="003E3193"/>
    <w:rsid w:val="003E3990"/>
    <w:rsid w:val="003E7833"/>
    <w:rsid w:val="00420FB7"/>
    <w:rsid w:val="00425263"/>
    <w:rsid w:val="00433617"/>
    <w:rsid w:val="00474BF4"/>
    <w:rsid w:val="004C0CCA"/>
    <w:rsid w:val="00536350"/>
    <w:rsid w:val="00567470"/>
    <w:rsid w:val="0057043B"/>
    <w:rsid w:val="00574ADC"/>
    <w:rsid w:val="00583A9E"/>
    <w:rsid w:val="005A0AF3"/>
    <w:rsid w:val="00603DD2"/>
    <w:rsid w:val="00606007"/>
    <w:rsid w:val="00606C26"/>
    <w:rsid w:val="00620D65"/>
    <w:rsid w:val="00623467"/>
    <w:rsid w:val="0065604F"/>
    <w:rsid w:val="006702EB"/>
    <w:rsid w:val="0067176A"/>
    <w:rsid w:val="006A1D8D"/>
    <w:rsid w:val="006A55AA"/>
    <w:rsid w:val="006B3220"/>
    <w:rsid w:val="006B5736"/>
    <w:rsid w:val="006B784F"/>
    <w:rsid w:val="006C229A"/>
    <w:rsid w:val="006D7FB4"/>
    <w:rsid w:val="006E715A"/>
    <w:rsid w:val="006F116D"/>
    <w:rsid w:val="007038CC"/>
    <w:rsid w:val="00707BC7"/>
    <w:rsid w:val="00707CCD"/>
    <w:rsid w:val="00717294"/>
    <w:rsid w:val="007176C7"/>
    <w:rsid w:val="00724344"/>
    <w:rsid w:val="00725185"/>
    <w:rsid w:val="0074084C"/>
    <w:rsid w:val="00746D8D"/>
    <w:rsid w:val="00756984"/>
    <w:rsid w:val="007640B0"/>
    <w:rsid w:val="00777D28"/>
    <w:rsid w:val="0078069D"/>
    <w:rsid w:val="00781805"/>
    <w:rsid w:val="007A0994"/>
    <w:rsid w:val="007A7068"/>
    <w:rsid w:val="007B141F"/>
    <w:rsid w:val="007B1510"/>
    <w:rsid w:val="007B68A2"/>
    <w:rsid w:val="007C3132"/>
    <w:rsid w:val="007D1C25"/>
    <w:rsid w:val="007D790B"/>
    <w:rsid w:val="007E2DC1"/>
    <w:rsid w:val="007E6202"/>
    <w:rsid w:val="007F0C55"/>
    <w:rsid w:val="007F46C5"/>
    <w:rsid w:val="00837329"/>
    <w:rsid w:val="00860C30"/>
    <w:rsid w:val="00862E88"/>
    <w:rsid w:val="00891121"/>
    <w:rsid w:val="008A439B"/>
    <w:rsid w:val="008A716D"/>
    <w:rsid w:val="008B708A"/>
    <w:rsid w:val="008C021D"/>
    <w:rsid w:val="008D0608"/>
    <w:rsid w:val="008E1347"/>
    <w:rsid w:val="008E57A7"/>
    <w:rsid w:val="008F3EA3"/>
    <w:rsid w:val="00903474"/>
    <w:rsid w:val="00914901"/>
    <w:rsid w:val="00926CAE"/>
    <w:rsid w:val="009376A2"/>
    <w:rsid w:val="0096386D"/>
    <w:rsid w:val="00963EBA"/>
    <w:rsid w:val="009730DA"/>
    <w:rsid w:val="009800D3"/>
    <w:rsid w:val="00983973"/>
    <w:rsid w:val="009A0757"/>
    <w:rsid w:val="009B3F0A"/>
    <w:rsid w:val="009E2AF8"/>
    <w:rsid w:val="009E7046"/>
    <w:rsid w:val="009F0183"/>
    <w:rsid w:val="009F4EE5"/>
    <w:rsid w:val="00A30B6A"/>
    <w:rsid w:val="00A523C9"/>
    <w:rsid w:val="00A545BA"/>
    <w:rsid w:val="00A60DD7"/>
    <w:rsid w:val="00A662A0"/>
    <w:rsid w:val="00A710BE"/>
    <w:rsid w:val="00A84103"/>
    <w:rsid w:val="00AA2C57"/>
    <w:rsid w:val="00AA3C2B"/>
    <w:rsid w:val="00AA6B9E"/>
    <w:rsid w:val="00AB7083"/>
    <w:rsid w:val="00AC08ED"/>
    <w:rsid w:val="00AE4F5E"/>
    <w:rsid w:val="00AE799E"/>
    <w:rsid w:val="00B00D5E"/>
    <w:rsid w:val="00B036A5"/>
    <w:rsid w:val="00B10DAD"/>
    <w:rsid w:val="00B1175C"/>
    <w:rsid w:val="00B1687A"/>
    <w:rsid w:val="00B26457"/>
    <w:rsid w:val="00B35215"/>
    <w:rsid w:val="00B815D1"/>
    <w:rsid w:val="00B821AF"/>
    <w:rsid w:val="00BA07D2"/>
    <w:rsid w:val="00BA6E9C"/>
    <w:rsid w:val="00BB1A1A"/>
    <w:rsid w:val="00BB2D33"/>
    <w:rsid w:val="00BE6D97"/>
    <w:rsid w:val="00BE7236"/>
    <w:rsid w:val="00BF2832"/>
    <w:rsid w:val="00BF6226"/>
    <w:rsid w:val="00C04A73"/>
    <w:rsid w:val="00C13ADB"/>
    <w:rsid w:val="00C20E9E"/>
    <w:rsid w:val="00C30933"/>
    <w:rsid w:val="00C4013E"/>
    <w:rsid w:val="00C536E0"/>
    <w:rsid w:val="00C60C7F"/>
    <w:rsid w:val="00C6155B"/>
    <w:rsid w:val="00C91829"/>
    <w:rsid w:val="00CB6789"/>
    <w:rsid w:val="00CC4820"/>
    <w:rsid w:val="00CF116F"/>
    <w:rsid w:val="00D10BC6"/>
    <w:rsid w:val="00D11A60"/>
    <w:rsid w:val="00D50D7E"/>
    <w:rsid w:val="00D67209"/>
    <w:rsid w:val="00D90078"/>
    <w:rsid w:val="00DA1241"/>
    <w:rsid w:val="00DA1ADA"/>
    <w:rsid w:val="00DB2823"/>
    <w:rsid w:val="00DB3339"/>
    <w:rsid w:val="00DF0BC8"/>
    <w:rsid w:val="00DF6543"/>
    <w:rsid w:val="00E122BC"/>
    <w:rsid w:val="00E26153"/>
    <w:rsid w:val="00E43FDD"/>
    <w:rsid w:val="00E60346"/>
    <w:rsid w:val="00E64FDE"/>
    <w:rsid w:val="00E77091"/>
    <w:rsid w:val="00E94F54"/>
    <w:rsid w:val="00ED6178"/>
    <w:rsid w:val="00EF57F9"/>
    <w:rsid w:val="00F04222"/>
    <w:rsid w:val="00F117E7"/>
    <w:rsid w:val="00F26271"/>
    <w:rsid w:val="00F34158"/>
    <w:rsid w:val="00F4179E"/>
    <w:rsid w:val="00F41B23"/>
    <w:rsid w:val="00F47480"/>
    <w:rsid w:val="00F50EAF"/>
    <w:rsid w:val="00F5660C"/>
    <w:rsid w:val="00F60793"/>
    <w:rsid w:val="00F658C2"/>
    <w:rsid w:val="00F844E7"/>
    <w:rsid w:val="00F92508"/>
    <w:rsid w:val="00FA2BB1"/>
    <w:rsid w:val="00FA2FEA"/>
    <w:rsid w:val="00FA53FA"/>
    <w:rsid w:val="00FB050B"/>
    <w:rsid w:val="00FB6990"/>
    <w:rsid w:val="00FC07B9"/>
    <w:rsid w:val="00FD5A02"/>
    <w:rsid w:val="00FD679D"/>
    <w:rsid w:val="00FD7FDB"/>
    <w:rsid w:val="00FE490F"/>
    <w:rsid w:val="00FF7590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11EBB"/>
  <w15:docId w15:val="{A3F44577-0FA4-4368-84F0-C5FE910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2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69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BodyText">
    <w:name w:val="Body Text"/>
    <w:basedOn w:val="Normal"/>
    <w:link w:val="BodyTextChar"/>
    <w:rsid w:val="002F2C4E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q-AL"/>
    </w:rPr>
  </w:style>
  <w:style w:type="character" w:customStyle="1" w:styleId="BodyTextChar">
    <w:name w:val="Body Text Char"/>
    <w:link w:val="BodyText"/>
    <w:rsid w:val="002F2C4E"/>
    <w:rPr>
      <w:sz w:val="24"/>
      <w:lang w:val="sq-AL" w:eastAsia="en-US"/>
    </w:rPr>
  </w:style>
  <w:style w:type="paragraph" w:customStyle="1" w:styleId="NoSpacing1">
    <w:name w:val="No Spacing1"/>
    <w:uiPriority w:val="1"/>
    <w:qFormat/>
    <w:rsid w:val="009A0757"/>
    <w:rPr>
      <w:sz w:val="24"/>
      <w:szCs w:val="24"/>
    </w:rPr>
  </w:style>
  <w:style w:type="character" w:styleId="Hyperlink">
    <w:name w:val="Hyperlink"/>
    <w:rsid w:val="009839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35A3"/>
    <w:pPr>
      <w:spacing w:before="100" w:beforeAutospacing="1" w:after="100" w:afterAutospacing="1"/>
    </w:pPr>
    <w:rPr>
      <w:lang w:val="de-DE" w:eastAsia="de-DE"/>
    </w:rPr>
  </w:style>
  <w:style w:type="character" w:customStyle="1" w:styleId="hps">
    <w:name w:val="hps"/>
    <w:basedOn w:val="DefaultParagraphFont"/>
    <w:rsid w:val="000F35A3"/>
  </w:style>
  <w:style w:type="paragraph" w:styleId="ListParagraph">
    <w:name w:val="List Paragraph"/>
    <w:basedOn w:val="Normal"/>
    <w:uiPriority w:val="34"/>
    <w:qFormat/>
    <w:rsid w:val="00C4013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q-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DC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9E704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569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B70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B70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enita.hoxha@uni-pr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ton.ismajli@uni-p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hanre.gazeta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6818</CharactersWithSpaces>
  <SharedDoc>false</SharedDoc>
  <HLinks>
    <vt:vector size="12" baseType="variant">
      <vt:variant>
        <vt:i4>4128768</vt:i4>
      </vt:variant>
      <vt:variant>
        <vt:i4>3</vt:i4>
      </vt:variant>
      <vt:variant>
        <vt:i4>0</vt:i4>
      </vt:variant>
      <vt:variant>
        <vt:i4>5</vt:i4>
      </vt:variant>
      <vt:variant>
        <vt:lpwstr>mailto:faton.ismajli@uni-pr.edu</vt:lpwstr>
      </vt:variant>
      <vt:variant>
        <vt:lpwstr/>
      </vt:variant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mailto:bajram.kosumi@uni-pr.edu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FATON</cp:lastModifiedBy>
  <cp:revision>9</cp:revision>
  <cp:lastPrinted>2019-10-09T06:43:00Z</cp:lastPrinted>
  <dcterms:created xsi:type="dcterms:W3CDTF">2024-09-25T07:14:00Z</dcterms:created>
  <dcterms:modified xsi:type="dcterms:W3CDTF">2025-09-29T07:08:00Z</dcterms:modified>
</cp:coreProperties>
</file>