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FC" w:rsidRDefault="00424FFC" w:rsidP="00424FFC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për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SYLLABUS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Lëndës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424FFC" w:rsidRDefault="00424FFC" w:rsidP="00424FFC">
      <w:pPr>
        <w:rPr>
          <w:rFonts w:ascii="Calibri" w:hAnsi="Calibri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476"/>
      </w:tblGrid>
      <w:tr w:rsidR="00424FFC" w:rsidRPr="00315E53" w:rsidTr="008D5B1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dhëna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bazike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Njësia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akademike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jc w:val="both"/>
              <w:rPr>
                <w:b/>
                <w:sz w:val="22"/>
                <w:szCs w:val="22"/>
              </w:rPr>
            </w:pPr>
            <w:proofErr w:type="spellStart"/>
            <w:r w:rsidRPr="00315E53">
              <w:rPr>
                <w:b/>
                <w:sz w:val="22"/>
                <w:szCs w:val="22"/>
              </w:rPr>
              <w:t>Fakulteti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315E53">
              <w:rPr>
                <w:b/>
                <w:sz w:val="22"/>
                <w:szCs w:val="22"/>
              </w:rPr>
              <w:t>Shkencave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b/>
                <w:sz w:val="22"/>
                <w:szCs w:val="22"/>
              </w:rPr>
              <w:t>matematike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b/>
                <w:sz w:val="22"/>
                <w:szCs w:val="22"/>
              </w:rPr>
              <w:t>Natyrore</w:t>
            </w:r>
            <w:proofErr w:type="spellEnd"/>
          </w:p>
          <w:p w:rsidR="00424FFC" w:rsidRPr="00315E53" w:rsidRDefault="00424FFC" w:rsidP="00665D14">
            <w:pPr>
              <w:pStyle w:val="NoSpacing"/>
              <w:jc w:val="both"/>
              <w:rPr>
                <w:b/>
                <w:sz w:val="22"/>
                <w:szCs w:val="22"/>
              </w:rPr>
            </w:pPr>
            <w:proofErr w:type="spellStart"/>
            <w:r w:rsidRPr="00315E53">
              <w:rPr>
                <w:b/>
                <w:sz w:val="22"/>
                <w:szCs w:val="22"/>
              </w:rPr>
              <w:t>Departamenti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b/>
                <w:sz w:val="22"/>
                <w:szCs w:val="22"/>
              </w:rPr>
              <w:t>Kimi</w:t>
            </w:r>
            <w:proofErr w:type="spellEnd"/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Titulli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315E53">
              <w:rPr>
                <w:b/>
                <w:sz w:val="22"/>
                <w:szCs w:val="22"/>
              </w:rPr>
              <w:t>Kimi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b/>
                <w:sz w:val="22"/>
                <w:szCs w:val="22"/>
              </w:rPr>
              <w:t>analitike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II (</w:t>
            </w:r>
            <w:proofErr w:type="spellStart"/>
            <w:r w:rsidRPr="00315E53">
              <w:rPr>
                <w:b/>
                <w:sz w:val="22"/>
                <w:szCs w:val="22"/>
              </w:rPr>
              <w:t>Drejtimi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b/>
                <w:sz w:val="22"/>
                <w:szCs w:val="22"/>
              </w:rPr>
              <w:t>Inxhinierik</w:t>
            </w:r>
            <w:proofErr w:type="spellEnd"/>
            <w:r w:rsidRPr="00315E53">
              <w:rPr>
                <w:b/>
                <w:sz w:val="22"/>
                <w:szCs w:val="22"/>
              </w:rPr>
              <w:t>)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Niveli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r w:rsidRPr="00315E53">
              <w:rPr>
                <w:b/>
                <w:sz w:val="22"/>
                <w:szCs w:val="22"/>
              </w:rPr>
              <w:t>Bachelor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Statusi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315E53">
              <w:rPr>
                <w:b/>
                <w:sz w:val="22"/>
                <w:szCs w:val="22"/>
              </w:rPr>
              <w:t>Obligative</w:t>
            </w:r>
            <w:proofErr w:type="spellEnd"/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Viti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studimeve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315E53">
              <w:rPr>
                <w:b/>
                <w:sz w:val="22"/>
                <w:szCs w:val="22"/>
              </w:rPr>
              <w:t>Viti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315E53">
              <w:rPr>
                <w:b/>
                <w:sz w:val="22"/>
                <w:szCs w:val="22"/>
              </w:rPr>
              <w:t>dytë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/ </w:t>
            </w:r>
            <w:proofErr w:type="spellStart"/>
            <w:r w:rsidRPr="00315E53">
              <w:rPr>
                <w:b/>
                <w:sz w:val="22"/>
                <w:szCs w:val="22"/>
              </w:rPr>
              <w:t>semestri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b/>
                <w:sz w:val="22"/>
                <w:szCs w:val="22"/>
              </w:rPr>
              <w:t>dimëror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(II/3)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Numri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orëve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në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javë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r w:rsidRPr="00315E53">
              <w:rPr>
                <w:b/>
                <w:sz w:val="22"/>
                <w:szCs w:val="22"/>
              </w:rPr>
              <w:t>3+4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Vlera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në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kredi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– ECTS: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Koha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/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lokacioni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proofErr w:type="spellStart"/>
            <w:r w:rsidRPr="00315E53">
              <w:rPr>
                <w:b/>
                <w:sz w:val="22"/>
                <w:szCs w:val="22"/>
              </w:rPr>
              <w:t>Departamenti</w:t>
            </w:r>
            <w:proofErr w:type="spellEnd"/>
            <w:r w:rsidRPr="00315E53">
              <w:rPr>
                <w:b/>
                <w:sz w:val="22"/>
                <w:szCs w:val="22"/>
              </w:rPr>
              <w:t xml:space="preserve"> i  </w:t>
            </w:r>
            <w:proofErr w:type="spellStart"/>
            <w:r w:rsidRPr="00315E53">
              <w:rPr>
                <w:b/>
                <w:sz w:val="22"/>
                <w:szCs w:val="22"/>
              </w:rPr>
              <w:t>Kimisë</w:t>
            </w:r>
            <w:proofErr w:type="spellEnd"/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Mësimëdhënësi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</w:t>
            </w:r>
            <w:r w:rsidRPr="00315E53">
              <w:rPr>
                <w:b/>
                <w:sz w:val="22"/>
                <w:szCs w:val="22"/>
              </w:rPr>
              <w:t>. Dr. Fatmir Faiku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Detajet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kontaktuese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fatmir.faiku@uni-pr.edu</w:t>
            </w:r>
          </w:p>
          <w:p w:rsidR="00424FFC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r w:rsidRPr="00315E53">
              <w:rPr>
                <w:b/>
                <w:sz w:val="22"/>
                <w:szCs w:val="22"/>
              </w:rPr>
              <w:t>f_faiku@hotmail.com</w:t>
            </w:r>
          </w:p>
          <w:p w:rsidR="00424FFC" w:rsidRPr="00315E53" w:rsidRDefault="00424FFC" w:rsidP="00665D14">
            <w:pPr>
              <w:pStyle w:val="NoSpacing"/>
              <w:rPr>
                <w:b/>
                <w:sz w:val="22"/>
                <w:szCs w:val="22"/>
              </w:rPr>
            </w:pPr>
            <w:r w:rsidRPr="00315E53">
              <w:rPr>
                <w:b/>
                <w:sz w:val="22"/>
                <w:szCs w:val="22"/>
              </w:rPr>
              <w:t>044 261 366</w:t>
            </w:r>
          </w:p>
        </w:tc>
      </w:tr>
      <w:tr w:rsidR="00424FFC" w:rsidRPr="00315E53" w:rsidTr="008D5B1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  <w:tr w:rsidR="00424FFC" w:rsidRPr="00315E53" w:rsidTr="0004205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Përshkrimi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042057" w:rsidRDefault="00042057" w:rsidP="00042057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proofErr w:type="spellStart"/>
            <w:r w:rsidRPr="00042057">
              <w:rPr>
                <w:sz w:val="22"/>
                <w:szCs w:val="22"/>
              </w:rPr>
              <w:t>Lënda</w:t>
            </w:r>
            <w:proofErr w:type="spellEnd"/>
            <w:r w:rsidRPr="00042057">
              <w:rPr>
                <w:sz w:val="22"/>
                <w:szCs w:val="22"/>
              </w:rPr>
              <w:t xml:space="preserve"> Kimia </w:t>
            </w:r>
            <w:proofErr w:type="spellStart"/>
            <w:r w:rsidRPr="00042057">
              <w:rPr>
                <w:sz w:val="22"/>
                <w:szCs w:val="22"/>
              </w:rPr>
              <w:t>Analitike</w:t>
            </w:r>
            <w:proofErr w:type="spellEnd"/>
            <w:r w:rsidRPr="00042057">
              <w:rPr>
                <w:sz w:val="22"/>
                <w:szCs w:val="22"/>
              </w:rPr>
              <w:t xml:space="preserve"> II </w:t>
            </w:r>
            <w:proofErr w:type="spellStart"/>
            <w:r w:rsidRPr="00042057">
              <w:rPr>
                <w:sz w:val="22"/>
                <w:szCs w:val="22"/>
              </w:rPr>
              <w:t>trajton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metodat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klasike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analizës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kimike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kuantitative</w:t>
            </w:r>
            <w:proofErr w:type="spellEnd"/>
            <w:r w:rsidRPr="00042057">
              <w:rPr>
                <w:sz w:val="22"/>
                <w:szCs w:val="22"/>
              </w:rPr>
              <w:t xml:space="preserve">, me </w:t>
            </w:r>
            <w:proofErr w:type="spellStart"/>
            <w:r w:rsidRPr="00042057">
              <w:rPr>
                <w:sz w:val="22"/>
                <w:szCs w:val="22"/>
              </w:rPr>
              <w:t>theks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analizën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gravimetrike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vëllimetrike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si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zbatimin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metodave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neutralizimit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precipitimit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kompleksonometrike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oksido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reduktimit</w:t>
            </w:r>
            <w:proofErr w:type="spellEnd"/>
            <w:r w:rsidRPr="00042057">
              <w:rPr>
                <w:sz w:val="22"/>
                <w:szCs w:val="22"/>
              </w:rPr>
              <w:t xml:space="preserve">. </w:t>
            </w:r>
            <w:proofErr w:type="spellStart"/>
            <w:r w:rsidRPr="00042057">
              <w:rPr>
                <w:sz w:val="22"/>
                <w:szCs w:val="22"/>
              </w:rPr>
              <w:t>Studentët</w:t>
            </w:r>
            <w:proofErr w:type="spellEnd"/>
            <w:r w:rsidRPr="00042057">
              <w:rPr>
                <w:sz w:val="22"/>
                <w:szCs w:val="22"/>
              </w:rPr>
              <w:t xml:space="preserve"> do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njihen</w:t>
            </w:r>
            <w:proofErr w:type="spellEnd"/>
            <w:r w:rsidRPr="00042057">
              <w:rPr>
                <w:sz w:val="22"/>
                <w:szCs w:val="22"/>
              </w:rPr>
              <w:t xml:space="preserve"> me </w:t>
            </w:r>
            <w:proofErr w:type="spellStart"/>
            <w:r w:rsidRPr="00042057">
              <w:rPr>
                <w:sz w:val="22"/>
                <w:szCs w:val="22"/>
              </w:rPr>
              <w:t>konceptet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bazë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marrjes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mostrës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përgatitjes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saj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vlerësimit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gabimeve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kalibrimit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standardizimit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si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me </w:t>
            </w:r>
            <w:proofErr w:type="spellStart"/>
            <w:r w:rsidRPr="00042057">
              <w:rPr>
                <w:sz w:val="22"/>
                <w:szCs w:val="22"/>
              </w:rPr>
              <w:t>zbatimin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titullimeve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përcaktimin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përbërësve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kimikë</w:t>
            </w:r>
            <w:proofErr w:type="spellEnd"/>
            <w:r w:rsidRPr="00042057">
              <w:rPr>
                <w:sz w:val="22"/>
                <w:szCs w:val="22"/>
              </w:rPr>
              <w:t xml:space="preserve">. </w:t>
            </w:r>
            <w:proofErr w:type="spellStart"/>
            <w:r w:rsidRPr="00042057">
              <w:rPr>
                <w:sz w:val="22"/>
                <w:szCs w:val="22"/>
              </w:rPr>
              <w:t>Kjo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lëndë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ofron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bazën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nevojshme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kuptuar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praktikuar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analizën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kuantitative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klasike</w:t>
            </w:r>
            <w:proofErr w:type="spellEnd"/>
            <w:r w:rsidRPr="00042057">
              <w:rPr>
                <w:sz w:val="22"/>
                <w:szCs w:val="22"/>
              </w:rPr>
              <w:t xml:space="preserve">, e </w:t>
            </w:r>
            <w:proofErr w:type="spellStart"/>
            <w:r w:rsidRPr="00042057">
              <w:rPr>
                <w:sz w:val="22"/>
                <w:szCs w:val="22"/>
              </w:rPr>
              <w:t>cila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shërben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si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themel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metodat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instrumentale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avancuara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</w:tc>
      </w:tr>
      <w:tr w:rsidR="00424FFC" w:rsidRPr="00315E53" w:rsidTr="0004205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Qëllimet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lëndës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057" w:rsidRPr="00042057" w:rsidRDefault="00042057" w:rsidP="00042057">
            <w:pPr>
              <w:pStyle w:val="NormalWeb"/>
              <w:numPr>
                <w:ilvl w:val="0"/>
                <w:numId w:val="2"/>
              </w:numPr>
              <w:spacing w:before="0" w:beforeAutospacing="0"/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njohë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studentët</w:t>
            </w:r>
            <w:proofErr w:type="spellEnd"/>
            <w:r w:rsidRPr="00042057">
              <w:rPr>
                <w:sz w:val="22"/>
                <w:szCs w:val="22"/>
              </w:rPr>
              <w:t xml:space="preserve"> me </w:t>
            </w:r>
            <w:proofErr w:type="spellStart"/>
            <w:r w:rsidRPr="00042057">
              <w:rPr>
                <w:sz w:val="22"/>
                <w:szCs w:val="22"/>
              </w:rPr>
              <w:t>parimet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klasifikimin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metodave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klasike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analizës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kuantitative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042057" w:rsidRPr="00042057" w:rsidRDefault="00042057" w:rsidP="00042057">
            <w:pPr>
              <w:pStyle w:val="NormalWeb"/>
              <w:numPr>
                <w:ilvl w:val="0"/>
                <w:numId w:val="2"/>
              </w:numPr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aftësojë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studentët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përzgjedhur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zbatuar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metodat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gravimetrike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vëllimetrike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kompleksonometrike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redoks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042057" w:rsidRPr="00042057" w:rsidRDefault="00042057" w:rsidP="00042057">
            <w:pPr>
              <w:pStyle w:val="NormalWeb"/>
              <w:numPr>
                <w:ilvl w:val="0"/>
                <w:numId w:val="2"/>
              </w:numPr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zhvillojë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shkathtësitë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praktike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punë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laboratorike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analiza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klasike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042057" w:rsidRPr="00042057" w:rsidRDefault="00042057" w:rsidP="00042057">
            <w:pPr>
              <w:pStyle w:val="NormalWeb"/>
              <w:numPr>
                <w:ilvl w:val="0"/>
                <w:numId w:val="2"/>
              </w:numPr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aftësojë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studentët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kuptuar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vlerësuar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burimet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gabimeve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analizat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kuantitative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042057" w:rsidRPr="00042057" w:rsidRDefault="00042057" w:rsidP="00042057">
            <w:pPr>
              <w:pStyle w:val="NormalWeb"/>
              <w:numPr>
                <w:ilvl w:val="0"/>
                <w:numId w:val="2"/>
              </w:numPr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përforcojë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përdorimin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standardizimit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kalibrimit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si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pjesë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analizës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klasike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042057" w:rsidRPr="00042057" w:rsidRDefault="00042057" w:rsidP="00042057">
            <w:pPr>
              <w:pStyle w:val="NormalWeb"/>
              <w:numPr>
                <w:ilvl w:val="0"/>
                <w:numId w:val="2"/>
              </w:numPr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nxisë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aftësinë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përpunimin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llogaritjen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interpretimin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dhënave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analitike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424FFC" w:rsidRPr="00042057" w:rsidRDefault="00042057" w:rsidP="00042057">
            <w:pPr>
              <w:pStyle w:val="NormalWeb"/>
              <w:numPr>
                <w:ilvl w:val="0"/>
                <w:numId w:val="2"/>
              </w:numPr>
              <w:spacing w:after="0" w:afterAutospacing="0"/>
              <w:ind w:left="360"/>
              <w:jc w:val="both"/>
            </w:pP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sigurojë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bazë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fortë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që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shërben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kalimin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nga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metodat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klasike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ato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instrumentale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</w:tc>
      </w:tr>
      <w:tr w:rsidR="00424FFC" w:rsidRPr="00315E53" w:rsidTr="0004205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Rezultatet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pritura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nxënies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2057" w:rsidRPr="00F23EA4" w:rsidRDefault="00042057" w:rsidP="00042057">
            <w:pPr>
              <w:jc w:val="both"/>
              <w:rPr>
                <w:rFonts w:eastAsia="Calibri"/>
                <w:b/>
                <w:sz w:val="22"/>
                <w:szCs w:val="22"/>
                <w:lang w:val="it-IT"/>
              </w:rPr>
            </w:pPr>
            <w:r w:rsidRPr="00F23EA4">
              <w:rPr>
                <w:sz w:val="22"/>
                <w:szCs w:val="22"/>
              </w:rPr>
              <w:t xml:space="preserve">Pas </w:t>
            </w:r>
            <w:proofErr w:type="spellStart"/>
            <w:r w:rsidRPr="00F23EA4">
              <w:rPr>
                <w:sz w:val="22"/>
                <w:szCs w:val="22"/>
              </w:rPr>
              <w:t>përfundimit</w:t>
            </w:r>
            <w:proofErr w:type="spellEnd"/>
            <w:r w:rsidRPr="00F23EA4">
              <w:rPr>
                <w:sz w:val="22"/>
                <w:szCs w:val="22"/>
              </w:rPr>
              <w:t xml:space="preserve"> </w:t>
            </w:r>
            <w:proofErr w:type="spellStart"/>
            <w:r w:rsidRPr="00F23EA4">
              <w:rPr>
                <w:sz w:val="22"/>
                <w:szCs w:val="22"/>
              </w:rPr>
              <w:t>të</w:t>
            </w:r>
            <w:proofErr w:type="spellEnd"/>
            <w:r w:rsidRPr="00F23EA4">
              <w:rPr>
                <w:sz w:val="22"/>
                <w:szCs w:val="22"/>
              </w:rPr>
              <w:t xml:space="preserve"> </w:t>
            </w:r>
            <w:proofErr w:type="spellStart"/>
            <w:r w:rsidRPr="00F23EA4">
              <w:rPr>
                <w:sz w:val="22"/>
                <w:szCs w:val="22"/>
              </w:rPr>
              <w:t>lëndës</w:t>
            </w:r>
            <w:proofErr w:type="spellEnd"/>
            <w:r w:rsidRPr="00F23EA4">
              <w:rPr>
                <w:sz w:val="22"/>
                <w:szCs w:val="22"/>
              </w:rPr>
              <w:t xml:space="preserve">, </w:t>
            </w:r>
            <w:proofErr w:type="spellStart"/>
            <w:r w:rsidRPr="00F23EA4">
              <w:rPr>
                <w:sz w:val="22"/>
                <w:szCs w:val="22"/>
              </w:rPr>
              <w:t>studenti</w:t>
            </w:r>
            <w:proofErr w:type="spellEnd"/>
            <w:r w:rsidRPr="00F23EA4">
              <w:rPr>
                <w:sz w:val="22"/>
                <w:szCs w:val="22"/>
              </w:rPr>
              <w:t xml:space="preserve"> do </w:t>
            </w:r>
            <w:proofErr w:type="spellStart"/>
            <w:r w:rsidRPr="00F23EA4">
              <w:rPr>
                <w:sz w:val="22"/>
                <w:szCs w:val="22"/>
              </w:rPr>
              <w:t>të</w:t>
            </w:r>
            <w:proofErr w:type="spellEnd"/>
            <w:r w:rsidRPr="00F23EA4">
              <w:rPr>
                <w:sz w:val="22"/>
                <w:szCs w:val="22"/>
              </w:rPr>
              <w:t xml:space="preserve"> </w:t>
            </w:r>
            <w:proofErr w:type="spellStart"/>
            <w:r w:rsidRPr="00F23EA4">
              <w:rPr>
                <w:sz w:val="22"/>
                <w:szCs w:val="22"/>
              </w:rPr>
              <w:t>jetë</w:t>
            </w:r>
            <w:proofErr w:type="spellEnd"/>
            <w:r w:rsidRPr="00F23EA4">
              <w:rPr>
                <w:sz w:val="22"/>
                <w:szCs w:val="22"/>
              </w:rPr>
              <w:t xml:space="preserve"> </w:t>
            </w:r>
            <w:proofErr w:type="spellStart"/>
            <w:r w:rsidRPr="00F23EA4">
              <w:rPr>
                <w:sz w:val="22"/>
                <w:szCs w:val="22"/>
              </w:rPr>
              <w:t>në</w:t>
            </w:r>
            <w:proofErr w:type="spellEnd"/>
            <w:r w:rsidRPr="00F23EA4">
              <w:rPr>
                <w:sz w:val="22"/>
                <w:szCs w:val="22"/>
              </w:rPr>
              <w:t xml:space="preserve"> </w:t>
            </w:r>
            <w:proofErr w:type="spellStart"/>
            <w:r w:rsidRPr="00F23EA4">
              <w:rPr>
                <w:sz w:val="22"/>
                <w:szCs w:val="22"/>
              </w:rPr>
              <w:t>gjendje</w:t>
            </w:r>
            <w:proofErr w:type="spellEnd"/>
            <w:r w:rsidRPr="00F23EA4">
              <w:rPr>
                <w:sz w:val="22"/>
                <w:szCs w:val="22"/>
              </w:rPr>
              <w:t xml:space="preserve"> </w:t>
            </w:r>
            <w:proofErr w:type="spellStart"/>
            <w:r w:rsidRPr="00F23EA4">
              <w:rPr>
                <w:sz w:val="22"/>
                <w:szCs w:val="22"/>
              </w:rPr>
              <w:t>të</w:t>
            </w:r>
            <w:proofErr w:type="spellEnd"/>
            <w:r w:rsidRPr="00F23EA4">
              <w:rPr>
                <w:sz w:val="22"/>
                <w:szCs w:val="22"/>
              </w:rPr>
              <w:t>:</w:t>
            </w:r>
          </w:p>
          <w:p w:rsidR="00042057" w:rsidRPr="00042057" w:rsidRDefault="00042057" w:rsidP="00042057">
            <w:pPr>
              <w:pStyle w:val="ListParagraph"/>
              <w:numPr>
                <w:ilvl w:val="0"/>
                <w:numId w:val="3"/>
              </w:numPr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Shpjegojë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parimet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metodave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gravimetrike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vëllimetrike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kompleksonometrike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redoks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042057" w:rsidRPr="00042057" w:rsidRDefault="00042057" w:rsidP="00042057">
            <w:pPr>
              <w:pStyle w:val="ListParagraph"/>
              <w:numPr>
                <w:ilvl w:val="0"/>
                <w:numId w:val="3"/>
              </w:numPr>
              <w:spacing w:before="100" w:beforeAutospacing="1"/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Zbatojë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procedurat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marrjes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përgatitjes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mostrës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analizë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kuantitative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042057" w:rsidRPr="00042057" w:rsidRDefault="00042057" w:rsidP="00042057">
            <w:pPr>
              <w:pStyle w:val="ListParagraph"/>
              <w:numPr>
                <w:ilvl w:val="0"/>
                <w:numId w:val="3"/>
              </w:numPr>
              <w:spacing w:before="100" w:beforeAutospacing="1"/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Përllogarisë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rezultatet</w:t>
            </w:r>
            <w:proofErr w:type="spellEnd"/>
            <w:r w:rsidRPr="00042057">
              <w:rPr>
                <w:sz w:val="22"/>
                <w:szCs w:val="22"/>
              </w:rPr>
              <w:t xml:space="preserve"> e </w:t>
            </w:r>
            <w:proofErr w:type="spellStart"/>
            <w:r w:rsidRPr="00042057">
              <w:rPr>
                <w:sz w:val="22"/>
                <w:szCs w:val="22"/>
              </w:rPr>
              <w:t>analizave</w:t>
            </w:r>
            <w:proofErr w:type="spellEnd"/>
            <w:r w:rsidRPr="00042057">
              <w:rPr>
                <w:sz w:val="22"/>
                <w:szCs w:val="22"/>
              </w:rPr>
              <w:t xml:space="preserve"> duke </w:t>
            </w:r>
            <w:proofErr w:type="spellStart"/>
            <w:r w:rsidRPr="00042057">
              <w:rPr>
                <w:sz w:val="22"/>
                <w:szCs w:val="22"/>
              </w:rPr>
              <w:t>përdorur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lastRenderedPageBreak/>
              <w:t>dhënat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gravimetrike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volumetrike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042057" w:rsidRPr="00042057" w:rsidRDefault="00042057" w:rsidP="00042057">
            <w:pPr>
              <w:pStyle w:val="ListParagraph"/>
              <w:numPr>
                <w:ilvl w:val="0"/>
                <w:numId w:val="3"/>
              </w:numPr>
              <w:spacing w:before="100" w:beforeAutospacing="1"/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Identifikojë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klasifikojë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gabimet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eksperimentale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aplikojë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metodat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minimizimin</w:t>
            </w:r>
            <w:proofErr w:type="spellEnd"/>
            <w:r w:rsidRPr="00042057">
              <w:rPr>
                <w:sz w:val="22"/>
                <w:szCs w:val="22"/>
              </w:rPr>
              <w:t xml:space="preserve"> e tyre.</w:t>
            </w:r>
          </w:p>
          <w:p w:rsidR="00042057" w:rsidRPr="00042057" w:rsidRDefault="00042057" w:rsidP="00042057">
            <w:pPr>
              <w:pStyle w:val="ListParagraph"/>
              <w:numPr>
                <w:ilvl w:val="0"/>
                <w:numId w:val="3"/>
              </w:numPr>
              <w:spacing w:before="100" w:beforeAutospacing="1"/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Zbatojë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standardizimin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kalibrimin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në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eksperimente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analitike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042057" w:rsidRPr="00042057" w:rsidRDefault="00042057" w:rsidP="00042057">
            <w:pPr>
              <w:pStyle w:val="ListParagraph"/>
              <w:numPr>
                <w:ilvl w:val="0"/>
                <w:numId w:val="3"/>
              </w:numPr>
              <w:spacing w:before="100" w:beforeAutospacing="1"/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Realizojë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titullime</w:t>
            </w:r>
            <w:proofErr w:type="spellEnd"/>
            <w:r w:rsidRPr="00042057">
              <w:rPr>
                <w:sz w:val="22"/>
                <w:szCs w:val="22"/>
              </w:rPr>
              <w:t xml:space="preserve"> acid-</w:t>
            </w:r>
            <w:proofErr w:type="spellStart"/>
            <w:r w:rsidRPr="00042057">
              <w:rPr>
                <w:sz w:val="22"/>
                <w:szCs w:val="22"/>
              </w:rPr>
              <w:t>bazë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precipitimi</w:t>
            </w:r>
            <w:proofErr w:type="spellEnd"/>
            <w:r w:rsidRPr="00042057">
              <w:rPr>
                <w:sz w:val="22"/>
                <w:szCs w:val="22"/>
              </w:rPr>
              <w:t xml:space="preserve">, </w:t>
            </w:r>
            <w:proofErr w:type="spellStart"/>
            <w:r w:rsidRPr="00042057">
              <w:rPr>
                <w:sz w:val="22"/>
                <w:szCs w:val="22"/>
              </w:rPr>
              <w:t>kompleksonometrike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oksido-reduktuese</w:t>
            </w:r>
            <w:proofErr w:type="spellEnd"/>
            <w:r w:rsidRPr="00042057">
              <w:rPr>
                <w:sz w:val="22"/>
                <w:szCs w:val="22"/>
              </w:rPr>
              <w:t xml:space="preserve"> me </w:t>
            </w:r>
            <w:proofErr w:type="spellStart"/>
            <w:r w:rsidRPr="00042057">
              <w:rPr>
                <w:sz w:val="22"/>
                <w:szCs w:val="22"/>
              </w:rPr>
              <w:t>saktësi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pranueshme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  <w:p w:rsidR="00424FFC" w:rsidRPr="00EF6A82" w:rsidRDefault="00042057" w:rsidP="00EF6A82">
            <w:pPr>
              <w:pStyle w:val="ListParagraph"/>
              <w:numPr>
                <w:ilvl w:val="0"/>
                <w:numId w:val="3"/>
              </w:numPr>
              <w:spacing w:before="100" w:beforeAutospacing="1"/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042057">
              <w:rPr>
                <w:sz w:val="22"/>
                <w:szCs w:val="22"/>
              </w:rPr>
              <w:t>Demonstrojë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aftësi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praktike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dhe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teorike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që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shërbejnë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si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bazë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për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analizën</w:t>
            </w:r>
            <w:proofErr w:type="spellEnd"/>
            <w:r w:rsidRPr="00042057">
              <w:rPr>
                <w:sz w:val="22"/>
                <w:szCs w:val="22"/>
              </w:rPr>
              <w:t xml:space="preserve"> </w:t>
            </w:r>
            <w:proofErr w:type="spellStart"/>
            <w:r w:rsidRPr="00042057">
              <w:rPr>
                <w:sz w:val="22"/>
                <w:szCs w:val="22"/>
              </w:rPr>
              <w:t>instrumentale</w:t>
            </w:r>
            <w:proofErr w:type="spellEnd"/>
            <w:r w:rsidRPr="00042057">
              <w:rPr>
                <w:sz w:val="22"/>
                <w:szCs w:val="22"/>
              </w:rPr>
              <w:t>.</w:t>
            </w:r>
          </w:p>
        </w:tc>
      </w:tr>
      <w:tr w:rsidR="00424FFC" w:rsidRPr="00315E53" w:rsidTr="008D5B1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24FFC" w:rsidRPr="00315E53" w:rsidTr="008D5B1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424FFC" w:rsidRPr="00315E53" w:rsidRDefault="00424FFC" w:rsidP="00665D14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Kontributi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nё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ngarkesёn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studentit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(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gjё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qё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duhet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korrespondoj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me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rezultatet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nxёnit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tё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studentit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</w:tr>
      <w:tr w:rsidR="00424FFC" w:rsidRPr="00315E53" w:rsidTr="008D5B1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  <w:b/>
              </w:rPr>
            </w:pPr>
            <w:proofErr w:type="spellStart"/>
            <w:r w:rsidRPr="00315E53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315E5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  <w:b/>
              </w:rPr>
            </w:pPr>
            <w:proofErr w:type="spellStart"/>
            <w:r w:rsidRPr="00315E53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315E5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  <w:b/>
              </w:rPr>
            </w:pPr>
            <w:r w:rsidRPr="00315E5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315E53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315E53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315E53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  <w:b/>
              </w:rPr>
            </w:pPr>
            <w:proofErr w:type="spellStart"/>
            <w:r w:rsidRPr="00315E53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15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 xml:space="preserve"> 45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15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60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4FFC" w:rsidRPr="00315E53" w:rsidRDefault="00424FFC" w:rsidP="00665D14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4FFC" w:rsidRPr="00315E53" w:rsidRDefault="00424FFC" w:rsidP="00665D14"/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FC" w:rsidRPr="00315E53" w:rsidRDefault="00424FFC" w:rsidP="00665D14"/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r w:rsidRPr="00315E53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>
              <w:rPr>
                <w:sz w:val="22"/>
                <w:szCs w:val="22"/>
              </w:rPr>
              <w:t>8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4FFC" w:rsidRPr="00315E53" w:rsidRDefault="00424FFC" w:rsidP="00665D14">
            <w:r>
              <w:rPr>
                <w:sz w:val="22"/>
                <w:szCs w:val="22"/>
              </w:rPr>
              <w:t>16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4FFC" w:rsidRPr="00315E53" w:rsidRDefault="00424FFC" w:rsidP="00665D14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4FFC" w:rsidRPr="00315E53" w:rsidRDefault="00424FFC" w:rsidP="00665D14"/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FC" w:rsidRPr="00315E53" w:rsidRDefault="00424FFC" w:rsidP="00665D14"/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6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4FFC" w:rsidRPr="00315E53" w:rsidRDefault="00424FFC" w:rsidP="00665D14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4FFC" w:rsidRPr="00315E53" w:rsidRDefault="00424FFC" w:rsidP="00665D14"/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FC" w:rsidRPr="00315E53" w:rsidRDefault="00424FFC" w:rsidP="00665D14"/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10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20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>
              <w:rPr>
                <w:sz w:val="22"/>
                <w:szCs w:val="22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r w:rsidRPr="00315E53">
              <w:rPr>
                <w:sz w:val="22"/>
                <w:szCs w:val="22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4FFC" w:rsidRPr="00315E53" w:rsidRDefault="00424FFC" w:rsidP="00665D14">
            <w:r>
              <w:rPr>
                <w:sz w:val="22"/>
                <w:szCs w:val="22"/>
              </w:rPr>
              <w:t>2</w:t>
            </w:r>
            <w:r w:rsidRPr="00315E53">
              <w:rPr>
                <w:sz w:val="22"/>
                <w:szCs w:val="22"/>
              </w:rPr>
              <w:t>4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teste,kuiz,provim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lang w:val="pt-BR"/>
              </w:rPr>
            </w:pPr>
            <w:r w:rsidRPr="00315E53">
              <w:rPr>
                <w:sz w:val="22"/>
                <w:szCs w:val="22"/>
                <w:lang w:val="pt-BR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4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24FFC" w:rsidRPr="00315E53" w:rsidRDefault="00424FFC" w:rsidP="00665D14">
            <w:pPr>
              <w:rPr>
                <w:rFonts w:ascii="Calibri" w:hAnsi="Calibri" w:cs="Arial"/>
              </w:rPr>
            </w:pP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spellEnd"/>
            <w:r w:rsidRPr="00315E53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proofErr w:type="spellStart"/>
            <w:r w:rsidRPr="00315E53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4FFC" w:rsidRPr="00315E53" w:rsidRDefault="00424FFC" w:rsidP="00665D14"/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24FFC" w:rsidRPr="00315E53" w:rsidRDefault="00424FFC" w:rsidP="00665D14"/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FFC" w:rsidRPr="00315E53" w:rsidRDefault="00424FFC" w:rsidP="00665D14"/>
        </w:tc>
      </w:tr>
      <w:tr w:rsidR="00424FFC" w:rsidRPr="00315E53" w:rsidTr="008D5B12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424FFC" w:rsidRPr="00315E53" w:rsidRDefault="00424FFC" w:rsidP="00665D14">
            <w:pPr>
              <w:rPr>
                <w:rFonts w:ascii="Calibri" w:hAnsi="Calibri" w:cs="Arial"/>
                <w:b/>
              </w:rPr>
            </w:pPr>
            <w:proofErr w:type="spellStart"/>
            <w:r w:rsidRPr="00315E53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315E5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424FFC" w:rsidRPr="00315E53" w:rsidRDefault="00424FFC" w:rsidP="00665D1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424FFC" w:rsidRPr="00315E53" w:rsidRDefault="00424FFC" w:rsidP="00665D14">
            <w:pPr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424FFC" w:rsidRPr="00315E53" w:rsidRDefault="00424FFC" w:rsidP="00665D14">
            <w:pPr>
              <w:rPr>
                <w:b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424FFC" w:rsidRPr="00315E53" w:rsidRDefault="00424FFC" w:rsidP="00665D1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175</w:t>
            </w:r>
          </w:p>
        </w:tc>
      </w:tr>
      <w:tr w:rsidR="00424FFC" w:rsidRPr="00315E53" w:rsidTr="008D5B1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24FFC" w:rsidRPr="00315E53" w:rsidRDefault="00424FFC" w:rsidP="00665D14">
            <w:pPr>
              <w:rPr>
                <w:rFonts w:ascii="Calibri" w:hAnsi="Calibri" w:cs="Arial"/>
                <w:b/>
              </w:rPr>
            </w:pP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Metodologjia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mësimëdhënies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i/>
                <w:sz w:val="22"/>
                <w:szCs w:val="22"/>
              </w:rPr>
            </w:pPr>
            <w:proofErr w:type="spellStart"/>
            <w:r w:rsidRPr="00315E53">
              <w:rPr>
                <w:sz w:val="22"/>
                <w:szCs w:val="22"/>
              </w:rPr>
              <w:t>Ligjërata</w:t>
            </w:r>
            <w:proofErr w:type="spellEnd"/>
            <w:r w:rsidRPr="00315E53">
              <w:rPr>
                <w:sz w:val="22"/>
                <w:szCs w:val="22"/>
              </w:rPr>
              <w:t xml:space="preserve">, </w:t>
            </w:r>
            <w:proofErr w:type="spellStart"/>
            <w:r w:rsidRPr="00315E53">
              <w:rPr>
                <w:sz w:val="22"/>
                <w:szCs w:val="22"/>
              </w:rPr>
              <w:t>ushtrime</w:t>
            </w:r>
            <w:proofErr w:type="spellEnd"/>
            <w:r w:rsidRPr="00315E53">
              <w:rPr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sz w:val="22"/>
                <w:szCs w:val="22"/>
              </w:rPr>
              <w:t>laboratorike</w:t>
            </w:r>
            <w:proofErr w:type="spellEnd"/>
            <w:r w:rsidRPr="00315E53">
              <w:rPr>
                <w:sz w:val="22"/>
                <w:szCs w:val="22"/>
              </w:rPr>
              <w:t xml:space="preserve">,  </w:t>
            </w:r>
            <w:proofErr w:type="spellStart"/>
            <w:r w:rsidRPr="00315E53">
              <w:rPr>
                <w:sz w:val="22"/>
                <w:szCs w:val="22"/>
              </w:rPr>
              <w:t>kollokfiume</w:t>
            </w:r>
            <w:proofErr w:type="spellEnd"/>
            <w:r w:rsidRPr="00315E53">
              <w:rPr>
                <w:sz w:val="22"/>
                <w:szCs w:val="22"/>
              </w:rPr>
              <w:t xml:space="preserve">, </w:t>
            </w:r>
            <w:proofErr w:type="spellStart"/>
            <w:r w:rsidRPr="00315E53">
              <w:rPr>
                <w:sz w:val="22"/>
                <w:szCs w:val="22"/>
              </w:rPr>
              <w:t>seminare</w:t>
            </w:r>
            <w:proofErr w:type="spellEnd"/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Metodat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vlerësimit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057" w:rsidRDefault="00042057" w:rsidP="00042057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Vlerësimi i vazhdueshëm:</w:t>
            </w:r>
          </w:p>
          <w:p w:rsidR="00042057" w:rsidRDefault="00042057" w:rsidP="00042057">
            <w:pPr>
              <w:jc w:val="both"/>
            </w:pPr>
            <w:proofErr w:type="spellStart"/>
            <w:r>
              <w:t>Vlerësimi</w:t>
            </w:r>
            <w:proofErr w:type="spellEnd"/>
            <w:r>
              <w:t xml:space="preserve"> i </w:t>
            </w:r>
            <w:proofErr w:type="spellStart"/>
            <w:r>
              <w:t>parë</w:t>
            </w:r>
            <w:proofErr w:type="spellEnd"/>
            <w:r>
              <w:t>: 40%;</w:t>
            </w:r>
          </w:p>
          <w:p w:rsidR="00042057" w:rsidRDefault="00042057" w:rsidP="00042057">
            <w:pPr>
              <w:jc w:val="both"/>
            </w:pPr>
            <w:proofErr w:type="spellStart"/>
            <w:r>
              <w:t>Vlerësimi</w:t>
            </w:r>
            <w:proofErr w:type="spellEnd"/>
            <w:r>
              <w:t xml:space="preserve"> i </w:t>
            </w:r>
            <w:proofErr w:type="spellStart"/>
            <w:r>
              <w:t>dytë</w:t>
            </w:r>
            <w:proofErr w:type="spellEnd"/>
            <w:r>
              <w:t xml:space="preserve">  40%;</w:t>
            </w:r>
          </w:p>
          <w:p w:rsidR="00042057" w:rsidRDefault="00042057" w:rsidP="00042057">
            <w:pPr>
              <w:jc w:val="both"/>
            </w:pPr>
            <w:proofErr w:type="spellStart"/>
            <w:r>
              <w:t>Ushtrimet</w:t>
            </w:r>
            <w:proofErr w:type="spellEnd"/>
            <w:r>
              <w:t xml:space="preserve"> </w:t>
            </w:r>
            <w:proofErr w:type="spellStart"/>
            <w:r>
              <w:t>laboratorike</w:t>
            </w:r>
            <w:proofErr w:type="spellEnd"/>
            <w:r>
              <w:t xml:space="preserve"> 10%;</w:t>
            </w:r>
          </w:p>
          <w:p w:rsidR="00042057" w:rsidRDefault="00042057" w:rsidP="00042057">
            <w:pPr>
              <w:jc w:val="both"/>
            </w:pPr>
            <w:proofErr w:type="spellStart"/>
            <w:r>
              <w:t>Detyrat</w:t>
            </w:r>
            <w:proofErr w:type="spellEnd"/>
            <w:r>
              <w:t xml:space="preserve"> e </w:t>
            </w:r>
            <w:proofErr w:type="spellStart"/>
            <w:r>
              <w:t>shtëpisë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angazhime</w:t>
            </w:r>
            <w:proofErr w:type="spellEnd"/>
            <w:r>
              <w:t xml:space="preserve"> </w:t>
            </w:r>
            <w:proofErr w:type="spellStart"/>
            <w:r>
              <w:t>tjera</w:t>
            </w:r>
            <w:proofErr w:type="spellEnd"/>
            <w:r>
              <w:t xml:space="preserve"> 5%;</w:t>
            </w:r>
          </w:p>
          <w:p w:rsidR="00042057" w:rsidRDefault="00042057" w:rsidP="00042057">
            <w:pPr>
              <w:jc w:val="both"/>
            </w:pPr>
            <w:proofErr w:type="spellStart"/>
            <w:r>
              <w:t>Vijueshmëria</w:t>
            </w:r>
            <w:proofErr w:type="spellEnd"/>
            <w:r>
              <w:t xml:space="preserve"> 5%;</w:t>
            </w:r>
          </w:p>
          <w:p w:rsidR="00042057" w:rsidRDefault="00042057" w:rsidP="00042057">
            <w:pPr>
              <w:jc w:val="both"/>
            </w:pPr>
          </w:p>
          <w:p w:rsidR="00042057" w:rsidRDefault="00042057" w:rsidP="00042057">
            <w:pPr>
              <w:jc w:val="both"/>
              <w:rPr>
                <w:b/>
              </w:rPr>
            </w:pPr>
            <w:proofErr w:type="spellStart"/>
            <w:r w:rsidRPr="00F23EA4">
              <w:rPr>
                <w:b/>
              </w:rPr>
              <w:t>Provimi</w:t>
            </w:r>
            <w:proofErr w:type="spellEnd"/>
            <w:r w:rsidRPr="00F23EA4">
              <w:rPr>
                <w:b/>
              </w:rPr>
              <w:t xml:space="preserve"> </w:t>
            </w:r>
            <w:proofErr w:type="spellStart"/>
            <w:r w:rsidRPr="00F23EA4">
              <w:rPr>
                <w:b/>
              </w:rPr>
              <w:t>përfundimtar</w:t>
            </w:r>
            <w:proofErr w:type="spellEnd"/>
            <w:r w:rsidRPr="00F23EA4">
              <w:rPr>
                <w:b/>
              </w:rPr>
              <w:t>:</w:t>
            </w:r>
          </w:p>
          <w:p w:rsidR="00042057" w:rsidRPr="00F23EA4" w:rsidRDefault="00042057" w:rsidP="00042057">
            <w:pPr>
              <w:jc w:val="both"/>
            </w:pPr>
            <w:proofErr w:type="spellStart"/>
            <w:r>
              <w:t>Provimi</w:t>
            </w:r>
            <w:proofErr w:type="spellEnd"/>
            <w:r>
              <w:t xml:space="preserve"> </w:t>
            </w:r>
            <w:proofErr w:type="spellStart"/>
            <w:r>
              <w:t>përfundimtar</w:t>
            </w:r>
            <w:proofErr w:type="spellEnd"/>
            <w:r>
              <w:t xml:space="preserve"> </w:t>
            </w:r>
            <w:proofErr w:type="spellStart"/>
            <w:r>
              <w:t>organizohet</w:t>
            </w:r>
            <w:proofErr w:type="spellEnd"/>
            <w:r>
              <w:t xml:space="preserve"> me </w:t>
            </w:r>
            <w:proofErr w:type="spellStart"/>
            <w:r>
              <w:t>shkrim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me </w:t>
            </w:r>
            <w:proofErr w:type="spellStart"/>
            <w:r>
              <w:t>gojë</w:t>
            </w:r>
            <w:proofErr w:type="spellEnd"/>
            <w:r>
              <w:t>.</w:t>
            </w:r>
          </w:p>
          <w:p w:rsidR="00042057" w:rsidRDefault="00042057" w:rsidP="00042057"/>
          <w:p w:rsidR="00042057" w:rsidRPr="00173EE2" w:rsidRDefault="00042057" w:rsidP="00042057">
            <w:pPr>
              <w:rPr>
                <w:b/>
              </w:rPr>
            </w:pPr>
            <w:proofErr w:type="spellStart"/>
            <w:r w:rsidRPr="0074427B">
              <w:rPr>
                <w:b/>
              </w:rPr>
              <w:t>Notimi</w:t>
            </w:r>
            <w:proofErr w:type="spellEnd"/>
            <w:r w:rsidRPr="0074427B">
              <w:rPr>
                <w:b/>
              </w:rPr>
              <w:t>:</w:t>
            </w:r>
          </w:p>
          <w:p w:rsidR="00042057" w:rsidRPr="0074427B" w:rsidRDefault="00042057" w:rsidP="00042057">
            <w:pPr>
              <w:jc w:val="both"/>
            </w:pPr>
            <w:r w:rsidRPr="0074427B">
              <w:t xml:space="preserve">51%- 60% = 6 </w:t>
            </w:r>
          </w:p>
          <w:p w:rsidR="00042057" w:rsidRPr="0074427B" w:rsidRDefault="00042057" w:rsidP="00042057">
            <w:pPr>
              <w:jc w:val="both"/>
            </w:pPr>
            <w:r w:rsidRPr="0074427B">
              <w:t>61% -70% = 7</w:t>
            </w:r>
          </w:p>
          <w:p w:rsidR="00042057" w:rsidRPr="0074427B" w:rsidRDefault="00042057" w:rsidP="00042057">
            <w:pPr>
              <w:jc w:val="both"/>
            </w:pPr>
            <w:r w:rsidRPr="0074427B">
              <w:t xml:space="preserve">71% - 80% = 8 </w:t>
            </w:r>
          </w:p>
          <w:p w:rsidR="00042057" w:rsidRPr="0074427B" w:rsidRDefault="00042057" w:rsidP="00042057">
            <w:pPr>
              <w:jc w:val="both"/>
            </w:pPr>
            <w:r w:rsidRPr="0074427B">
              <w:t>81% - 90% = 9</w:t>
            </w:r>
          </w:p>
          <w:p w:rsidR="00424FFC" w:rsidRPr="00042057" w:rsidRDefault="00042057" w:rsidP="00042057">
            <w:pPr>
              <w:rPr>
                <w:b/>
              </w:rPr>
            </w:pPr>
            <w:r w:rsidRPr="0074427B">
              <w:t>91%-100% =10</w:t>
            </w:r>
            <w:r w:rsidR="00424FFC" w:rsidRPr="00315E53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</w:tr>
      <w:tr w:rsidR="00424FFC" w:rsidRPr="00315E53" w:rsidTr="008D5B1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Literatura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Literatura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bazë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Default="00424FFC" w:rsidP="00665D14">
            <w:pPr>
              <w:pStyle w:val="BodyText"/>
              <w:spacing w:line="240" w:lineRule="auto"/>
            </w:pPr>
            <w:r>
              <w:t xml:space="preserve">Fatmir Faiku, Kimia </w:t>
            </w:r>
            <w:proofErr w:type="spellStart"/>
            <w:r>
              <w:t>analitike</w:t>
            </w:r>
            <w:proofErr w:type="spellEnd"/>
            <w:r>
              <w:t xml:space="preserve"> II, </w:t>
            </w:r>
            <w:proofErr w:type="spellStart"/>
            <w:r>
              <w:t>Prishtinë</w:t>
            </w:r>
            <w:proofErr w:type="spellEnd"/>
            <w:r>
              <w:t>, 2020.</w:t>
            </w:r>
          </w:p>
          <w:p w:rsidR="00042057" w:rsidRDefault="00042057" w:rsidP="00665D14">
            <w:pPr>
              <w:pStyle w:val="BodyText"/>
              <w:spacing w:line="240" w:lineRule="auto"/>
            </w:pPr>
            <w:proofErr w:type="spellStart"/>
            <w:r>
              <w:t>Përmbledhje</w:t>
            </w:r>
            <w:proofErr w:type="spellEnd"/>
            <w:r>
              <w:t xml:space="preserve"> </w:t>
            </w:r>
            <w:proofErr w:type="spellStart"/>
            <w:r>
              <w:t>detyrash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Kimia </w:t>
            </w:r>
            <w:proofErr w:type="spellStart"/>
            <w:r>
              <w:t>analitike</w:t>
            </w:r>
            <w:proofErr w:type="spellEnd"/>
            <w:r>
              <w:t xml:space="preserve"> II, </w:t>
            </w:r>
            <w:proofErr w:type="spellStart"/>
            <w:r>
              <w:t>Prishtinë</w:t>
            </w:r>
            <w:proofErr w:type="spellEnd"/>
            <w:r>
              <w:t>, 2023.</w:t>
            </w:r>
          </w:p>
          <w:p w:rsidR="00424FFC" w:rsidRPr="00315E53" w:rsidRDefault="008D5B12" w:rsidP="00665D14">
            <w:pPr>
              <w:pStyle w:val="BodyText"/>
              <w:spacing w:line="240" w:lineRule="auto"/>
              <w:rPr>
                <w:lang w:val="de-DE"/>
              </w:rPr>
            </w:pPr>
            <w:hyperlink r:id="rId6" w:history="1">
              <w:r w:rsidR="00424FFC" w:rsidRPr="000E4134">
                <w:rPr>
                  <w:rStyle w:val="Hyperlink"/>
                  <w:color w:val="auto"/>
                  <w:sz w:val="22"/>
                  <w:szCs w:val="22"/>
                  <w:u w:val="none"/>
                  <w:shd w:val="clear" w:color="auto" w:fill="FFFFFF"/>
                </w:rPr>
                <w:t>Daniel C. Harris</w:t>
              </w:r>
            </w:hyperlink>
            <w:r w:rsidR="00424FFC" w:rsidRPr="000E4134">
              <w:rPr>
                <w:sz w:val="22"/>
                <w:szCs w:val="22"/>
              </w:rPr>
              <w:t xml:space="preserve">, </w:t>
            </w:r>
            <w:r w:rsidR="00424FFC" w:rsidRPr="00315E53">
              <w:rPr>
                <w:sz w:val="22"/>
                <w:szCs w:val="22"/>
              </w:rPr>
              <w:t>Quantitative Chemical Analysis</w:t>
            </w:r>
            <w:r w:rsidR="00424FFC" w:rsidRPr="00315E53">
              <w:rPr>
                <w:bCs/>
                <w:sz w:val="22"/>
                <w:szCs w:val="22"/>
              </w:rPr>
              <w:t>, 2015.</w:t>
            </w:r>
          </w:p>
        </w:tc>
      </w:tr>
      <w:tr w:rsidR="00424FFC" w:rsidRPr="00315E53" w:rsidTr="00665D1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315E53" w:rsidRDefault="00424FFC" w:rsidP="00665D14">
            <w:pPr>
              <w:pStyle w:val="NoSpacing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Literatura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="Calibri" w:hAnsi="Calibri"/>
                <w:b/>
                <w:sz w:val="22"/>
                <w:szCs w:val="22"/>
              </w:rPr>
              <w:t>shtesë</w:t>
            </w:r>
            <w:proofErr w:type="spellEnd"/>
            <w:r w:rsidRPr="00315E53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Default="00424FFC" w:rsidP="00665D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lang w:val="en-US" w:eastAsia="en-US"/>
              </w:rPr>
            </w:pPr>
            <w:r w:rsidRPr="00315E53">
              <w:rPr>
                <w:sz w:val="22"/>
                <w:szCs w:val="22"/>
                <w:lang w:val="de-DE"/>
              </w:rPr>
              <w:t>Daut Vezi, Bazat teorike t</w:t>
            </w:r>
            <w:r w:rsidRPr="00315E53">
              <w:rPr>
                <w:sz w:val="22"/>
                <w:szCs w:val="22"/>
              </w:rPr>
              <w:t xml:space="preserve">ë </w:t>
            </w:r>
            <w:proofErr w:type="spellStart"/>
            <w:r w:rsidRPr="00315E53">
              <w:rPr>
                <w:sz w:val="22"/>
                <w:szCs w:val="22"/>
              </w:rPr>
              <w:t>kimisë</w:t>
            </w:r>
            <w:proofErr w:type="spellEnd"/>
            <w:r w:rsidRPr="00315E53">
              <w:rPr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sz w:val="22"/>
                <w:szCs w:val="22"/>
              </w:rPr>
              <w:t>analitike</w:t>
            </w:r>
            <w:proofErr w:type="spellEnd"/>
            <w:r w:rsidRPr="00315E53">
              <w:rPr>
                <w:sz w:val="22"/>
                <w:szCs w:val="22"/>
              </w:rPr>
              <w:t xml:space="preserve">, </w:t>
            </w:r>
            <w:proofErr w:type="spellStart"/>
            <w:r w:rsidRPr="00315E53">
              <w:rPr>
                <w:sz w:val="22"/>
                <w:szCs w:val="22"/>
              </w:rPr>
              <w:t>Tiranë</w:t>
            </w:r>
            <w:proofErr w:type="spellEnd"/>
            <w:r w:rsidRPr="00315E53">
              <w:rPr>
                <w:sz w:val="22"/>
                <w:szCs w:val="22"/>
              </w:rPr>
              <w:t>, 2007.</w:t>
            </w:r>
          </w:p>
          <w:p w:rsidR="00424FFC" w:rsidRPr="00315E53" w:rsidRDefault="00424FFC" w:rsidP="00665D14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  <w:bCs/>
                <w:iCs/>
                <w:lang w:val="en-US" w:eastAsia="en-US"/>
              </w:rPr>
            </w:pPr>
            <w:r w:rsidRPr="00315E5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Douglas A. </w:t>
            </w:r>
            <w:proofErr w:type="spellStart"/>
            <w:r w:rsidRPr="00315E53">
              <w:rPr>
                <w:rFonts w:eastAsia="Calibri"/>
                <w:bCs/>
                <w:sz w:val="22"/>
                <w:szCs w:val="22"/>
                <w:lang w:val="en-US" w:eastAsia="en-US"/>
              </w:rPr>
              <w:t>Skoog</w:t>
            </w:r>
            <w:proofErr w:type="spellEnd"/>
            <w:r w:rsidRPr="00315E53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, Donald M. West, F. James Holler, Stanley R. Crouch, </w:t>
            </w:r>
            <w:r w:rsidRPr="00315E53">
              <w:rPr>
                <w:rFonts w:eastAsia="Calibri"/>
                <w:bCs/>
                <w:iCs/>
                <w:sz w:val="22"/>
                <w:szCs w:val="22"/>
                <w:lang w:val="en-US" w:eastAsia="en-US"/>
              </w:rPr>
              <w:t>Fundamentals of analytical chemistry, 2004.</w:t>
            </w:r>
          </w:p>
        </w:tc>
      </w:tr>
    </w:tbl>
    <w:tbl>
      <w:tblPr>
        <w:tblpPr w:leftFromText="180" w:rightFromText="180" w:vertAnchor="text" w:horzAnchor="margin" w:tblpY="4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570"/>
      </w:tblGrid>
      <w:tr w:rsidR="00424FFC" w:rsidRPr="00693CD9" w:rsidTr="008D5B1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  <w:proofErr w:type="spellStart"/>
            <w:r w:rsidRPr="00693CD9">
              <w:rPr>
                <w:rFonts w:ascii="Calibri" w:hAnsi="Calibri"/>
                <w:b/>
                <w:sz w:val="22"/>
                <w:szCs w:val="22"/>
              </w:rPr>
              <w:t>Plani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rFonts w:ascii="Calibri" w:hAnsi="Calibri"/>
                <w:b/>
                <w:sz w:val="22"/>
                <w:szCs w:val="22"/>
              </w:rPr>
              <w:t>dizejnuar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rFonts w:ascii="Calibri" w:hAnsi="Calibri"/>
                <w:b/>
                <w:sz w:val="22"/>
                <w:szCs w:val="22"/>
              </w:rPr>
              <w:t>mësimit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</w:p>
        </w:tc>
      </w:tr>
      <w:tr w:rsidR="00424FFC" w:rsidRPr="00693CD9" w:rsidTr="008D5B1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  <w:r w:rsidRPr="00693CD9">
              <w:rPr>
                <w:rFonts w:ascii="Calibri" w:hAnsi="Calibri"/>
                <w:b/>
                <w:sz w:val="22"/>
                <w:szCs w:val="22"/>
              </w:rPr>
              <w:t>Java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  <w:proofErr w:type="spellStart"/>
            <w:r w:rsidRPr="00693CD9">
              <w:rPr>
                <w:rFonts w:ascii="Calibri" w:hAnsi="Calibri"/>
                <w:b/>
                <w:sz w:val="22"/>
                <w:szCs w:val="22"/>
              </w:rPr>
              <w:t>Ligjerata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rFonts w:ascii="Calibri" w:hAnsi="Calibri"/>
                <w:b/>
                <w:sz w:val="22"/>
                <w:szCs w:val="22"/>
              </w:rPr>
              <w:t>që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 do </w:t>
            </w:r>
            <w:proofErr w:type="spellStart"/>
            <w:r w:rsidRPr="00693CD9">
              <w:rPr>
                <w:rFonts w:ascii="Calibri" w:hAnsi="Calibri"/>
                <w:b/>
                <w:sz w:val="22"/>
                <w:szCs w:val="22"/>
              </w:rPr>
              <w:t>të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rFonts w:ascii="Calibri" w:hAnsi="Calibri"/>
                <w:b/>
                <w:sz w:val="22"/>
                <w:szCs w:val="22"/>
              </w:rPr>
              <w:t>zhvillohet</w:t>
            </w:r>
            <w:proofErr w:type="spellEnd"/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parë</w:t>
            </w:r>
            <w:proofErr w:type="spellEnd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rFonts w:ascii="Calibri" w:hAnsi="Calibri"/>
                <w:b/>
              </w:rPr>
            </w:pPr>
            <w:proofErr w:type="spellStart"/>
            <w:r w:rsidRPr="00693CD9">
              <w:rPr>
                <w:sz w:val="22"/>
                <w:szCs w:val="22"/>
              </w:rPr>
              <w:t>Hyrje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Klasifikimi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metodave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analizës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kimike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kuantitative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Metodat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analizës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kuantitative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Analiza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vëllimetrike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gravimetrike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Rrugët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zhvillimit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analizës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kuantitative</w:t>
            </w:r>
            <w:proofErr w:type="spellEnd"/>
            <w:r w:rsidRPr="00693CD9">
              <w:rPr>
                <w:sz w:val="22"/>
                <w:szCs w:val="22"/>
              </w:rPr>
              <w:t>.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dytë</w:t>
            </w:r>
            <w:proofErr w:type="spellEnd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</w:pPr>
            <w:proofErr w:type="spellStart"/>
            <w:r w:rsidRPr="00693CD9">
              <w:rPr>
                <w:sz w:val="22"/>
                <w:szCs w:val="22"/>
              </w:rPr>
              <w:t>Qasje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sistematike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për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analizën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kimike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Mostra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marrja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mostrave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Përgatitja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mostrës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Vlerësimi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dhënave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analitike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Gabimet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kiminë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analitike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kuantitative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Gabimet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caktuara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Gabimet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që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rrjedhin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prej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aparateve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reagjentëve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Gabimet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gjatë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punës</w:t>
            </w:r>
            <w:proofErr w:type="spellEnd"/>
            <w:r w:rsidRPr="00693CD9">
              <w:rPr>
                <w:sz w:val="22"/>
                <w:szCs w:val="22"/>
              </w:rPr>
              <w:t>.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tretë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rFonts w:ascii="Calibri" w:hAnsi="Calibri"/>
                <w:b/>
              </w:rPr>
            </w:pPr>
            <w:proofErr w:type="spellStart"/>
            <w:r w:rsidRPr="00693CD9">
              <w:rPr>
                <w:sz w:val="22"/>
                <w:szCs w:val="22"/>
              </w:rPr>
              <w:t>Gabimet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personale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Gabimet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metodës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Gabimet</w:t>
            </w:r>
            <w:proofErr w:type="spellEnd"/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origjinë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pacaktuar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r w:rsidRPr="00693CD9">
              <w:rPr>
                <w:bCs/>
                <w:sz w:val="22"/>
                <w:szCs w:val="22"/>
                <w:lang w:val="de-DE"/>
              </w:rPr>
              <w:t>Largimi i rezultatit, Sakt</w:t>
            </w:r>
            <w:proofErr w:type="spellStart"/>
            <w:r w:rsidRPr="00693CD9">
              <w:rPr>
                <w:sz w:val="22"/>
                <w:szCs w:val="22"/>
              </w:rPr>
              <w:t>ësia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kërkuar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analizën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kuantitative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Kalibrimi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standardizimi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Prova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verbër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r w:rsidRPr="00693CD9">
              <w:rPr>
                <w:sz w:val="22"/>
                <w:szCs w:val="22"/>
                <w:lang w:val="de-DE"/>
              </w:rPr>
              <w:t xml:space="preserve">Metodat gravimetrike, </w:t>
            </w:r>
            <w:proofErr w:type="spellStart"/>
            <w:r w:rsidRPr="00693CD9">
              <w:rPr>
                <w:sz w:val="22"/>
                <w:szCs w:val="22"/>
              </w:rPr>
              <w:t>Madhësia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grimcave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pastërtia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precipitatit</w:t>
            </w:r>
            <w:proofErr w:type="spellEnd"/>
            <w:r w:rsidRPr="00693CD9">
              <w:rPr>
                <w:sz w:val="22"/>
                <w:szCs w:val="22"/>
              </w:rPr>
              <w:t>.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katërt</w:t>
            </w:r>
            <w:proofErr w:type="spellEnd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rFonts w:ascii="Calibri" w:hAnsi="Calibri"/>
                <w:b/>
              </w:rPr>
            </w:pPr>
            <w:proofErr w:type="spellStart"/>
            <w:r w:rsidRPr="00693CD9">
              <w:rPr>
                <w:sz w:val="22"/>
                <w:szCs w:val="22"/>
              </w:rPr>
              <w:t>Reagjentët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precipitues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Filtrimi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larja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precipitateve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Tharja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kalcinimi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precipitateve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r w:rsidRPr="00693CD9">
              <w:rPr>
                <w:sz w:val="22"/>
                <w:szCs w:val="22"/>
                <w:lang w:val="de-DE"/>
              </w:rPr>
              <w:t>Dukuritë e precipitimit</w:t>
            </w:r>
            <w:proofErr w:type="gramStart"/>
            <w:r w:rsidRPr="00693CD9">
              <w:rPr>
                <w:sz w:val="22"/>
                <w:szCs w:val="22"/>
                <w:lang w:val="de-DE"/>
              </w:rPr>
              <w:t>,  Tretësirat</w:t>
            </w:r>
            <w:proofErr w:type="gramEnd"/>
            <w:r w:rsidRPr="00693CD9">
              <w:rPr>
                <w:sz w:val="22"/>
                <w:szCs w:val="22"/>
                <w:lang w:val="de-DE"/>
              </w:rPr>
              <w:t xml:space="preserve"> koloidale, Dukuria e flokulimit dhe e peptizimit, </w:t>
            </w:r>
            <w:proofErr w:type="spellStart"/>
            <w:r w:rsidRPr="00693CD9">
              <w:rPr>
                <w:sz w:val="22"/>
                <w:szCs w:val="22"/>
              </w:rPr>
              <w:t>Llogaritja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rezultateve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nga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dhënat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gravimetrike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Përcaktimet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gravimetrike</w:t>
            </w:r>
            <w:proofErr w:type="spellEnd"/>
            <w:r w:rsidRPr="00693CD9">
              <w:rPr>
                <w:sz w:val="22"/>
                <w:szCs w:val="22"/>
              </w:rPr>
              <w:t>.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pestë</w:t>
            </w:r>
            <w:proofErr w:type="spellEnd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rFonts w:ascii="Calibri" w:hAnsi="Calibri"/>
                <w:b/>
              </w:rPr>
            </w:pPr>
            <w:r w:rsidRPr="00693CD9">
              <w:rPr>
                <w:sz w:val="22"/>
                <w:szCs w:val="22"/>
                <w:lang w:val="de-DE"/>
              </w:rPr>
              <w:t>Principet themelore të vëllimetrisë, Tretësirat standarde, Tret</w:t>
            </w:r>
            <w:proofErr w:type="spellStart"/>
            <w:r w:rsidRPr="00693CD9">
              <w:rPr>
                <w:sz w:val="22"/>
                <w:szCs w:val="22"/>
              </w:rPr>
              <w:t>ësirat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primare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Tretësirat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sekondare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r w:rsidRPr="00693CD9">
              <w:rPr>
                <w:sz w:val="22"/>
                <w:szCs w:val="22"/>
                <w:lang w:val="de-DE"/>
              </w:rPr>
              <w:t xml:space="preserve"> Klasifikimi i metodave vëllimetrike,  Titullimi, Llojet e titullimeve, Llogaritjet n</w:t>
            </w:r>
            <w:r w:rsidRPr="00693CD9">
              <w:rPr>
                <w:sz w:val="22"/>
                <w:szCs w:val="22"/>
              </w:rPr>
              <w:t xml:space="preserve">ë </w:t>
            </w:r>
            <w:proofErr w:type="spellStart"/>
            <w:r w:rsidRPr="00693CD9">
              <w:rPr>
                <w:sz w:val="22"/>
                <w:szCs w:val="22"/>
              </w:rPr>
              <w:t>vëllimetri</w:t>
            </w:r>
            <w:proofErr w:type="spellEnd"/>
            <w:r w:rsidRPr="00693CD9">
              <w:rPr>
                <w:sz w:val="22"/>
                <w:szCs w:val="22"/>
              </w:rPr>
              <w:t>,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gjashtë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rFonts w:ascii="Calibri" w:hAnsi="Calibri"/>
                <w:b/>
              </w:rPr>
            </w:pPr>
            <w:r w:rsidRPr="00693CD9">
              <w:rPr>
                <w:sz w:val="22"/>
                <w:szCs w:val="22"/>
                <w:lang w:val="de-DE"/>
              </w:rPr>
              <w:t>Metodat e neutralizimit, Indikatorët acid-baz</w:t>
            </w:r>
            <w:r w:rsidRPr="00693CD9">
              <w:rPr>
                <w:sz w:val="22"/>
                <w:szCs w:val="22"/>
              </w:rPr>
              <w:t xml:space="preserve">ë, </w:t>
            </w:r>
            <w:proofErr w:type="spellStart"/>
            <w:r w:rsidRPr="00693CD9">
              <w:rPr>
                <w:sz w:val="22"/>
                <w:szCs w:val="22"/>
              </w:rPr>
              <w:t>Lakoret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titullimit</w:t>
            </w:r>
            <w:proofErr w:type="spellEnd"/>
            <w:r w:rsidRPr="00693CD9">
              <w:rPr>
                <w:sz w:val="22"/>
                <w:szCs w:val="22"/>
              </w:rPr>
              <w:t xml:space="preserve"> acid - </w:t>
            </w:r>
            <w:proofErr w:type="spellStart"/>
            <w:r w:rsidRPr="00693CD9">
              <w:rPr>
                <w:sz w:val="22"/>
                <w:szCs w:val="22"/>
              </w:rPr>
              <w:t>bazë</w:t>
            </w:r>
            <w:proofErr w:type="spellEnd"/>
            <w:r w:rsidRPr="00693CD9">
              <w:rPr>
                <w:sz w:val="22"/>
                <w:szCs w:val="22"/>
                <w:lang w:val="de-DE"/>
              </w:rPr>
              <w:t>, Titullimi i acidit t</w:t>
            </w:r>
            <w:r w:rsidRPr="00693CD9">
              <w:rPr>
                <w:sz w:val="22"/>
                <w:szCs w:val="22"/>
              </w:rPr>
              <w:t xml:space="preserve">ë </w:t>
            </w:r>
            <w:proofErr w:type="spellStart"/>
            <w:r w:rsidRPr="00693CD9">
              <w:rPr>
                <w:sz w:val="22"/>
                <w:szCs w:val="22"/>
              </w:rPr>
              <w:t>fortë</w:t>
            </w:r>
            <w:proofErr w:type="spellEnd"/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bazë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fortë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Titullimi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bazës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fortë</w:t>
            </w:r>
            <w:proofErr w:type="spellEnd"/>
            <w:r w:rsidRPr="00693CD9">
              <w:rPr>
                <w:sz w:val="22"/>
                <w:szCs w:val="22"/>
              </w:rPr>
              <w:t xml:space="preserve"> me acid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fortë</w:t>
            </w:r>
            <w:proofErr w:type="spellEnd"/>
            <w:r w:rsidRPr="00693CD9">
              <w:rPr>
                <w:sz w:val="22"/>
                <w:szCs w:val="22"/>
              </w:rPr>
              <w:t xml:space="preserve">,  </w:t>
            </w:r>
            <w:proofErr w:type="spellStart"/>
            <w:r w:rsidRPr="00693CD9">
              <w:rPr>
                <w:sz w:val="22"/>
                <w:szCs w:val="22"/>
              </w:rPr>
              <w:t>Titullimi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acidit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dobët</w:t>
            </w:r>
            <w:proofErr w:type="spellEnd"/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bazë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fortë</w:t>
            </w:r>
            <w:proofErr w:type="spellEnd"/>
            <w:r w:rsidRPr="00693CD9">
              <w:rPr>
                <w:sz w:val="22"/>
                <w:szCs w:val="22"/>
              </w:rPr>
              <w:t>.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shtatë</w:t>
            </w:r>
            <w:proofErr w:type="spellEnd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rFonts w:ascii="Calibri" w:hAnsi="Calibri"/>
                <w:b/>
              </w:rPr>
            </w:pPr>
            <w:proofErr w:type="spellStart"/>
            <w:r w:rsidRPr="00693CD9">
              <w:rPr>
                <w:sz w:val="22"/>
                <w:szCs w:val="22"/>
              </w:rPr>
              <w:t>Titullimi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bazës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dobët</w:t>
            </w:r>
            <w:proofErr w:type="spellEnd"/>
            <w:r w:rsidRPr="00693CD9">
              <w:rPr>
                <w:sz w:val="22"/>
                <w:szCs w:val="22"/>
              </w:rPr>
              <w:t xml:space="preserve"> me acid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fortë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Titullimi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acideve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poliprotonike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Titullimi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acidit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fosforik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Titullimi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acidit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karbonik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Titullimi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acidit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borik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Gabimet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indikatorit</w:t>
            </w:r>
            <w:proofErr w:type="spellEnd"/>
            <w:r w:rsidRPr="00693CD9">
              <w:rPr>
                <w:sz w:val="22"/>
                <w:szCs w:val="22"/>
              </w:rPr>
              <w:t xml:space="preserve"> acid-</w:t>
            </w:r>
            <w:proofErr w:type="spellStart"/>
            <w:r w:rsidRPr="00693CD9">
              <w:rPr>
                <w:sz w:val="22"/>
                <w:szCs w:val="22"/>
              </w:rPr>
              <w:t>bazë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Njehsimet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gabimeve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indikatorit</w:t>
            </w:r>
            <w:proofErr w:type="spellEnd"/>
            <w:r w:rsidRPr="00693CD9">
              <w:rPr>
                <w:sz w:val="22"/>
                <w:szCs w:val="22"/>
              </w:rPr>
              <w:t xml:space="preserve"> acid </w:t>
            </w:r>
            <w:proofErr w:type="spellStart"/>
            <w:r w:rsidRPr="00693CD9">
              <w:rPr>
                <w:sz w:val="22"/>
                <w:szCs w:val="22"/>
              </w:rPr>
              <w:t>bazë</w:t>
            </w:r>
            <w:proofErr w:type="spellEnd"/>
            <w:r w:rsidRPr="00693CD9">
              <w:rPr>
                <w:sz w:val="22"/>
                <w:szCs w:val="22"/>
              </w:rPr>
              <w:t>.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  <w:i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tetë</w:t>
            </w:r>
            <w:proofErr w:type="spellEnd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b/>
              </w:rPr>
            </w:pPr>
            <w:r w:rsidRPr="00693CD9">
              <w:rPr>
                <w:b/>
                <w:sz w:val="22"/>
                <w:szCs w:val="22"/>
                <w:lang w:val="de-DE"/>
              </w:rPr>
              <w:t>Vlerësimi i parë intermediar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  <w:i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nëntë</w:t>
            </w:r>
            <w:proofErr w:type="spellEnd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</w:pPr>
            <w:proofErr w:type="spellStart"/>
            <w:r w:rsidRPr="00693CD9">
              <w:rPr>
                <w:bCs/>
                <w:sz w:val="22"/>
                <w:szCs w:val="22"/>
              </w:rPr>
              <w:t>Njehsimi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bCs/>
                <w:sz w:val="22"/>
                <w:szCs w:val="22"/>
              </w:rPr>
              <w:t>gabimit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bCs/>
                <w:sz w:val="22"/>
                <w:szCs w:val="22"/>
              </w:rPr>
              <w:t>hidrogjenik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bCs/>
                <w:sz w:val="22"/>
                <w:szCs w:val="22"/>
              </w:rPr>
              <w:t>t</w:t>
            </w:r>
            <w:r w:rsidRPr="00693CD9">
              <w:rPr>
                <w:sz w:val="22"/>
                <w:szCs w:val="22"/>
              </w:rPr>
              <w:t>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titullimit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Njehsimi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gabimit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hidroksilik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titullimit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Njehsimi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gabimit</w:t>
            </w:r>
            <w:proofErr w:type="spellEnd"/>
            <w:r w:rsidRPr="00693CD9">
              <w:rPr>
                <w:sz w:val="22"/>
                <w:szCs w:val="22"/>
              </w:rPr>
              <w:t xml:space="preserve"> acid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titullimit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Njehsimi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gabimit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bazik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titullimit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Reaksionet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precipitimit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Produkti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tretshmërisë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formimi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tretja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precipitateve</w:t>
            </w:r>
            <w:proofErr w:type="spellEnd"/>
            <w:r w:rsidRPr="00693CD9">
              <w:rPr>
                <w:sz w:val="22"/>
                <w:szCs w:val="22"/>
              </w:rPr>
              <w:t>.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  <w:i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dhjetë</w:t>
            </w:r>
            <w:proofErr w:type="spellEnd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rFonts w:ascii="Calibri" w:hAnsi="Calibri"/>
                <w:b/>
              </w:rPr>
            </w:pPr>
            <w:proofErr w:type="spellStart"/>
            <w:r w:rsidRPr="00693CD9">
              <w:rPr>
                <w:sz w:val="22"/>
                <w:szCs w:val="22"/>
              </w:rPr>
              <w:t>Analiza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vëllimetrike</w:t>
            </w:r>
            <w:proofErr w:type="spellEnd"/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precipitim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Argjendometria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klorureve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sipas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Mohrit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klorureve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sipas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Volhardit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Indikatorët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adsorbimit</w:t>
            </w:r>
            <w:proofErr w:type="spellEnd"/>
            <w:r w:rsidRPr="00693CD9">
              <w:rPr>
                <w:sz w:val="22"/>
                <w:szCs w:val="22"/>
              </w:rPr>
              <w:t xml:space="preserve">,  </w:t>
            </w:r>
            <w:proofErr w:type="spellStart"/>
            <w:r w:rsidRPr="00693CD9">
              <w:rPr>
                <w:sz w:val="22"/>
                <w:szCs w:val="22"/>
              </w:rPr>
              <w:t>Lakoret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titullimit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analizën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vëllimetrike</w:t>
            </w:r>
            <w:proofErr w:type="spellEnd"/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precipitim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Titullimi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halogjenureve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veças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njëri</w:t>
            </w:r>
            <w:proofErr w:type="spellEnd"/>
            <w:r w:rsidRPr="00693CD9">
              <w:rPr>
                <w:sz w:val="22"/>
                <w:szCs w:val="22"/>
              </w:rPr>
              <w:t xml:space="preserve"> – </w:t>
            </w:r>
            <w:proofErr w:type="spellStart"/>
            <w:r w:rsidRPr="00693CD9">
              <w:rPr>
                <w:sz w:val="22"/>
                <w:szCs w:val="22"/>
              </w:rPr>
              <w:t>tjetrit</w:t>
            </w:r>
            <w:proofErr w:type="spellEnd"/>
            <w:r w:rsidRPr="00693CD9">
              <w:rPr>
                <w:sz w:val="22"/>
                <w:szCs w:val="22"/>
              </w:rPr>
              <w:t>,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  <w:i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njëmbedhjetë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rFonts w:ascii="Calibri" w:hAnsi="Calibri"/>
                <w:b/>
              </w:rPr>
            </w:pPr>
            <w:proofErr w:type="spellStart"/>
            <w:r w:rsidRPr="00693CD9">
              <w:rPr>
                <w:sz w:val="22"/>
                <w:szCs w:val="22"/>
              </w:rPr>
              <w:t>Titullimi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halogjenureve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prani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njëri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tjetrit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Metoda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tjera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analizës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vëllimetrike</w:t>
            </w:r>
            <w:proofErr w:type="spellEnd"/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precipitim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r w:rsidRPr="00693CD9">
              <w:rPr>
                <w:bCs/>
                <w:sz w:val="22"/>
                <w:szCs w:val="22"/>
                <w:lang w:val="de-DE"/>
              </w:rPr>
              <w:t>Reaksionet e formimit t</w:t>
            </w:r>
            <w:r w:rsidRPr="00693CD9">
              <w:rPr>
                <w:sz w:val="22"/>
                <w:szCs w:val="22"/>
                <w:lang w:val="de-DE"/>
              </w:rPr>
              <w:t>ë komplekseve, Konstanta e ekuilibrit, Formimi i komplekseve t</w:t>
            </w:r>
            <w:r w:rsidRPr="00693CD9">
              <w:rPr>
                <w:sz w:val="22"/>
                <w:szCs w:val="22"/>
              </w:rPr>
              <w:t xml:space="preserve">ë </w:t>
            </w:r>
            <w:proofErr w:type="spellStart"/>
            <w:r w:rsidRPr="00693CD9">
              <w:rPr>
                <w:sz w:val="22"/>
                <w:szCs w:val="22"/>
              </w:rPr>
              <w:t>njëpasnjëshme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Konstantet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kushtëzuara</w:t>
            </w:r>
            <w:proofErr w:type="spellEnd"/>
            <w:r w:rsidRPr="00693CD9">
              <w:rPr>
                <w:sz w:val="22"/>
                <w:szCs w:val="22"/>
              </w:rPr>
              <w:t>,</w:t>
            </w:r>
            <w:r w:rsidRPr="00693CD9">
              <w:rPr>
                <w:sz w:val="22"/>
                <w:szCs w:val="22"/>
                <w:lang w:val="de-DE"/>
              </w:rPr>
              <w:t xml:space="preserve"> Tipet e komplekseve, Komplekset e thjeshta.</w:t>
            </w:r>
            <w:r w:rsidRPr="00693CD9">
              <w:rPr>
                <w:sz w:val="22"/>
                <w:szCs w:val="22"/>
              </w:rPr>
              <w:t xml:space="preserve"> 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  <w:i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dymbëdhjetë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bCs/>
                <w:lang w:val="de-DE"/>
              </w:rPr>
            </w:pPr>
            <w:proofErr w:type="spellStart"/>
            <w:r w:rsidRPr="00693CD9">
              <w:rPr>
                <w:bCs/>
                <w:sz w:val="22"/>
                <w:szCs w:val="22"/>
              </w:rPr>
              <w:t>Komplekset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bCs/>
                <w:sz w:val="22"/>
                <w:szCs w:val="22"/>
              </w:rPr>
              <w:t>kelate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bCs/>
                <w:sz w:val="22"/>
                <w:szCs w:val="22"/>
              </w:rPr>
              <w:t>Komplekset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bCs/>
                <w:sz w:val="22"/>
                <w:szCs w:val="22"/>
              </w:rPr>
              <w:t>asocijimit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bCs/>
                <w:sz w:val="22"/>
                <w:szCs w:val="22"/>
              </w:rPr>
              <w:t>jonik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bCs/>
                <w:sz w:val="22"/>
                <w:szCs w:val="22"/>
              </w:rPr>
              <w:t>Kompleksometria</w:t>
            </w:r>
            <w:proofErr w:type="spellEnd"/>
            <w:r w:rsidRPr="00693CD9">
              <w:rPr>
                <w:sz w:val="22"/>
                <w:szCs w:val="22"/>
                <w:lang w:val="de-DE"/>
              </w:rPr>
              <w:t xml:space="preserve">, </w:t>
            </w:r>
            <w:proofErr w:type="spellStart"/>
            <w:r w:rsidRPr="00693CD9">
              <w:rPr>
                <w:bCs/>
                <w:sz w:val="22"/>
                <w:szCs w:val="22"/>
              </w:rPr>
              <w:t>Titullimi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bCs/>
                <w:sz w:val="22"/>
                <w:szCs w:val="22"/>
              </w:rPr>
              <w:t>cianureve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bCs/>
                <w:sz w:val="22"/>
                <w:szCs w:val="22"/>
              </w:rPr>
              <w:t>tret</w:t>
            </w:r>
            <w:r w:rsidRPr="00693CD9">
              <w:rPr>
                <w:sz w:val="22"/>
                <w:szCs w:val="22"/>
              </w:rPr>
              <w:t>ësirë</w:t>
            </w:r>
            <w:proofErr w:type="spellEnd"/>
            <w:r w:rsidRPr="00693CD9">
              <w:rPr>
                <w:sz w:val="22"/>
                <w:szCs w:val="22"/>
              </w:rPr>
              <w:t xml:space="preserve"> AgNO</w:t>
            </w:r>
            <w:r w:rsidRPr="00693CD9">
              <w:rPr>
                <w:sz w:val="22"/>
                <w:szCs w:val="22"/>
                <w:vertAlign w:val="subscript"/>
              </w:rPr>
              <w:t>3</w:t>
            </w:r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Kompleksonometria</w:t>
            </w:r>
            <w:proofErr w:type="spellEnd"/>
            <w:r w:rsidRPr="00693CD9">
              <w:rPr>
                <w:sz w:val="22"/>
                <w:szCs w:val="22"/>
              </w:rPr>
              <w:t xml:space="preserve">, Format e </w:t>
            </w:r>
            <w:proofErr w:type="spellStart"/>
            <w:r w:rsidRPr="00693CD9">
              <w:rPr>
                <w:sz w:val="22"/>
                <w:szCs w:val="22"/>
              </w:rPr>
              <w:t>ndryshme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disocijimit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EDTA, </w:t>
            </w:r>
            <w:proofErr w:type="spellStart"/>
            <w:r w:rsidRPr="00693CD9">
              <w:rPr>
                <w:bCs/>
                <w:sz w:val="22"/>
                <w:szCs w:val="22"/>
              </w:rPr>
              <w:t>Ndikimi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i pH </w:t>
            </w:r>
            <w:proofErr w:type="spellStart"/>
            <w:r w:rsidRPr="00693CD9">
              <w:rPr>
                <w:bCs/>
                <w:sz w:val="22"/>
                <w:szCs w:val="22"/>
              </w:rPr>
              <w:t>n</w:t>
            </w:r>
            <w:r w:rsidRPr="00693CD9">
              <w:rPr>
                <w:sz w:val="22"/>
                <w:szCs w:val="22"/>
              </w:rPr>
              <w:t>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qëndrueshmërinë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kompleksit</w:t>
            </w:r>
            <w:proofErr w:type="spellEnd"/>
            <w:r w:rsidRPr="00693CD9">
              <w:rPr>
                <w:sz w:val="22"/>
                <w:szCs w:val="22"/>
              </w:rPr>
              <w:t xml:space="preserve"> M-EDTA.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  <w:i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trembëdhjetë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rFonts w:ascii="Calibri" w:hAnsi="Calibri"/>
                <w:b/>
              </w:rPr>
            </w:pPr>
            <w:r w:rsidRPr="00693CD9">
              <w:rPr>
                <w:bCs/>
                <w:sz w:val="22"/>
                <w:szCs w:val="22"/>
                <w:lang w:val="de-DE"/>
              </w:rPr>
              <w:t>Ndikimi i formimit t</w:t>
            </w:r>
            <w:r w:rsidRPr="00693CD9">
              <w:rPr>
                <w:sz w:val="22"/>
                <w:szCs w:val="22"/>
              </w:rPr>
              <w:t xml:space="preserve">ë </w:t>
            </w:r>
            <w:proofErr w:type="spellStart"/>
            <w:r w:rsidRPr="00693CD9">
              <w:rPr>
                <w:sz w:val="22"/>
                <w:szCs w:val="22"/>
              </w:rPr>
              <w:t>komplekseve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dytësore</w:t>
            </w:r>
            <w:proofErr w:type="spellEnd"/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jonin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qendror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qëndrueshmërinë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kompleksit</w:t>
            </w:r>
            <w:proofErr w:type="spellEnd"/>
            <w:r w:rsidRPr="00693CD9">
              <w:rPr>
                <w:sz w:val="22"/>
                <w:szCs w:val="22"/>
              </w:rPr>
              <w:t xml:space="preserve"> M – EDTA, </w:t>
            </w:r>
            <w:r w:rsidRPr="00693CD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bCs/>
                <w:sz w:val="22"/>
                <w:szCs w:val="22"/>
              </w:rPr>
              <w:t>Lakoret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bCs/>
                <w:sz w:val="22"/>
                <w:szCs w:val="22"/>
              </w:rPr>
              <w:t>titullimit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bCs/>
                <w:sz w:val="22"/>
                <w:szCs w:val="22"/>
              </w:rPr>
              <w:t>kompleksonometrik</w:t>
            </w:r>
            <w:proofErr w:type="spellEnd"/>
            <w:r w:rsidRPr="00693CD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bCs/>
                <w:sz w:val="22"/>
                <w:szCs w:val="22"/>
              </w:rPr>
              <w:t>Indikator</w:t>
            </w:r>
            <w:r w:rsidRPr="00693CD9">
              <w:rPr>
                <w:sz w:val="22"/>
                <w:szCs w:val="22"/>
              </w:rPr>
              <w:t>ët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metalik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r w:rsidRPr="00693CD9">
              <w:rPr>
                <w:sz w:val="22"/>
                <w:szCs w:val="22"/>
                <w:lang w:val="de-DE"/>
              </w:rPr>
              <w:t>Reaksionet e oksido-reduktimit, Potencialet redoks, Ekuilibrat e reaksioneve redoks.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  <w:i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katërmbëdhjetë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rFonts w:ascii="Calibri" w:hAnsi="Calibri"/>
                <w:b/>
              </w:rPr>
            </w:pPr>
            <w:r w:rsidRPr="00693CD9">
              <w:rPr>
                <w:sz w:val="22"/>
                <w:szCs w:val="22"/>
                <w:lang w:val="de-DE"/>
              </w:rPr>
              <w:t>Ndikimi i pH n</w:t>
            </w:r>
            <w:r w:rsidRPr="00693CD9">
              <w:rPr>
                <w:sz w:val="22"/>
                <w:szCs w:val="22"/>
              </w:rPr>
              <w:t xml:space="preserve">ë </w:t>
            </w:r>
            <w:proofErr w:type="spellStart"/>
            <w:r w:rsidRPr="00693CD9">
              <w:rPr>
                <w:sz w:val="22"/>
                <w:szCs w:val="22"/>
              </w:rPr>
              <w:t>reaksionet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redoks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r w:rsidRPr="00693CD9">
              <w:rPr>
                <w:sz w:val="22"/>
                <w:szCs w:val="22"/>
                <w:lang w:val="de-DE"/>
              </w:rPr>
              <w:t xml:space="preserve"> Lakoret e titullimit te metodat e oksido-reduktimit, Metoda  permanganometrike, bromatometrike, jodometrike, jodimetrike, </w:t>
            </w:r>
            <w:proofErr w:type="spellStart"/>
            <w:r w:rsidRPr="00693CD9">
              <w:rPr>
                <w:sz w:val="22"/>
                <w:szCs w:val="22"/>
              </w:rPr>
              <w:t>Lakoret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titullimit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redoks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Indikatorët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redoks</w:t>
            </w:r>
            <w:proofErr w:type="spellEnd"/>
            <w:r w:rsidRPr="00693CD9">
              <w:rPr>
                <w:sz w:val="22"/>
                <w:szCs w:val="22"/>
              </w:rPr>
              <w:t>.</w:t>
            </w:r>
          </w:p>
        </w:tc>
      </w:tr>
      <w:tr w:rsidR="00424FFC" w:rsidRPr="00693CD9" w:rsidTr="0004205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rPr>
                <w:rFonts w:ascii="Calibri" w:hAnsi="Calibri"/>
                <w:b/>
                <w:i/>
              </w:rPr>
            </w:pPr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 w:rsidRPr="00693CD9">
              <w:rPr>
                <w:rFonts w:ascii="Calibri" w:hAnsi="Calibri"/>
                <w:b/>
                <w:i/>
                <w:sz w:val="22"/>
                <w:szCs w:val="22"/>
              </w:rPr>
              <w:t>pesëmbëdhjetë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665D14">
            <w:pPr>
              <w:jc w:val="both"/>
              <w:rPr>
                <w:b/>
              </w:rPr>
            </w:pPr>
            <w:r w:rsidRPr="00693CD9">
              <w:rPr>
                <w:b/>
                <w:sz w:val="22"/>
                <w:szCs w:val="22"/>
                <w:lang w:val="de-DE"/>
              </w:rPr>
              <w:t>Vlerësimi i dytë intermediar</w:t>
            </w:r>
          </w:p>
        </w:tc>
      </w:tr>
      <w:tr w:rsidR="00424FFC" w:rsidRPr="00693CD9" w:rsidTr="008D5B1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424FFC" w:rsidRPr="00315E53" w:rsidRDefault="00424FFC" w:rsidP="00665D14">
            <w:pPr>
              <w:jc w:val="both"/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315E53">
              <w:rPr>
                <w:rFonts w:asciiTheme="minorHAnsi" w:hAnsiTheme="minorHAnsi" w:cstheme="minorHAnsi"/>
                <w:b/>
                <w:sz w:val="22"/>
                <w:szCs w:val="22"/>
              </w:rPr>
              <w:t>Plani</w:t>
            </w:r>
            <w:proofErr w:type="spellEnd"/>
            <w:r w:rsidRPr="00315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315E53">
              <w:rPr>
                <w:rFonts w:asciiTheme="minorHAnsi" w:hAnsiTheme="minorHAnsi" w:cstheme="minorHAnsi"/>
                <w:b/>
                <w:sz w:val="22"/>
                <w:szCs w:val="22"/>
              </w:rPr>
              <w:t>dizejnuar</w:t>
            </w:r>
            <w:proofErr w:type="spellEnd"/>
            <w:r w:rsidRPr="00315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315E53">
              <w:rPr>
                <w:rFonts w:asciiTheme="minorHAnsi" w:hAnsiTheme="minorHAnsi" w:cstheme="minorHAnsi"/>
                <w:b/>
                <w:sz w:val="22"/>
                <w:szCs w:val="22"/>
              </w:rPr>
              <w:t>mësimit</w:t>
            </w:r>
            <w:proofErr w:type="spellEnd"/>
            <w:r w:rsidRPr="00315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Pr="00315E53">
              <w:rPr>
                <w:rFonts w:asciiTheme="minorHAnsi" w:hAnsiTheme="minorHAnsi" w:cstheme="minorHAnsi"/>
                <w:b/>
                <w:sz w:val="22"/>
                <w:szCs w:val="22"/>
              </w:rPr>
              <w:t>ushtrimeve</w:t>
            </w:r>
            <w:proofErr w:type="spellEnd"/>
            <w:r w:rsidRPr="00315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15E53">
              <w:rPr>
                <w:rFonts w:asciiTheme="minorHAnsi" w:hAnsiTheme="minorHAnsi" w:cstheme="minorHAnsi"/>
                <w:b/>
                <w:sz w:val="22"/>
                <w:szCs w:val="22"/>
              </w:rPr>
              <w:t>laboratorike</w:t>
            </w:r>
            <w:proofErr w:type="spellEnd"/>
            <w:r w:rsidRPr="00315E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</w:t>
            </w:r>
          </w:p>
        </w:tc>
      </w:tr>
      <w:tr w:rsidR="00424FFC" w:rsidRPr="00693CD9" w:rsidTr="008D5B1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</w:tcPr>
          <w:p w:rsidR="00424FFC" w:rsidRPr="00315E53" w:rsidRDefault="00424FFC" w:rsidP="00665D14">
            <w:pPr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 w:rsidRPr="00315E53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Ushtrimet laboratorike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Përgatitja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HCl</w:t>
            </w:r>
            <w:proofErr w:type="spellEnd"/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roofErr w:type="spellStart"/>
            <w:r w:rsidRPr="00693CD9">
              <w:rPr>
                <w:sz w:val="22"/>
                <w:szCs w:val="22"/>
              </w:rPr>
              <w:t>Standardizimi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HCl</w:t>
            </w:r>
            <w:proofErr w:type="spellEnd"/>
            <w:r w:rsidRPr="00693CD9">
              <w:rPr>
                <w:sz w:val="22"/>
                <w:szCs w:val="22"/>
              </w:rPr>
              <w:t xml:space="preserve"> me Na</w:t>
            </w:r>
            <w:r w:rsidRPr="00693CD9">
              <w:rPr>
                <w:sz w:val="22"/>
                <w:szCs w:val="22"/>
                <w:vertAlign w:val="subscript"/>
              </w:rPr>
              <w:t>2</w:t>
            </w:r>
            <w:r w:rsidRPr="00693CD9">
              <w:rPr>
                <w:sz w:val="22"/>
                <w:szCs w:val="22"/>
              </w:rPr>
              <w:t>CO</w:t>
            </w:r>
            <w:r w:rsidRPr="00693CD9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Përgatitja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NaOH</w:t>
            </w:r>
            <w:proofErr w:type="spellEnd"/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Standardizimi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NaOH</w:t>
            </w:r>
            <w:proofErr w:type="spellEnd"/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H</w:t>
            </w:r>
            <w:r w:rsidRPr="00693CD9">
              <w:rPr>
                <w:sz w:val="22"/>
                <w:szCs w:val="22"/>
                <w:vertAlign w:val="subscript"/>
              </w:rPr>
              <w:t>2</w:t>
            </w:r>
            <w:r w:rsidRPr="00693CD9">
              <w:rPr>
                <w:sz w:val="22"/>
                <w:szCs w:val="22"/>
              </w:rPr>
              <w:t>SO</w:t>
            </w:r>
            <w:r w:rsidRPr="00693CD9">
              <w:rPr>
                <w:sz w:val="22"/>
                <w:szCs w:val="22"/>
                <w:vertAlign w:val="subscript"/>
              </w:rPr>
              <w:t>4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H</w:t>
            </w:r>
            <w:r w:rsidRPr="00693CD9">
              <w:rPr>
                <w:sz w:val="22"/>
                <w:szCs w:val="22"/>
                <w:vertAlign w:val="subscript"/>
              </w:rPr>
              <w:t>3</w:t>
            </w:r>
            <w:r w:rsidRPr="00693CD9">
              <w:rPr>
                <w:sz w:val="22"/>
                <w:szCs w:val="22"/>
              </w:rPr>
              <w:t>PO</w:t>
            </w:r>
            <w:r w:rsidRPr="00693CD9">
              <w:rPr>
                <w:sz w:val="22"/>
                <w:szCs w:val="22"/>
                <w:vertAlign w:val="subscript"/>
              </w:rPr>
              <w:t>4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H</w:t>
            </w:r>
            <w:r w:rsidRPr="00693CD9">
              <w:rPr>
                <w:sz w:val="22"/>
                <w:szCs w:val="22"/>
                <w:vertAlign w:val="subscript"/>
              </w:rPr>
              <w:t>3</w:t>
            </w:r>
            <w:r w:rsidRPr="00693CD9">
              <w:rPr>
                <w:sz w:val="22"/>
                <w:szCs w:val="22"/>
              </w:rPr>
              <w:t>BO</w:t>
            </w:r>
            <w:r w:rsidRPr="00693CD9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Përgatitja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AgNO</w:t>
            </w:r>
            <w:r w:rsidRPr="00693CD9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Përgatitja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tretësirë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NaCl</w:t>
            </w:r>
            <w:proofErr w:type="spellEnd"/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Standardizimi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së</w:t>
            </w:r>
            <w:proofErr w:type="spellEnd"/>
            <w:r w:rsidRPr="00693CD9">
              <w:rPr>
                <w:sz w:val="22"/>
                <w:szCs w:val="22"/>
              </w:rPr>
              <w:t xml:space="preserve"> AgNO</w:t>
            </w:r>
            <w:r w:rsidRPr="00693CD9">
              <w:rPr>
                <w:sz w:val="22"/>
                <w:szCs w:val="22"/>
                <w:vertAlign w:val="subscript"/>
              </w:rPr>
              <w:t>3</w:t>
            </w:r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tretësirën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NaCl</w:t>
            </w:r>
            <w:proofErr w:type="spellEnd"/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Cl</w:t>
            </w:r>
            <w:proofErr w:type="spellEnd"/>
            <w:r w:rsidRPr="00693CD9">
              <w:rPr>
                <w:sz w:val="22"/>
                <w:szCs w:val="22"/>
                <w:vertAlign w:val="superscript"/>
              </w:rPr>
              <w:t>-</w:t>
            </w:r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metodën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Mohrit</w:t>
            </w:r>
            <w:proofErr w:type="spellEnd"/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I</w:t>
            </w:r>
            <w:proofErr w:type="spellEnd"/>
            <w:r w:rsidRPr="00693CD9">
              <w:rPr>
                <w:sz w:val="22"/>
                <w:szCs w:val="22"/>
                <w:vertAlign w:val="superscript"/>
              </w:rPr>
              <w:t>-</w:t>
            </w:r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metodën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Fajansit</w:t>
            </w:r>
            <w:proofErr w:type="spellEnd"/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Përgatitja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EDTA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Përgatitja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joneve</w:t>
            </w:r>
            <w:proofErr w:type="spellEnd"/>
            <w:r w:rsidRPr="00693CD9">
              <w:rPr>
                <w:sz w:val="22"/>
                <w:szCs w:val="22"/>
              </w:rPr>
              <w:t xml:space="preserve"> Zn</w:t>
            </w:r>
            <w:r w:rsidRPr="00693CD9">
              <w:rPr>
                <w:sz w:val="22"/>
                <w:szCs w:val="22"/>
                <w:vertAlign w:val="superscript"/>
              </w:rPr>
              <w:t>2+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Standardizimi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së</w:t>
            </w:r>
            <w:proofErr w:type="spellEnd"/>
            <w:r w:rsidRPr="00693CD9">
              <w:rPr>
                <w:sz w:val="22"/>
                <w:szCs w:val="22"/>
              </w:rPr>
              <w:t xml:space="preserve"> EDTA me </w:t>
            </w:r>
            <w:proofErr w:type="spellStart"/>
            <w:r w:rsidRPr="00693CD9">
              <w:rPr>
                <w:sz w:val="22"/>
                <w:szCs w:val="22"/>
              </w:rPr>
              <w:t>tretësirën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joneve</w:t>
            </w:r>
            <w:proofErr w:type="spellEnd"/>
            <w:r w:rsidRPr="00693CD9">
              <w:rPr>
                <w:sz w:val="22"/>
                <w:szCs w:val="22"/>
              </w:rPr>
              <w:t xml:space="preserve"> Zn</w:t>
            </w:r>
            <w:r w:rsidRPr="00693CD9">
              <w:rPr>
                <w:sz w:val="22"/>
                <w:szCs w:val="22"/>
                <w:vertAlign w:val="superscript"/>
              </w:rPr>
              <w:t>2+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Ni</w:t>
            </w:r>
            <w:r w:rsidRPr="00693CD9">
              <w:rPr>
                <w:sz w:val="22"/>
                <w:szCs w:val="22"/>
                <w:vertAlign w:val="superscript"/>
              </w:rPr>
              <w:t>2+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përzierjes</w:t>
            </w:r>
            <w:proofErr w:type="spellEnd"/>
            <w:r w:rsidRPr="00693CD9">
              <w:rPr>
                <w:sz w:val="22"/>
                <w:szCs w:val="22"/>
              </w:rPr>
              <w:t xml:space="preserve"> Ca</w:t>
            </w:r>
            <w:r w:rsidRPr="00693CD9">
              <w:rPr>
                <w:sz w:val="22"/>
                <w:szCs w:val="22"/>
                <w:vertAlign w:val="superscript"/>
              </w:rPr>
              <w:t>2+</w:t>
            </w:r>
            <w:r w:rsidRPr="00693CD9">
              <w:rPr>
                <w:sz w:val="22"/>
                <w:szCs w:val="22"/>
              </w:rPr>
              <w:t xml:space="preserve"> + Mg</w:t>
            </w:r>
            <w:r w:rsidRPr="00693CD9">
              <w:rPr>
                <w:sz w:val="22"/>
                <w:szCs w:val="22"/>
                <w:vertAlign w:val="superscript"/>
              </w:rPr>
              <w:t>2+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përzierjes</w:t>
            </w:r>
            <w:proofErr w:type="spellEnd"/>
            <w:r w:rsidRPr="00693CD9">
              <w:rPr>
                <w:sz w:val="22"/>
                <w:szCs w:val="22"/>
              </w:rPr>
              <w:t xml:space="preserve"> Cu</w:t>
            </w:r>
            <w:r w:rsidRPr="00693CD9">
              <w:rPr>
                <w:sz w:val="22"/>
                <w:szCs w:val="22"/>
                <w:vertAlign w:val="superscript"/>
              </w:rPr>
              <w:t>2+</w:t>
            </w:r>
            <w:r w:rsidRPr="00693CD9">
              <w:rPr>
                <w:sz w:val="22"/>
                <w:szCs w:val="22"/>
              </w:rPr>
              <w:t xml:space="preserve"> + Mg</w:t>
            </w:r>
            <w:r w:rsidRPr="00693CD9">
              <w:rPr>
                <w:sz w:val="22"/>
                <w:szCs w:val="22"/>
                <w:vertAlign w:val="superscript"/>
              </w:rPr>
              <w:t>2+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Përgatitja</w:t>
            </w:r>
            <w:proofErr w:type="spellEnd"/>
            <w:r w:rsidRPr="00693CD9">
              <w:rPr>
                <w:sz w:val="22"/>
                <w:szCs w:val="22"/>
              </w:rPr>
              <w:t xml:space="preserve"> e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standarde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Na</w:t>
            </w:r>
            <w:r w:rsidRPr="00693CD9">
              <w:rPr>
                <w:sz w:val="22"/>
                <w:szCs w:val="22"/>
                <w:vertAlign w:val="subscript"/>
              </w:rPr>
              <w:t>2</w:t>
            </w:r>
            <w:r w:rsidRPr="00693CD9">
              <w:rPr>
                <w:sz w:val="22"/>
                <w:szCs w:val="22"/>
              </w:rPr>
              <w:t>S</w:t>
            </w:r>
            <w:r w:rsidRPr="00693CD9">
              <w:rPr>
                <w:sz w:val="22"/>
                <w:szCs w:val="22"/>
                <w:vertAlign w:val="subscript"/>
              </w:rPr>
              <w:t>2</w:t>
            </w:r>
            <w:r w:rsidRPr="00693CD9">
              <w:rPr>
                <w:sz w:val="22"/>
                <w:szCs w:val="22"/>
              </w:rPr>
              <w:t>O</w:t>
            </w:r>
            <w:r w:rsidRPr="00693CD9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Standardizimi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tretësirës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së</w:t>
            </w:r>
            <w:proofErr w:type="spellEnd"/>
            <w:r w:rsidRPr="00693CD9">
              <w:rPr>
                <w:sz w:val="22"/>
                <w:szCs w:val="22"/>
              </w:rPr>
              <w:t xml:space="preserve"> Na</w:t>
            </w:r>
            <w:r w:rsidRPr="00693CD9">
              <w:rPr>
                <w:sz w:val="22"/>
                <w:szCs w:val="22"/>
                <w:vertAlign w:val="subscript"/>
              </w:rPr>
              <w:t>2</w:t>
            </w:r>
            <w:r w:rsidRPr="00693CD9">
              <w:rPr>
                <w:sz w:val="22"/>
                <w:szCs w:val="22"/>
              </w:rPr>
              <w:t>S</w:t>
            </w:r>
            <w:r w:rsidRPr="00693CD9">
              <w:rPr>
                <w:sz w:val="22"/>
                <w:szCs w:val="22"/>
                <w:vertAlign w:val="subscript"/>
              </w:rPr>
              <w:t>2</w:t>
            </w:r>
            <w:r w:rsidRPr="00693CD9">
              <w:rPr>
                <w:sz w:val="22"/>
                <w:szCs w:val="22"/>
              </w:rPr>
              <w:t>O</w:t>
            </w:r>
            <w:r w:rsidRPr="00693CD9">
              <w:rPr>
                <w:sz w:val="22"/>
                <w:szCs w:val="22"/>
                <w:vertAlign w:val="subscript"/>
              </w:rPr>
              <w:t>3</w:t>
            </w:r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tretësirë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KBrO</w:t>
            </w:r>
            <w:r w:rsidRPr="00693CD9">
              <w:rPr>
                <w:sz w:val="22"/>
                <w:szCs w:val="22"/>
                <w:vertAlign w:val="subscript"/>
              </w:rPr>
              <w:t>3</w:t>
            </w:r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Cu</w:t>
            </w:r>
            <w:r w:rsidRPr="00693CD9">
              <w:rPr>
                <w:sz w:val="22"/>
                <w:szCs w:val="22"/>
                <w:vertAlign w:val="superscript"/>
              </w:rPr>
              <w:t>2+</w:t>
            </w:r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metodën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jodometrike</w:t>
            </w:r>
            <w:proofErr w:type="spellEnd"/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Fe</w:t>
            </w:r>
            <w:r w:rsidRPr="00693CD9">
              <w:rPr>
                <w:sz w:val="22"/>
                <w:szCs w:val="22"/>
                <w:vertAlign w:val="superscript"/>
              </w:rPr>
              <w:t>3+</w:t>
            </w:r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metodën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gravimetrike</w:t>
            </w:r>
            <w:proofErr w:type="spellEnd"/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FFC" w:rsidRPr="00693CD9" w:rsidRDefault="00424FFC" w:rsidP="00665D14">
            <w:proofErr w:type="spellStart"/>
            <w:r w:rsidRPr="00693CD9">
              <w:rPr>
                <w:sz w:val="22"/>
                <w:szCs w:val="22"/>
              </w:rPr>
              <w:t>Përcaktimi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>Ni</w:t>
            </w:r>
            <w:r>
              <w:rPr>
                <w:sz w:val="22"/>
                <w:szCs w:val="22"/>
                <w:vertAlign w:val="superscript"/>
              </w:rPr>
              <w:t>2+</w:t>
            </w:r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metodën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gravimetrike</w:t>
            </w:r>
            <w:proofErr w:type="spellEnd"/>
          </w:p>
        </w:tc>
      </w:tr>
      <w:tr w:rsidR="00424FFC" w:rsidRPr="00693CD9" w:rsidTr="0004205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4FFC" w:rsidRPr="00693CD9" w:rsidRDefault="00424FFC" w:rsidP="00665D14">
            <w:pPr>
              <w:rPr>
                <w:b/>
                <w:lang w:val="de-DE"/>
              </w:rPr>
            </w:pPr>
            <w:r w:rsidRPr="00693CD9">
              <w:rPr>
                <w:b/>
                <w:sz w:val="22"/>
                <w:szCs w:val="22"/>
                <w:lang w:val="de-DE"/>
              </w:rPr>
              <w:t>Analiza e provimit</w:t>
            </w:r>
          </w:p>
        </w:tc>
      </w:tr>
    </w:tbl>
    <w:p w:rsidR="00424FFC" w:rsidRPr="00693CD9" w:rsidRDefault="00424FFC" w:rsidP="00424FFC">
      <w:pPr>
        <w:rPr>
          <w:rFonts w:ascii="Calibri" w:hAnsi="Calibri"/>
          <w:b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424FFC" w:rsidRPr="00693CD9" w:rsidTr="008D5B12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hideMark/>
          </w:tcPr>
          <w:p w:rsidR="00424FFC" w:rsidRPr="00693CD9" w:rsidRDefault="00424FFC" w:rsidP="00665D14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693CD9">
              <w:rPr>
                <w:rFonts w:ascii="Calibri" w:hAnsi="Calibri"/>
                <w:b/>
                <w:sz w:val="22"/>
                <w:szCs w:val="22"/>
              </w:rPr>
              <w:t>Politikat</w:t>
            </w:r>
            <w:proofErr w:type="spellEnd"/>
            <w:r w:rsidRPr="00693CD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rFonts w:ascii="Calibri" w:hAnsi="Calibri"/>
                <w:b/>
                <w:sz w:val="22"/>
                <w:szCs w:val="22"/>
              </w:rPr>
              <w:t>akademi</w:t>
            </w:r>
            <w:r w:rsidR="008D5B12">
              <w:rPr>
                <w:rFonts w:ascii="Calibri" w:hAnsi="Calibri"/>
                <w:b/>
                <w:sz w:val="22"/>
                <w:szCs w:val="22"/>
              </w:rPr>
              <w:t>ke</w:t>
            </w:r>
            <w:proofErr w:type="spellEnd"/>
            <w:r w:rsidR="008D5B1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8D5B12">
              <w:rPr>
                <w:rFonts w:ascii="Calibri" w:hAnsi="Calibri"/>
                <w:b/>
                <w:sz w:val="22"/>
                <w:szCs w:val="22"/>
              </w:rPr>
              <w:t>dhe</w:t>
            </w:r>
            <w:proofErr w:type="spellEnd"/>
            <w:r w:rsidR="008D5B1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8D5B12">
              <w:rPr>
                <w:rFonts w:ascii="Calibri" w:hAnsi="Calibri"/>
                <w:b/>
                <w:sz w:val="22"/>
                <w:szCs w:val="22"/>
              </w:rPr>
              <w:t>rregullat</w:t>
            </w:r>
            <w:proofErr w:type="spellEnd"/>
            <w:r w:rsidR="008D5B12">
              <w:rPr>
                <w:rFonts w:ascii="Calibri" w:hAnsi="Calibri"/>
                <w:b/>
                <w:sz w:val="22"/>
                <w:szCs w:val="22"/>
              </w:rPr>
              <w:t xml:space="preserve"> e </w:t>
            </w:r>
            <w:proofErr w:type="spellStart"/>
            <w:r w:rsidR="008D5B12">
              <w:rPr>
                <w:rFonts w:ascii="Calibri" w:hAnsi="Calibri"/>
                <w:b/>
                <w:sz w:val="22"/>
                <w:szCs w:val="22"/>
              </w:rPr>
              <w:t>mirësjelljes</w:t>
            </w:r>
            <w:proofErr w:type="spellEnd"/>
          </w:p>
        </w:tc>
      </w:tr>
      <w:tr w:rsidR="00424FFC" w:rsidRPr="00693CD9" w:rsidTr="00042057">
        <w:trPr>
          <w:trHeight w:val="935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FFC" w:rsidRPr="00693CD9" w:rsidRDefault="00424FFC" w:rsidP="008D5B12">
            <w:pPr>
              <w:spacing w:before="240"/>
              <w:jc w:val="both"/>
              <w:rPr>
                <w:rFonts w:ascii="Calibri" w:hAnsi="Calibri"/>
                <w:b/>
                <w:i/>
              </w:rPr>
            </w:pPr>
            <w:proofErr w:type="spellStart"/>
            <w:r w:rsidRPr="00693CD9">
              <w:rPr>
                <w:sz w:val="22"/>
                <w:szCs w:val="22"/>
              </w:rPr>
              <w:t>Çdo</w:t>
            </w:r>
            <w:proofErr w:type="spellEnd"/>
            <w:r w:rsidRPr="00693CD9">
              <w:rPr>
                <w:sz w:val="22"/>
                <w:szCs w:val="22"/>
              </w:rPr>
              <w:t xml:space="preserve"> student </w:t>
            </w:r>
            <w:proofErr w:type="spellStart"/>
            <w:r w:rsidRPr="00693CD9">
              <w:rPr>
                <w:sz w:val="22"/>
                <w:szCs w:val="22"/>
              </w:rPr>
              <w:t>duhet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tu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përmbahet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politikave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përshkruara</w:t>
            </w:r>
            <w:proofErr w:type="spellEnd"/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Statutin</w:t>
            </w:r>
            <w:proofErr w:type="spellEnd"/>
            <w:r w:rsidRPr="00693CD9">
              <w:rPr>
                <w:sz w:val="22"/>
                <w:szCs w:val="22"/>
              </w:rPr>
              <w:t xml:space="preserve"> e UP-</w:t>
            </w:r>
            <w:proofErr w:type="spellStart"/>
            <w:r w:rsidRPr="00693CD9">
              <w:rPr>
                <w:sz w:val="22"/>
                <w:szCs w:val="22"/>
              </w:rPr>
              <w:t>së</w:t>
            </w:r>
            <w:proofErr w:type="spellEnd"/>
            <w:r w:rsidRPr="00693CD9">
              <w:rPr>
                <w:sz w:val="22"/>
                <w:szCs w:val="22"/>
              </w:rPr>
              <w:t xml:space="preserve">. </w:t>
            </w:r>
            <w:proofErr w:type="spellStart"/>
            <w:r w:rsidRPr="00693CD9">
              <w:rPr>
                <w:sz w:val="22"/>
                <w:szCs w:val="22"/>
              </w:rPr>
              <w:t>Studenti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është</w:t>
            </w:r>
            <w:proofErr w:type="spellEnd"/>
            <w:r w:rsidRPr="00693CD9">
              <w:rPr>
                <w:sz w:val="22"/>
                <w:szCs w:val="22"/>
              </w:rPr>
              <w:t xml:space="preserve"> i </w:t>
            </w:r>
            <w:proofErr w:type="spellStart"/>
            <w:r w:rsidRPr="00693CD9">
              <w:rPr>
                <w:sz w:val="22"/>
                <w:szCs w:val="22"/>
              </w:rPr>
              <w:t>obliguar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vijoj</w:t>
            </w:r>
            <w:proofErr w:type="spellEnd"/>
            <w:r w:rsidRPr="00693CD9">
              <w:rPr>
                <w:sz w:val="22"/>
                <w:szCs w:val="22"/>
              </w:rPr>
              <w:t xml:space="preserve"> me </w:t>
            </w:r>
            <w:proofErr w:type="spellStart"/>
            <w:r w:rsidRPr="00693CD9">
              <w:rPr>
                <w:sz w:val="22"/>
                <w:szCs w:val="22"/>
              </w:rPr>
              <w:t>rregull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ligjeratat</w:t>
            </w:r>
            <w:proofErr w:type="spellEnd"/>
            <w:r w:rsidRPr="00693CD9">
              <w:rPr>
                <w:sz w:val="22"/>
                <w:szCs w:val="22"/>
              </w:rPr>
              <w:t xml:space="preserve">, </w:t>
            </w:r>
            <w:proofErr w:type="spellStart"/>
            <w:r w:rsidRPr="00693CD9">
              <w:rPr>
                <w:sz w:val="22"/>
                <w:szCs w:val="22"/>
              </w:rPr>
              <w:t>ushtrimet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seminaret</w:t>
            </w:r>
            <w:proofErr w:type="spellEnd"/>
            <w:r w:rsidRPr="00693CD9">
              <w:rPr>
                <w:sz w:val="22"/>
                <w:szCs w:val="22"/>
              </w:rPr>
              <w:t xml:space="preserve">.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sillet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konform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kodit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mirësjelljes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dhe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t’u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përmbahet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rregullave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për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punë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në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laboratoret</w:t>
            </w:r>
            <w:proofErr w:type="spellEnd"/>
            <w:r w:rsidRPr="00693CD9">
              <w:rPr>
                <w:sz w:val="22"/>
                <w:szCs w:val="22"/>
              </w:rPr>
              <w:t xml:space="preserve"> </w:t>
            </w:r>
            <w:proofErr w:type="spellStart"/>
            <w:r w:rsidRPr="00693CD9">
              <w:rPr>
                <w:sz w:val="22"/>
                <w:szCs w:val="22"/>
              </w:rPr>
              <w:t>hulumtuese</w:t>
            </w:r>
            <w:proofErr w:type="spellEnd"/>
            <w:r w:rsidRPr="00693CD9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</w:tbl>
    <w:p w:rsidR="00424FFC" w:rsidRDefault="00424FFC" w:rsidP="00424FFC">
      <w:pPr>
        <w:rPr>
          <w:rFonts w:ascii="Calibri" w:hAnsi="Calibri"/>
          <w:b/>
          <w:sz w:val="28"/>
          <w:szCs w:val="28"/>
        </w:rPr>
      </w:pPr>
    </w:p>
    <w:p w:rsidR="00424FFC" w:rsidRDefault="00424FFC" w:rsidP="00424FFC">
      <w:pPr>
        <w:rPr>
          <w:rFonts w:ascii="Calibri" w:hAnsi="Calibri"/>
          <w:b/>
          <w:sz w:val="28"/>
          <w:szCs w:val="28"/>
        </w:rPr>
      </w:pPr>
    </w:p>
    <w:p w:rsidR="00424FFC" w:rsidRDefault="00424FFC" w:rsidP="00424FFC"/>
    <w:p w:rsidR="00424FFC" w:rsidRDefault="00424FFC" w:rsidP="00424FFC"/>
    <w:p w:rsidR="006B0552" w:rsidRDefault="006B0552"/>
    <w:sectPr w:rsidR="006B0552" w:rsidSect="00CC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2E1E"/>
    <w:multiLevelType w:val="hybridMultilevel"/>
    <w:tmpl w:val="F9527FC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DE8337E"/>
    <w:multiLevelType w:val="hybridMultilevel"/>
    <w:tmpl w:val="C9A42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B620D"/>
    <w:multiLevelType w:val="hybridMultilevel"/>
    <w:tmpl w:val="9A203226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FFC"/>
    <w:rsid w:val="00042057"/>
    <w:rsid w:val="00424FFC"/>
    <w:rsid w:val="006B0552"/>
    <w:rsid w:val="008D5B12"/>
    <w:rsid w:val="00E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24FFC"/>
    <w:pPr>
      <w:spacing w:line="360" w:lineRule="auto"/>
      <w:jc w:val="both"/>
    </w:pPr>
    <w:rPr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424FF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42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FFC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24F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205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24FFC"/>
    <w:pPr>
      <w:spacing w:line="360" w:lineRule="auto"/>
      <w:jc w:val="both"/>
    </w:pPr>
    <w:rPr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424FF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424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FFC"/>
    <w:pPr>
      <w:ind w:left="720"/>
      <w:contextualSpacing/>
    </w:pPr>
    <w:rPr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424F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20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grave.com/authors/author-detail/Daniel-C.-Harris/551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 faiku</dc:creator>
  <cp:lastModifiedBy>fatmir faiku</cp:lastModifiedBy>
  <cp:revision>4</cp:revision>
  <dcterms:created xsi:type="dcterms:W3CDTF">2025-08-18T20:11:00Z</dcterms:created>
  <dcterms:modified xsi:type="dcterms:W3CDTF">2025-08-24T18:24:00Z</dcterms:modified>
</cp:coreProperties>
</file>