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CE3" w:rsidRDefault="00BE2CE3" w:rsidP="00BE2CE3">
      <w:pPr>
        <w:spacing w:after="120"/>
        <w:rPr>
          <w:b/>
        </w:rPr>
      </w:pPr>
      <w:r>
        <w:rPr>
          <w:b/>
        </w:rPr>
        <w:t xml:space="preserve"> BIOTEKNOLOGJIA E BIM</w:t>
      </w:r>
      <w:r w:rsidR="000A0180" w:rsidRPr="001F3937">
        <w:rPr>
          <w:b/>
          <w:color w:val="000000"/>
          <w:sz w:val="22"/>
          <w:szCs w:val="22"/>
          <w:lang w:eastAsia="de-DE"/>
        </w:rPr>
        <w:t>Ë</w:t>
      </w:r>
      <w:r>
        <w:rPr>
          <w:b/>
        </w:rPr>
        <w:t>VE</w:t>
      </w:r>
    </w:p>
    <w:p w:rsidR="001F3937" w:rsidRDefault="001F3937" w:rsidP="00BE2CE3">
      <w:pPr>
        <w:spacing w:after="120"/>
        <w:rPr>
          <w:b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26"/>
        <w:gridCol w:w="283"/>
        <w:gridCol w:w="2835"/>
        <w:gridCol w:w="992"/>
        <w:gridCol w:w="806"/>
        <w:gridCol w:w="691"/>
        <w:gridCol w:w="15"/>
        <w:gridCol w:w="1182"/>
      </w:tblGrid>
      <w:tr w:rsidR="00BE2CE3" w:rsidRPr="001F3937" w:rsidTr="00A4095B">
        <w:tc>
          <w:tcPr>
            <w:tcW w:w="9039" w:type="dxa"/>
            <w:gridSpan w:val="9"/>
            <w:shd w:val="clear" w:color="auto" w:fill="B8CCE4"/>
          </w:tcPr>
          <w:p w:rsidR="00BE2CE3" w:rsidRPr="001F3937" w:rsidRDefault="00BE2CE3" w:rsidP="00A4095B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Të dhëna bazike të lëndës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Njësia akademike: </w:t>
            </w:r>
          </w:p>
        </w:tc>
        <w:tc>
          <w:tcPr>
            <w:tcW w:w="6521" w:type="dxa"/>
            <w:gridSpan w:val="6"/>
          </w:tcPr>
          <w:p w:rsidR="00BE2CE3" w:rsidRPr="001F3937" w:rsidRDefault="00BE2CE3" w:rsidP="00A4095B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Fakulteti i Bujqësisë dhe Veterinarisë 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Titulli i lëndës:</w:t>
            </w:r>
          </w:p>
        </w:tc>
        <w:tc>
          <w:tcPr>
            <w:tcW w:w="6521" w:type="dxa"/>
            <w:gridSpan w:val="6"/>
          </w:tcPr>
          <w:p w:rsidR="00BE2CE3" w:rsidRPr="001F3937" w:rsidRDefault="00BE2CE3" w:rsidP="003F600A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proofErr w:type="spellStart"/>
            <w:r w:rsidRPr="001F3937">
              <w:rPr>
                <w:b/>
                <w:bCs/>
                <w:color w:val="000000"/>
                <w:sz w:val="22"/>
                <w:szCs w:val="22"/>
                <w:lang w:val="sq-AL" w:eastAsia="de-DE"/>
              </w:rPr>
              <w:t>Bioteknologji</w:t>
            </w:r>
            <w:r w:rsidR="003F600A">
              <w:rPr>
                <w:b/>
                <w:bCs/>
                <w:color w:val="000000"/>
                <w:sz w:val="22"/>
                <w:szCs w:val="22"/>
                <w:lang w:val="sq-AL" w:eastAsia="de-DE"/>
              </w:rPr>
              <w:t>a</w:t>
            </w:r>
            <w:proofErr w:type="spellEnd"/>
            <w:r w:rsidRPr="001F3937">
              <w:rPr>
                <w:b/>
                <w:bCs/>
                <w:color w:val="000000"/>
                <w:sz w:val="22"/>
                <w:szCs w:val="22"/>
                <w:lang w:val="sq-AL" w:eastAsia="de-DE"/>
              </w:rPr>
              <w:t xml:space="preserve"> </w:t>
            </w:r>
            <w:r w:rsidR="003F600A">
              <w:rPr>
                <w:b/>
                <w:bCs/>
                <w:color w:val="000000"/>
                <w:sz w:val="22"/>
                <w:szCs w:val="22"/>
                <w:lang w:val="sq-AL" w:eastAsia="de-DE"/>
              </w:rPr>
              <w:t>e</w:t>
            </w:r>
            <w:r w:rsidRPr="001F3937">
              <w:rPr>
                <w:b/>
                <w:bCs/>
                <w:color w:val="000000"/>
                <w:sz w:val="22"/>
                <w:szCs w:val="22"/>
                <w:lang w:val="sq-AL" w:eastAsia="de-DE"/>
              </w:rPr>
              <w:t xml:space="preserve"> bimëve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Niveli:</w:t>
            </w:r>
          </w:p>
        </w:tc>
        <w:tc>
          <w:tcPr>
            <w:tcW w:w="6521" w:type="dxa"/>
            <w:gridSpan w:val="6"/>
          </w:tcPr>
          <w:p w:rsidR="00BE2CE3" w:rsidRPr="001F3937" w:rsidRDefault="00BE2CE3" w:rsidP="00A4095B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proofErr w:type="spellStart"/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BSc</w:t>
            </w:r>
            <w:proofErr w:type="spellEnd"/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Statusi lëndës:</w:t>
            </w:r>
          </w:p>
        </w:tc>
        <w:tc>
          <w:tcPr>
            <w:tcW w:w="6521" w:type="dxa"/>
            <w:gridSpan w:val="6"/>
          </w:tcPr>
          <w:p w:rsidR="00BE2CE3" w:rsidRPr="001F3937" w:rsidRDefault="00262F82" w:rsidP="00A4095B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Obligues</w:t>
            </w:r>
            <w:r>
              <w:rPr>
                <w:b/>
                <w:color w:val="000000"/>
                <w:sz w:val="22"/>
                <w:szCs w:val="22"/>
                <w:lang w:val="sq-AL" w:eastAsia="de-DE"/>
              </w:rPr>
              <w:t>e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Viti i studimeve:</w:t>
            </w:r>
          </w:p>
        </w:tc>
        <w:tc>
          <w:tcPr>
            <w:tcW w:w="6521" w:type="dxa"/>
            <w:gridSpan w:val="6"/>
          </w:tcPr>
          <w:p w:rsidR="00BE2CE3" w:rsidRPr="001F3937" w:rsidRDefault="00BE2CE3" w:rsidP="00BE2CE3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Viti dytë, Semestri IV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Numri i orëve në javë:</w:t>
            </w:r>
          </w:p>
        </w:tc>
        <w:tc>
          <w:tcPr>
            <w:tcW w:w="6521" w:type="dxa"/>
            <w:gridSpan w:val="6"/>
          </w:tcPr>
          <w:p w:rsidR="00BE2CE3" w:rsidRPr="001F3937" w:rsidRDefault="00023953" w:rsidP="00A4095B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>
              <w:rPr>
                <w:b/>
                <w:color w:val="000000"/>
                <w:sz w:val="22"/>
                <w:szCs w:val="22"/>
                <w:lang w:val="sq-AL" w:eastAsia="de-DE"/>
              </w:rPr>
              <w:t>2</w:t>
            </w:r>
            <w:r w:rsidR="00BE2CE3"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+2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Vlera në kredi – ECTS:</w:t>
            </w:r>
          </w:p>
        </w:tc>
        <w:tc>
          <w:tcPr>
            <w:tcW w:w="6521" w:type="dxa"/>
            <w:gridSpan w:val="6"/>
          </w:tcPr>
          <w:p w:rsidR="00BE2CE3" w:rsidRPr="001F3937" w:rsidRDefault="00BE2CE3" w:rsidP="00A4095B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6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Koha / lokacioni:</w:t>
            </w:r>
          </w:p>
        </w:tc>
        <w:tc>
          <w:tcPr>
            <w:tcW w:w="6521" w:type="dxa"/>
            <w:gridSpan w:val="6"/>
          </w:tcPr>
          <w:p w:rsidR="00BE2CE3" w:rsidRPr="001F3937" w:rsidRDefault="00BE2CE3" w:rsidP="00A4095B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8:00 – 12:00 // FAV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Mësimdhënësi i lëndës:</w:t>
            </w:r>
          </w:p>
        </w:tc>
        <w:tc>
          <w:tcPr>
            <w:tcW w:w="6521" w:type="dxa"/>
            <w:gridSpan w:val="6"/>
          </w:tcPr>
          <w:p w:rsidR="00BE2CE3" w:rsidRPr="001F3937" w:rsidRDefault="00BE2CE3" w:rsidP="00023953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Prof. </w:t>
            </w:r>
            <w:proofErr w:type="spellStart"/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A</w:t>
            </w:r>
            <w:r w:rsidR="00023953">
              <w:rPr>
                <w:b/>
                <w:color w:val="000000"/>
                <w:sz w:val="22"/>
                <w:szCs w:val="22"/>
                <w:lang w:val="sq-AL" w:eastAsia="de-DE"/>
              </w:rPr>
              <w:t>soc</w:t>
            </w:r>
            <w:proofErr w:type="spellEnd"/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. Dr. Dukagjin Zeka</w:t>
            </w:r>
          </w:p>
        </w:tc>
      </w:tr>
      <w:tr w:rsidR="00BE2CE3" w:rsidRPr="001F3937" w:rsidTr="00A4095B">
        <w:tc>
          <w:tcPr>
            <w:tcW w:w="2518" w:type="dxa"/>
            <w:gridSpan w:val="3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Detajet kontaktuese: </w:t>
            </w:r>
          </w:p>
        </w:tc>
        <w:tc>
          <w:tcPr>
            <w:tcW w:w="6521" w:type="dxa"/>
            <w:gridSpan w:val="6"/>
          </w:tcPr>
          <w:p w:rsidR="00BE2CE3" w:rsidRPr="001F3937" w:rsidRDefault="00BE2CE3" w:rsidP="00A4095B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en-GB"/>
              </w:rPr>
              <w:t>dukagjin.zeka@uni-pr.edu</w:t>
            </w:r>
          </w:p>
        </w:tc>
      </w:tr>
      <w:tr w:rsidR="00BE2CE3" w:rsidRPr="001F3937" w:rsidTr="00A4095B">
        <w:tc>
          <w:tcPr>
            <w:tcW w:w="9039" w:type="dxa"/>
            <w:gridSpan w:val="9"/>
            <w:shd w:val="clear" w:color="auto" w:fill="B8CCE4"/>
          </w:tcPr>
          <w:p w:rsidR="00BE2CE3" w:rsidRPr="001F3937" w:rsidRDefault="00BE2CE3" w:rsidP="00A4095B">
            <w:pPr>
              <w:pStyle w:val="KeinLeerraum"/>
              <w:jc w:val="center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              Përshkrimi i lëndës</w:t>
            </w:r>
          </w:p>
        </w:tc>
      </w:tr>
      <w:tr w:rsidR="00BE2CE3" w:rsidRPr="001F3937" w:rsidTr="00A4095B">
        <w:tc>
          <w:tcPr>
            <w:tcW w:w="2235" w:type="dxa"/>
            <w:gridSpan w:val="2"/>
            <w:vAlign w:val="center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Përshkrimi i lëndës</w:t>
            </w:r>
          </w:p>
        </w:tc>
        <w:tc>
          <w:tcPr>
            <w:tcW w:w="6804" w:type="dxa"/>
            <w:gridSpan w:val="7"/>
          </w:tcPr>
          <w:p w:rsidR="00BE2CE3" w:rsidRPr="001F3937" w:rsidRDefault="00BE2CE3" w:rsidP="00A4095B">
            <w:pPr>
              <w:textAlignment w:val="top"/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Hyrje në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Bioteknologji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të bimëve, do të merret me konceptin themelor të zhvillimeve të metodave themelore të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Bioteknologjisë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së bimëve, në funksion të prodhimit të ushqimit për njerëz, kafshë dhe përpunim industrial. </w:t>
            </w:r>
          </w:p>
        </w:tc>
      </w:tr>
      <w:tr w:rsidR="00BE2CE3" w:rsidRPr="001F3937" w:rsidTr="00A4095B">
        <w:tc>
          <w:tcPr>
            <w:tcW w:w="2235" w:type="dxa"/>
            <w:gridSpan w:val="2"/>
            <w:vAlign w:val="center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Qëllimet e lëndës:</w:t>
            </w:r>
          </w:p>
        </w:tc>
        <w:tc>
          <w:tcPr>
            <w:tcW w:w="6804" w:type="dxa"/>
            <w:gridSpan w:val="7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Lënda “Hyrje në 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Bioteknologji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të bimëve”:</w:t>
            </w:r>
          </w:p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Përfitimi i njohurive themelore për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Bioteknologji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të bimëve në të kaluarën dhe asaj moderne.</w:t>
            </w:r>
          </w:p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Studentet do të zhvillojnë qëllimet hulumtuese, përdorimin e metodave  themelore shkencore nga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Bioteknologjia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e bimëve, prezantojnë  tema të karakterit  shkencor, në funksion të prodhimit të ushqimit.  </w:t>
            </w:r>
          </w:p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Ofrimin e njohurive, për kulturat indore,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mikroshumimi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,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markerët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molekularë, organizmat e modifikuara gjenetike OMGJ.</w:t>
            </w:r>
          </w:p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Të përfitojnë njohuritë të qartë për përdorimin e tyre dhe rregullave të  ndryshme, si dhe për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biofarmingun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.</w:t>
            </w:r>
          </w:p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Ligjin e Kosovës për OMGJ, </w:t>
            </w:r>
          </w:p>
        </w:tc>
      </w:tr>
      <w:tr w:rsidR="00BE2CE3" w:rsidRPr="001F3937" w:rsidTr="00A4095B">
        <w:tc>
          <w:tcPr>
            <w:tcW w:w="2235" w:type="dxa"/>
            <w:gridSpan w:val="2"/>
            <w:vAlign w:val="center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Rezultatet e pritura të nxënies:</w:t>
            </w:r>
          </w:p>
        </w:tc>
        <w:tc>
          <w:tcPr>
            <w:tcW w:w="6804" w:type="dxa"/>
            <w:gridSpan w:val="7"/>
          </w:tcPr>
          <w:p w:rsidR="00BE2CE3" w:rsidRPr="001F3937" w:rsidRDefault="00BE2CE3" w:rsidP="00A4095B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Pas përfundimit të këtij moduli, studentët do të jenë në gjendje të:</w:t>
            </w:r>
          </w:p>
          <w:p w:rsidR="00BE2CE3" w:rsidRPr="001F3937" w:rsidRDefault="00BE2CE3" w:rsidP="00BE2CE3">
            <w:pPr>
              <w:pStyle w:val="KeinLeerraum"/>
              <w:numPr>
                <w:ilvl w:val="0"/>
                <w:numId w:val="1"/>
              </w:numPr>
              <w:ind w:left="317" w:hanging="317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Mund të përdorin dhe interpretojnë metodat  themelore shkencore, nga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Bioteknologjia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e bimëve. </w:t>
            </w:r>
          </w:p>
          <w:p w:rsidR="00BE2CE3" w:rsidRPr="001F3937" w:rsidRDefault="00BE2CE3" w:rsidP="00BE2CE3">
            <w:pPr>
              <w:pStyle w:val="KeinLeerraum"/>
              <w:numPr>
                <w:ilvl w:val="0"/>
                <w:numId w:val="1"/>
              </w:numPr>
              <w:ind w:left="317" w:hanging="317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Bëjnë vlerësimin e prezantimeve shkencore nga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bioteknologjia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e bimëve, për artikuj  të ndryshëm shkencor.</w:t>
            </w:r>
          </w:p>
          <w:p w:rsidR="00BE2CE3" w:rsidRPr="001F3937" w:rsidRDefault="00BE2CE3" w:rsidP="00BE2CE3">
            <w:pPr>
              <w:pStyle w:val="KeinLeerraum"/>
              <w:numPr>
                <w:ilvl w:val="0"/>
                <w:numId w:val="1"/>
              </w:numPr>
              <w:ind w:left="317" w:hanging="317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Njohin kulturat indore dhe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mikroshumimit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e bimëve.</w:t>
            </w:r>
          </w:p>
          <w:p w:rsidR="00BE2CE3" w:rsidRPr="001F3937" w:rsidRDefault="00BE2CE3" w:rsidP="00BE2CE3">
            <w:pPr>
              <w:pStyle w:val="KeinLeerraum"/>
              <w:numPr>
                <w:ilvl w:val="0"/>
                <w:numId w:val="1"/>
              </w:numPr>
              <w:ind w:left="317" w:hanging="317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Mësojnë për rëndësinë e OMGJ-ve.</w:t>
            </w:r>
          </w:p>
          <w:p w:rsidR="00BE2CE3" w:rsidRPr="001F3937" w:rsidRDefault="00BE2CE3" w:rsidP="00BE2CE3">
            <w:pPr>
              <w:pStyle w:val="KeinLeerraum"/>
              <w:numPr>
                <w:ilvl w:val="0"/>
                <w:numId w:val="1"/>
              </w:numPr>
              <w:ind w:left="317" w:hanging="317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Mësojnë për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markerët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molekularë që përdoren në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Bioteknologji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të bimëve.</w:t>
            </w:r>
          </w:p>
          <w:p w:rsidR="00BE2CE3" w:rsidRPr="001F3937" w:rsidRDefault="00BE2CE3" w:rsidP="00BE2CE3">
            <w:pPr>
              <w:pStyle w:val="KeinLeerraum"/>
              <w:numPr>
                <w:ilvl w:val="0"/>
                <w:numId w:val="1"/>
              </w:numPr>
              <w:ind w:left="317" w:hanging="317"/>
              <w:rPr>
                <w:i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Njohin standardet dhe ligjet e aplikimit dhe përdorimit të OMGJ-ve. </w:t>
            </w:r>
          </w:p>
          <w:p w:rsidR="00BE2CE3" w:rsidRPr="001F3937" w:rsidRDefault="00BE2CE3" w:rsidP="00BE2CE3">
            <w:pPr>
              <w:pStyle w:val="KeinLeerraum"/>
              <w:numPr>
                <w:ilvl w:val="0"/>
                <w:numId w:val="1"/>
              </w:numPr>
              <w:ind w:left="317" w:hanging="317"/>
              <w:rPr>
                <w:i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Ligjin për OMGJ të Kosovës.</w:t>
            </w:r>
          </w:p>
        </w:tc>
      </w:tr>
      <w:tr w:rsidR="00BE2CE3" w:rsidRPr="001F3937" w:rsidTr="00A4095B">
        <w:tc>
          <w:tcPr>
            <w:tcW w:w="9039" w:type="dxa"/>
            <w:gridSpan w:val="9"/>
            <w:shd w:val="clear" w:color="auto" w:fill="B8CCE4"/>
          </w:tcPr>
          <w:p w:rsidR="00BE2CE3" w:rsidRPr="001F3937" w:rsidRDefault="00BE2CE3" w:rsidP="00A4095B">
            <w:pPr>
              <w:pStyle w:val="KeinLeerraum"/>
              <w:rPr>
                <w:i/>
                <w:color w:val="000000"/>
                <w:sz w:val="22"/>
                <w:szCs w:val="22"/>
                <w:lang w:val="sq-AL" w:eastAsia="de-DE"/>
              </w:rPr>
            </w:pPr>
          </w:p>
        </w:tc>
      </w:tr>
      <w:tr w:rsidR="00BE2CE3" w:rsidRPr="001F3937" w:rsidTr="00A4095B">
        <w:tc>
          <w:tcPr>
            <w:tcW w:w="9039" w:type="dxa"/>
            <w:gridSpan w:val="9"/>
            <w:shd w:val="clear" w:color="auto" w:fill="B8CCE4"/>
          </w:tcPr>
          <w:p w:rsidR="00BE2CE3" w:rsidRPr="001F3937" w:rsidRDefault="00BE2CE3" w:rsidP="00A4095B">
            <w:pPr>
              <w:pStyle w:val="KeinLeerraum"/>
              <w:jc w:val="center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Kontributi </w:t>
            </w:r>
            <w:proofErr w:type="spellStart"/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nё</w:t>
            </w:r>
            <w:proofErr w:type="spellEnd"/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 ngarkesën e studentit (që duhet të korrespondoj me rezultatet e të nxënit të studentit)</w:t>
            </w:r>
          </w:p>
        </w:tc>
      </w:tr>
      <w:tr w:rsidR="00BE2CE3" w:rsidRPr="001F3937" w:rsidTr="00A4095B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B8CCE4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Aktiviteti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Orë 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 Ditë 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Javë 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Gjithsej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Ligjërata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15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30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Ushtrime teorike / laboratorike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15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30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Punë praktike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Kontaktet me mësimdhënësin/konsultimet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lastRenderedPageBreak/>
              <w:t>Ushtrime  në teren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8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8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8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2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4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Detyra të  shtëpisë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10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10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10</w:t>
            </w:r>
          </w:p>
        </w:tc>
      </w:tr>
      <w:tr w:rsidR="00697E45" w:rsidRPr="001F3937" w:rsidTr="00A4095B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Koha e studimit vetanake të studentit (në bibliotekë ose në shtëpi)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15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30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Përgatitja përfundimtare për provim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3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4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12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Koha e kaluar në vlerësim (teste,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kuiz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>, provim final)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3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2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 w:rsidRPr="00C91CC2">
              <w:rPr>
                <w:rFonts w:ascii="Cambria" w:hAnsi="Cambria"/>
              </w:rPr>
              <w:t>6</w:t>
            </w:r>
          </w:p>
        </w:tc>
      </w:tr>
      <w:tr w:rsidR="00697E45" w:rsidRPr="001F3937" w:rsidTr="005A7645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697E45" w:rsidRPr="001F3937" w:rsidRDefault="00697E45" w:rsidP="00697E45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Projektet, prezantimet ,etj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FFFFFF"/>
          </w:tcPr>
          <w:p w:rsidR="00697E45" w:rsidRPr="00C91CC2" w:rsidRDefault="00697E45" w:rsidP="00697E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97E45" w:rsidRPr="001F3937" w:rsidTr="00A4095B">
        <w:tc>
          <w:tcPr>
            <w:tcW w:w="5353" w:type="dxa"/>
            <w:gridSpan w:val="4"/>
            <w:tcBorders>
              <w:right w:val="single" w:sz="4" w:space="0" w:color="auto"/>
            </w:tcBorders>
            <w:shd w:val="clear" w:color="auto" w:fill="B8CCE4"/>
          </w:tcPr>
          <w:p w:rsidR="00697E45" w:rsidRPr="001F3937" w:rsidRDefault="00697E45" w:rsidP="00697E45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Totali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697E45" w:rsidRPr="001F3937" w:rsidRDefault="00697E45" w:rsidP="00697E45">
            <w:pPr>
              <w:rPr>
                <w:color w:val="000000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697E45" w:rsidRPr="001F3937" w:rsidRDefault="00697E45" w:rsidP="00697E45">
            <w:pPr>
              <w:rPr>
                <w:color w:val="000000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bottom"/>
          </w:tcPr>
          <w:p w:rsidR="00697E45" w:rsidRPr="001F3937" w:rsidRDefault="00697E45" w:rsidP="00697E45">
            <w:pPr>
              <w:rPr>
                <w:color w:val="000000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B8CCE4"/>
          </w:tcPr>
          <w:p w:rsidR="00697E45" w:rsidRPr="001F3937" w:rsidRDefault="00697E45" w:rsidP="00697E4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150</w:t>
            </w:r>
          </w:p>
        </w:tc>
      </w:tr>
      <w:tr w:rsidR="00697E45" w:rsidRPr="001F3937" w:rsidTr="00A4095B">
        <w:tc>
          <w:tcPr>
            <w:tcW w:w="9039" w:type="dxa"/>
            <w:gridSpan w:val="9"/>
            <w:shd w:val="clear" w:color="auto" w:fill="B8CCE4"/>
          </w:tcPr>
          <w:p w:rsidR="00697E45" w:rsidRPr="001F3937" w:rsidRDefault="00697E45" w:rsidP="00850BE3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Vërejtje: 1 ECTS kredi=</w:t>
            </w:r>
            <w:r>
              <w:rPr>
                <w:b/>
                <w:color w:val="000000"/>
                <w:sz w:val="22"/>
                <w:szCs w:val="22"/>
              </w:rPr>
              <w:t>25</w:t>
            </w:r>
            <w:r w:rsidRPr="001F3937">
              <w:rPr>
                <w:b/>
                <w:color w:val="000000"/>
                <w:sz w:val="22"/>
                <w:szCs w:val="22"/>
              </w:rPr>
              <w:t xml:space="preserve">  orë angazhim, p.sh nëse lënda i ka 6 ECTS kredi student duhet të ketë angazhim gjatë semestri</w:t>
            </w:r>
            <w:bookmarkStart w:id="0" w:name="_GoBack"/>
            <w:bookmarkEnd w:id="0"/>
            <w:r w:rsidRPr="001F3937">
              <w:rPr>
                <w:b/>
                <w:color w:val="000000"/>
                <w:sz w:val="22"/>
                <w:szCs w:val="22"/>
              </w:rPr>
              <w:t>t rreth 1</w:t>
            </w:r>
            <w:r w:rsidR="00850BE3">
              <w:rPr>
                <w:b/>
                <w:color w:val="000000"/>
                <w:sz w:val="22"/>
                <w:szCs w:val="22"/>
              </w:rPr>
              <w:t>50</w:t>
            </w:r>
            <w:r w:rsidRPr="001F3937">
              <w:rPr>
                <w:b/>
                <w:color w:val="000000"/>
                <w:sz w:val="22"/>
                <w:szCs w:val="22"/>
              </w:rPr>
              <w:t xml:space="preserve"> orë</w:t>
            </w:r>
          </w:p>
        </w:tc>
      </w:tr>
      <w:tr w:rsidR="00697E45" w:rsidRPr="001F3937" w:rsidTr="00A4095B">
        <w:tc>
          <w:tcPr>
            <w:tcW w:w="1809" w:type="dxa"/>
          </w:tcPr>
          <w:p w:rsidR="00697E45" w:rsidRPr="001F3937" w:rsidRDefault="00697E45" w:rsidP="00697E45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Metodologjia e mësimdhënies:  </w:t>
            </w:r>
          </w:p>
        </w:tc>
        <w:tc>
          <w:tcPr>
            <w:tcW w:w="7230" w:type="dxa"/>
            <w:gridSpan w:val="8"/>
          </w:tcPr>
          <w:p w:rsidR="00697E45" w:rsidRPr="001F3937" w:rsidRDefault="00697E45" w:rsidP="00697E45">
            <w:pPr>
              <w:pStyle w:val="KeinLeerraum"/>
              <w:rPr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color w:val="000000"/>
                <w:sz w:val="22"/>
                <w:szCs w:val="22"/>
                <w:lang w:val="sq-AL" w:eastAsia="de-DE"/>
              </w:rPr>
              <w:t>Ligjërata, ushtrime teorike dhe laboratorike, seminar prezantimi, diskutime, duke punuar në grup,  vizitë  fusha eksperimentale, fidanishte serra eksperimentale etj.</w:t>
            </w:r>
          </w:p>
          <w:p w:rsidR="00697E45" w:rsidRPr="001F3937" w:rsidRDefault="00697E45" w:rsidP="00697E45">
            <w:pPr>
              <w:jc w:val="both"/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Ligjërata (30%), Puna praktike (përgatitja e prezantimeve, metodat, etj.) (30%)</w:t>
            </w:r>
          </w:p>
          <w:p w:rsidR="00697E45" w:rsidRPr="001F3937" w:rsidRDefault="00697E45" w:rsidP="00697E45">
            <w:pPr>
              <w:jc w:val="both"/>
              <w:rPr>
                <w:i/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Pune individuale dhe prezantim nga studentet (20%), Udhëzues tjerë (10%), Vlerësimi (10%)</w:t>
            </w:r>
          </w:p>
        </w:tc>
      </w:tr>
      <w:tr w:rsidR="00697E45" w:rsidRPr="001F3937" w:rsidTr="00A4095B">
        <w:tc>
          <w:tcPr>
            <w:tcW w:w="1809" w:type="dxa"/>
          </w:tcPr>
          <w:p w:rsidR="00697E45" w:rsidRPr="001F3937" w:rsidRDefault="00697E45" w:rsidP="00697E45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>Metodat e vlerësimit:</w:t>
            </w:r>
          </w:p>
        </w:tc>
        <w:tc>
          <w:tcPr>
            <w:tcW w:w="7230" w:type="dxa"/>
            <w:gridSpan w:val="8"/>
          </w:tcPr>
          <w:p w:rsidR="00697E45" w:rsidRPr="001F3937" w:rsidRDefault="00697E45" w:rsidP="00697E45">
            <w:pPr>
              <w:pStyle w:val="KeinLeerraum"/>
              <w:rPr>
                <w:color w:val="000000"/>
                <w:sz w:val="22"/>
                <w:szCs w:val="22"/>
                <w:lang w:val="en-GB" w:eastAsia="de-DE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Vlerësimi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i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parë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: 30%</w:t>
            </w:r>
          </w:p>
          <w:p w:rsidR="00697E45" w:rsidRPr="001F3937" w:rsidRDefault="00697E45" w:rsidP="00697E45">
            <w:pPr>
              <w:pStyle w:val="KeinLeerraum"/>
              <w:rPr>
                <w:color w:val="000000"/>
                <w:sz w:val="22"/>
                <w:szCs w:val="22"/>
                <w:lang w:val="en-GB" w:eastAsia="de-DE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Vlerësimi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i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dytë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: 25%</w:t>
            </w:r>
          </w:p>
          <w:p w:rsidR="00697E45" w:rsidRPr="001F3937" w:rsidRDefault="00697E45" w:rsidP="00697E45">
            <w:pPr>
              <w:pStyle w:val="KeinLeerraum"/>
              <w:rPr>
                <w:color w:val="000000"/>
                <w:sz w:val="22"/>
                <w:szCs w:val="22"/>
                <w:lang w:val="en-GB" w:eastAsia="de-DE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Detyrat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dhe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angazhime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tjera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: 10%</w:t>
            </w:r>
          </w:p>
          <w:p w:rsidR="00697E45" w:rsidRPr="001F3937" w:rsidRDefault="00697E45" w:rsidP="00697E45">
            <w:pPr>
              <w:pStyle w:val="KeinLeerraum"/>
              <w:rPr>
                <w:color w:val="000000"/>
                <w:sz w:val="22"/>
                <w:szCs w:val="22"/>
                <w:lang w:val="en-GB" w:eastAsia="de-DE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Vijimi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i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rregullt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: 5%</w:t>
            </w:r>
          </w:p>
          <w:p w:rsidR="00697E45" w:rsidRPr="001F3937" w:rsidRDefault="00697E45" w:rsidP="00697E45">
            <w:pPr>
              <w:pStyle w:val="KeinLeerraum"/>
              <w:rPr>
                <w:color w:val="000000"/>
                <w:sz w:val="22"/>
                <w:szCs w:val="22"/>
                <w:lang w:val="en-GB" w:eastAsia="de-DE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Provimi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përfundimtar</w:t>
            </w:r>
            <w:proofErr w:type="spellEnd"/>
            <w:r w:rsidRPr="001F3937">
              <w:rPr>
                <w:color w:val="000000"/>
                <w:sz w:val="22"/>
                <w:szCs w:val="22"/>
                <w:lang w:val="en-GB" w:eastAsia="de-DE"/>
              </w:rPr>
              <w:t>: 30%</w:t>
            </w:r>
          </w:p>
          <w:p w:rsidR="00697E45" w:rsidRPr="001F3937" w:rsidRDefault="00697E45" w:rsidP="00697E45">
            <w:pPr>
              <w:pStyle w:val="KeinLeerraum"/>
              <w:rPr>
                <w:color w:val="000000"/>
                <w:sz w:val="22"/>
                <w:szCs w:val="22"/>
                <w:lang w:val="en-GB" w:eastAsia="de-DE"/>
              </w:rPr>
            </w:pPr>
            <w:r w:rsidRPr="001F3937">
              <w:rPr>
                <w:color w:val="000000"/>
                <w:sz w:val="22"/>
                <w:szCs w:val="22"/>
                <w:lang w:val="en-GB" w:eastAsia="de-DE"/>
              </w:rPr>
              <w:t>Total 100%</w:t>
            </w:r>
          </w:p>
        </w:tc>
      </w:tr>
      <w:tr w:rsidR="00697E45" w:rsidRPr="001F3937" w:rsidTr="00A4095B">
        <w:tc>
          <w:tcPr>
            <w:tcW w:w="9039" w:type="dxa"/>
            <w:gridSpan w:val="9"/>
            <w:shd w:val="clear" w:color="auto" w:fill="B8CCE4"/>
          </w:tcPr>
          <w:p w:rsidR="00697E45" w:rsidRPr="001F3937" w:rsidRDefault="00697E45" w:rsidP="00697E45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Literatura </w:t>
            </w:r>
          </w:p>
        </w:tc>
      </w:tr>
      <w:tr w:rsidR="00697E45" w:rsidRPr="001F3937" w:rsidTr="00A4095B">
        <w:tc>
          <w:tcPr>
            <w:tcW w:w="1809" w:type="dxa"/>
          </w:tcPr>
          <w:p w:rsidR="00697E45" w:rsidRPr="001F3937" w:rsidRDefault="00697E45" w:rsidP="00697E45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Literatura bazë:  </w:t>
            </w:r>
          </w:p>
        </w:tc>
        <w:tc>
          <w:tcPr>
            <w:tcW w:w="7230" w:type="dxa"/>
            <w:gridSpan w:val="8"/>
          </w:tcPr>
          <w:p w:rsidR="00697E45" w:rsidRPr="001F3937" w:rsidRDefault="00697E45" w:rsidP="00697E45">
            <w:pPr>
              <w:spacing w:before="107" w:after="107"/>
              <w:jc w:val="both"/>
              <w:rPr>
                <w:color w:val="000000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</w:rPr>
              <w:t>Chawla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H.S.,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Introduction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to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plant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biotechnology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. 2002.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Science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Publisher,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Inc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Plymouth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. 539 p. ISBN: 1-57808-228-5 </w:t>
            </w:r>
          </w:p>
          <w:p w:rsidR="00697E45" w:rsidRPr="001F3937" w:rsidRDefault="00697E45" w:rsidP="00697E45">
            <w:pPr>
              <w:pStyle w:val="BodyText"/>
              <w:rPr>
                <w:b w:val="0"/>
                <w:color w:val="000000"/>
                <w:lang w:val="sq-AL"/>
              </w:rPr>
            </w:pP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Salillari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, A.,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Fetahu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Sh,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Aliu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, S.,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Susaj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L. (2003);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Bioteknologjia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, Prishtinë.</w:t>
            </w:r>
          </w:p>
          <w:p w:rsidR="00697E45" w:rsidRPr="001F3937" w:rsidRDefault="00697E45" w:rsidP="00697E45">
            <w:pPr>
              <w:pStyle w:val="BodyText"/>
              <w:rPr>
                <w:b w:val="0"/>
                <w:color w:val="000000"/>
                <w:lang w:val="sq-AL"/>
              </w:rPr>
            </w:pP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Neal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, C.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Stewart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JR. (2008):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Plant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Biotechnology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and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Geneics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Principles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Techniques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and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Applications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John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Wiley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&amp;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Sons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,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Inc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.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New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 xml:space="preserve"> </w:t>
            </w:r>
            <w:proofErr w:type="spellStart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Jersey</w:t>
            </w:r>
            <w:proofErr w:type="spellEnd"/>
            <w:r w:rsidRPr="001F3937">
              <w:rPr>
                <w:b w:val="0"/>
                <w:color w:val="000000"/>
                <w:sz w:val="22"/>
                <w:szCs w:val="22"/>
                <w:lang w:val="sq-AL"/>
              </w:rPr>
              <w:t>.</w:t>
            </w:r>
          </w:p>
        </w:tc>
      </w:tr>
      <w:tr w:rsidR="00697E45" w:rsidRPr="001F3937" w:rsidTr="00A4095B">
        <w:tc>
          <w:tcPr>
            <w:tcW w:w="1809" w:type="dxa"/>
          </w:tcPr>
          <w:p w:rsidR="00697E45" w:rsidRPr="001F3937" w:rsidRDefault="00697E45" w:rsidP="00697E45">
            <w:pPr>
              <w:pStyle w:val="KeinLeerraum"/>
              <w:rPr>
                <w:b/>
                <w:color w:val="000000"/>
                <w:sz w:val="22"/>
                <w:szCs w:val="22"/>
                <w:lang w:val="sq-AL" w:eastAsia="de-DE"/>
              </w:rPr>
            </w:pPr>
            <w:r w:rsidRPr="001F3937">
              <w:rPr>
                <w:b/>
                <w:color w:val="000000"/>
                <w:sz w:val="22"/>
                <w:szCs w:val="22"/>
                <w:lang w:val="sq-AL" w:eastAsia="de-DE"/>
              </w:rPr>
              <w:t xml:space="preserve">Literatura shtesë:  </w:t>
            </w:r>
          </w:p>
        </w:tc>
        <w:tc>
          <w:tcPr>
            <w:tcW w:w="7230" w:type="dxa"/>
            <w:gridSpan w:val="8"/>
          </w:tcPr>
          <w:p w:rsidR="00697E45" w:rsidRPr="001F3937" w:rsidRDefault="00697E45" w:rsidP="00697E45">
            <w:pPr>
              <w:pStyle w:val="KeinLeerraum"/>
              <w:rPr>
                <w:i/>
                <w:color w:val="000000"/>
                <w:sz w:val="22"/>
                <w:szCs w:val="22"/>
                <w:lang w:val="sq-AL" w:eastAsia="de-DE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Bohanec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B.,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Javornik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B.,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Strel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B. 2004.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Gensko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spremenjena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hrana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.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Biotechnical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Faculty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 xml:space="preserve">, </w:t>
            </w:r>
            <w:proofErr w:type="spellStart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Ljubljana</w:t>
            </w:r>
            <w:proofErr w:type="spellEnd"/>
            <w:r w:rsidRPr="001F3937">
              <w:rPr>
                <w:color w:val="000000"/>
                <w:sz w:val="22"/>
                <w:szCs w:val="22"/>
                <w:lang w:val="sq-AL" w:eastAsia="de-DE"/>
              </w:rPr>
              <w:t>. 167 p. ISBN: 961-6379-06-2.</w:t>
            </w:r>
          </w:p>
        </w:tc>
      </w:tr>
    </w:tbl>
    <w:p w:rsidR="00BE2CE3" w:rsidRPr="001F3937" w:rsidRDefault="00BE2CE3" w:rsidP="00BE2CE3">
      <w:pPr>
        <w:rPr>
          <w:vanish/>
          <w:sz w:val="22"/>
          <w:szCs w:val="22"/>
        </w:rPr>
      </w:pPr>
    </w:p>
    <w:tbl>
      <w:tblPr>
        <w:tblpPr w:leftFromText="180" w:rightFromText="180" w:vertAnchor="text" w:horzAnchor="margin" w:tblpY="4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3"/>
        <w:gridCol w:w="7116"/>
      </w:tblGrid>
      <w:tr w:rsidR="00BE2CE3" w:rsidRPr="001F3937" w:rsidTr="00A4095B">
        <w:tc>
          <w:tcPr>
            <w:tcW w:w="9039" w:type="dxa"/>
            <w:gridSpan w:val="2"/>
            <w:shd w:val="clear" w:color="auto" w:fill="B8CCE4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Plani i dizajnuar i mësimit:  </w:t>
            </w:r>
          </w:p>
        </w:tc>
      </w:tr>
      <w:tr w:rsidR="00BE2CE3" w:rsidRPr="001F3937" w:rsidTr="00A4095B">
        <w:tc>
          <w:tcPr>
            <w:tcW w:w="1923" w:type="dxa"/>
            <w:shd w:val="clear" w:color="auto" w:fill="B8CCE4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Java</w:t>
            </w:r>
          </w:p>
        </w:tc>
        <w:tc>
          <w:tcPr>
            <w:tcW w:w="7116" w:type="dxa"/>
            <w:shd w:val="clear" w:color="auto" w:fill="B8CCE4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Ligjërata që do të zhvillohet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Java e parë: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1F3937">
              <w:rPr>
                <w:rStyle w:val="longtext"/>
                <w:color w:val="000000"/>
                <w:sz w:val="22"/>
                <w:szCs w:val="22"/>
                <w:shd w:val="clear" w:color="auto" w:fill="FFFFFF"/>
              </w:rPr>
              <w:t xml:space="preserve">Hyrje në </w:t>
            </w:r>
            <w:proofErr w:type="spellStart"/>
            <w:r w:rsidRPr="001F3937">
              <w:rPr>
                <w:rStyle w:val="longtext"/>
                <w:color w:val="000000"/>
                <w:sz w:val="22"/>
                <w:szCs w:val="22"/>
                <w:shd w:val="clear" w:color="auto" w:fill="FFFFFF"/>
              </w:rPr>
              <w:t>Bioteknologji</w:t>
            </w:r>
            <w:proofErr w:type="spellEnd"/>
            <w:r w:rsidRPr="001F3937">
              <w:rPr>
                <w:rStyle w:val="longtext"/>
                <w:color w:val="000000"/>
                <w:sz w:val="22"/>
                <w:szCs w:val="22"/>
                <w:shd w:val="clear" w:color="auto" w:fill="FFFFFF"/>
              </w:rPr>
              <w:t xml:space="preserve"> të bimëve 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Java e dytë: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1F3937">
              <w:rPr>
                <w:rStyle w:val="longtext"/>
                <w:color w:val="000000"/>
                <w:sz w:val="22"/>
                <w:szCs w:val="22"/>
                <w:shd w:val="clear" w:color="auto" w:fill="FFFFFF"/>
              </w:rPr>
              <w:t>Roli, rëndësia dhe qëllimet e studimeve të bimëve.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Java e tretë: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proofErr w:type="spellStart"/>
            <w:r w:rsidRPr="001F3937">
              <w:rPr>
                <w:rStyle w:val="longtext"/>
                <w:color w:val="000000"/>
                <w:sz w:val="22"/>
                <w:szCs w:val="22"/>
                <w:shd w:val="clear" w:color="auto" w:fill="FFFFFF"/>
              </w:rPr>
              <w:t>Gjenoma</w:t>
            </w:r>
            <w:proofErr w:type="spellEnd"/>
            <w:r w:rsidRPr="001F3937">
              <w:rPr>
                <w:rStyle w:val="longtext"/>
                <w:color w:val="000000"/>
                <w:sz w:val="22"/>
                <w:szCs w:val="22"/>
                <w:shd w:val="clear" w:color="auto" w:fill="FFFFFF"/>
              </w:rPr>
              <w:t xml:space="preserve"> e bimëve, qasja në studimet e bimëve.</w:t>
            </w:r>
            <w:r w:rsidRPr="001F393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Java e katërt: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Aplikimi i metodave të kulturave të indeve bimore dhe shumimi i bimëve, në gjenetikë dhe seleksionim të bimëve.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Java e pestë:  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Qasja themelore të induksionit të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haploideve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në bimë. Metodat e izolimit dhe rigjenerimin të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protoplastit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>.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Java e gjashtë: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textAlignment w:val="top"/>
              <w:rPr>
                <w:color w:val="000000"/>
                <w:shd w:val="clear" w:color="auto" w:fill="FFFFFF"/>
              </w:rPr>
            </w:pPr>
            <w:r w:rsidRPr="001F3937">
              <w:rPr>
                <w:color w:val="000000"/>
                <w:sz w:val="22"/>
                <w:szCs w:val="22"/>
                <w:shd w:val="clear" w:color="auto" w:fill="FFFFFF"/>
              </w:rPr>
              <w:t xml:space="preserve">Vlerësimi dhe menaxhimi i resurseve gjenetike bimore </w:t>
            </w:r>
            <w:proofErr w:type="spellStart"/>
            <w:r w:rsidRPr="001F3937">
              <w:rPr>
                <w:color w:val="000000"/>
                <w:sz w:val="22"/>
                <w:szCs w:val="22"/>
                <w:shd w:val="clear" w:color="auto" w:fill="FFFFFF"/>
              </w:rPr>
              <w:t>rezistente</w:t>
            </w:r>
            <w:proofErr w:type="spellEnd"/>
            <w:r w:rsidRPr="001F3937">
              <w:rPr>
                <w:color w:val="000000"/>
                <w:sz w:val="22"/>
                <w:szCs w:val="22"/>
                <w:shd w:val="clear" w:color="auto" w:fill="FFFFFF"/>
              </w:rPr>
              <w:t xml:space="preserve"> ndaj sëmundjeve dhe dëmtuesve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Java e shtatë:  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jc w:val="both"/>
              <w:textAlignment w:val="top"/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Kulturat e qelizës dhe indeve të bimore (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Mikroshumimi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)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Java e tetë:  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Modifikimi gjenetik i tipareve agronomike: kultivimin e bimëve të modifikuara gjenetikisht me rezistencë ndaj viruseve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fitopatogjene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, bakteret dhe kërpudhave dhe dëmtuesve.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Java e nëntë:  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OMGJ e mbjell me rezistencë të ulët dhe të lartë temperatura, kripërat dhe bimët e modifikuara gjenetikisht me tolerancë ndaj herbicideve. </w:t>
            </w:r>
          </w:p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Gjenet dhe transformimet:</w:t>
            </w:r>
            <w:r w:rsidRPr="001F3937">
              <w:rPr>
                <w:color w:val="000000"/>
                <w:sz w:val="22"/>
                <w:szCs w:val="22"/>
              </w:rPr>
              <w:t xml:space="preserve"> Teknikat themelore të indirekte dhe të drejtpërdrejtë transferim të gjeneve dhe analiza e transformimit të përkohshëm dhe të qëndrueshëm.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lastRenderedPageBreak/>
              <w:t>Java e dhjetë: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jc w:val="both"/>
              <w:textAlignment w:val="top"/>
              <w:rPr>
                <w:color w:val="000000"/>
                <w:shd w:val="clear" w:color="auto" w:fill="FFFFFF"/>
              </w:rPr>
            </w:pPr>
            <w:r w:rsidRPr="001F3937">
              <w:rPr>
                <w:color w:val="000000"/>
                <w:sz w:val="22"/>
                <w:szCs w:val="22"/>
                <w:shd w:val="clear" w:color="auto" w:fill="FFFFFF"/>
              </w:rPr>
              <w:t xml:space="preserve">Bimët gjenetikisht të modifikuara </w:t>
            </w:r>
            <w:proofErr w:type="spellStart"/>
            <w:r w:rsidRPr="001F3937">
              <w:rPr>
                <w:color w:val="000000"/>
                <w:sz w:val="22"/>
                <w:szCs w:val="22"/>
                <w:shd w:val="clear" w:color="auto" w:fill="FFFFFF"/>
              </w:rPr>
              <w:t>rezistente</w:t>
            </w:r>
            <w:proofErr w:type="spellEnd"/>
            <w:r w:rsidRPr="001F3937">
              <w:rPr>
                <w:color w:val="000000"/>
                <w:sz w:val="22"/>
                <w:szCs w:val="22"/>
                <w:shd w:val="clear" w:color="auto" w:fill="FFFFFF"/>
              </w:rPr>
              <w:t xml:space="preserve"> ndaj viruseve dhe dëmtuesve dhe tolerante ndaj herbicideve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Java e njëmbëdhjetë: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Modifikimet gjenetike të cilësisë për rendimente më të përshtatshme për transformim gjenetik: rendimenti, pjekuria, cilësia, përmbajtja e makro dhe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mikro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- elementeve, vlera ushqyese. Bimët OMGJ për prodhimin e antitrupave, vaksinave, drogës dhe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biomaterialet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>.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Java e dymbëdhjetë:  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Rezistenca ndaj stresit abiotike dhe biotike dhe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bio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faring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Java e trembëdhjetë:    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proofErr w:type="spellStart"/>
            <w:r w:rsidRPr="001F3937">
              <w:rPr>
                <w:color w:val="000000"/>
                <w:sz w:val="22"/>
                <w:szCs w:val="22"/>
              </w:rPr>
              <w:t>Biosiguria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e bimëve të modifikuara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Java e katërmbëdhjetë:  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Zhvillimi i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markerëve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molekulare (AFLP, SSR, SNP) dhe vlerësimin e polimorfizmin me metoda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fenotipore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dhe modelit të bazuar për analizën e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diversitetit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gjenomike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të llojeve të bimëve dhe të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populacioneve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. </w:t>
            </w:r>
          </w:p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Aplikimi i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markerëve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molekulare për harta të gjeneve (harta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rekombinimet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), për izolimin e gjeneve kandidate (klonimi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pozicional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) dhe për kërkim të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markerëve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të lidhura me tipare të rëndësishme (të analizës ndarje). </w:t>
            </w:r>
          </w:p>
        </w:tc>
      </w:tr>
      <w:tr w:rsidR="00BE2CE3" w:rsidRPr="001F3937" w:rsidTr="00A4095B">
        <w:tc>
          <w:tcPr>
            <w:tcW w:w="1923" w:type="dxa"/>
          </w:tcPr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 xml:space="preserve">Java e pesëmbëdhjetë:   </w:t>
            </w:r>
          </w:p>
        </w:tc>
        <w:tc>
          <w:tcPr>
            <w:tcW w:w="7116" w:type="dxa"/>
          </w:tcPr>
          <w:p w:rsidR="00BE2CE3" w:rsidRPr="001F3937" w:rsidRDefault="00BE2CE3" w:rsidP="00A4095B">
            <w:pPr>
              <w:rPr>
                <w:rStyle w:val="longtext"/>
                <w:color w:val="000000"/>
                <w:shd w:val="clear" w:color="auto" w:fill="FFFFFF"/>
              </w:rPr>
            </w:pPr>
            <w:r w:rsidRPr="001F3937">
              <w:rPr>
                <w:rStyle w:val="longtext"/>
                <w:color w:val="000000"/>
                <w:sz w:val="22"/>
                <w:szCs w:val="22"/>
                <w:shd w:val="clear" w:color="auto" w:fill="FFFFFF"/>
              </w:rPr>
              <w:t>Rëndësia e opinionit publik dhe pranimi i bimëve t</w:t>
            </w:r>
            <w:r w:rsidRPr="001F3937">
              <w:rPr>
                <w:color w:val="000000"/>
                <w:sz w:val="22"/>
                <w:szCs w:val="22"/>
              </w:rPr>
              <w:t>ë</w:t>
            </w:r>
            <w:r w:rsidRPr="001F3937">
              <w:rPr>
                <w:rStyle w:val="longtext"/>
                <w:color w:val="000000"/>
                <w:sz w:val="22"/>
                <w:szCs w:val="22"/>
                <w:shd w:val="clear" w:color="auto" w:fill="FFFFFF"/>
              </w:rPr>
              <w:t xml:space="preserve"> modifikuara gjenetikisht</w:t>
            </w:r>
          </w:p>
          <w:p w:rsidR="00BE2CE3" w:rsidRPr="001F3937" w:rsidRDefault="00BE2CE3" w:rsidP="00A4095B">
            <w:pPr>
              <w:rPr>
                <w:b/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Ligji dhe Rregullat Kombëtare për organizmat e modifikuar gjenetikisht  (OMGJ).</w:t>
            </w:r>
          </w:p>
        </w:tc>
      </w:tr>
    </w:tbl>
    <w:p w:rsidR="00BE2CE3" w:rsidRPr="001F3937" w:rsidRDefault="00BE2CE3" w:rsidP="00BE2CE3">
      <w:pPr>
        <w:rPr>
          <w:vanish/>
          <w:sz w:val="22"/>
          <w:szCs w:val="22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BE2CE3" w:rsidRPr="001F3937" w:rsidTr="00A4095B">
        <w:tc>
          <w:tcPr>
            <w:tcW w:w="9039" w:type="dxa"/>
            <w:shd w:val="clear" w:color="auto" w:fill="B8CCE4"/>
          </w:tcPr>
          <w:p w:rsidR="00BE2CE3" w:rsidRPr="001F3937" w:rsidRDefault="00BE2CE3" w:rsidP="00A4095B">
            <w:pPr>
              <w:jc w:val="center"/>
              <w:rPr>
                <w:b/>
                <w:color w:val="000000"/>
              </w:rPr>
            </w:pPr>
            <w:r w:rsidRPr="001F3937">
              <w:rPr>
                <w:b/>
                <w:color w:val="000000"/>
                <w:sz w:val="22"/>
                <w:szCs w:val="22"/>
              </w:rPr>
              <w:t>Politikat akademike dhe rregullat e mirësjelljes:</w:t>
            </w:r>
          </w:p>
        </w:tc>
      </w:tr>
      <w:tr w:rsidR="00BE2CE3" w:rsidRPr="001F3937" w:rsidTr="00A4095B">
        <w:trPr>
          <w:trHeight w:val="1088"/>
        </w:trPr>
        <w:tc>
          <w:tcPr>
            <w:tcW w:w="9039" w:type="dxa"/>
          </w:tcPr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Rregullat akademike , "studentët-mësues" respekt reciprok.</w:t>
            </w:r>
          </w:p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Pjesëmarrja aktive dhe e rregullt në ligjërata, ushtrime, punë praktike dhe eksperimentale.</w:t>
            </w:r>
          </w:p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Pjesëmarrja e studenteve e ligjërata dhe ushtrime është e obligueshme. Reflektimi në pune në grupe është i dëshirueshëm.</w:t>
            </w:r>
          </w:p>
          <w:p w:rsidR="00BE2CE3" w:rsidRPr="001F3937" w:rsidRDefault="00BE2CE3" w:rsidP="00A4095B">
            <w:pPr>
              <w:rPr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>Nxitja hulumtim profesional shkencor, pjesëmarrja në konferenca dhe kongrese ndërkombëtare, publikimet e bashkëpunimit dhe aktiviteteve shkencore.</w:t>
            </w:r>
          </w:p>
          <w:p w:rsidR="00BE2CE3" w:rsidRPr="001F3937" w:rsidRDefault="00BE2CE3" w:rsidP="00A4095B">
            <w:pPr>
              <w:rPr>
                <w:b/>
                <w:i/>
                <w:color w:val="000000"/>
              </w:rPr>
            </w:pPr>
            <w:r w:rsidRPr="001F3937">
              <w:rPr>
                <w:color w:val="000000"/>
                <w:sz w:val="22"/>
                <w:szCs w:val="22"/>
              </w:rPr>
              <w:t xml:space="preserve">Promovimi dhe nxitja e kërkimit dhe puna krijuese në </w:t>
            </w:r>
            <w:proofErr w:type="spellStart"/>
            <w:r w:rsidRPr="001F3937">
              <w:rPr>
                <w:color w:val="000000"/>
                <w:sz w:val="22"/>
                <w:szCs w:val="22"/>
              </w:rPr>
              <w:t>Bioteknologji</w:t>
            </w:r>
            <w:proofErr w:type="spellEnd"/>
            <w:r w:rsidRPr="001F3937">
              <w:rPr>
                <w:color w:val="000000"/>
                <w:sz w:val="22"/>
                <w:szCs w:val="22"/>
              </w:rPr>
              <w:t xml:space="preserve"> të bimëve.</w:t>
            </w:r>
          </w:p>
        </w:tc>
      </w:tr>
    </w:tbl>
    <w:p w:rsidR="008D1BB6" w:rsidRPr="001F3937" w:rsidRDefault="008D1BB6">
      <w:pPr>
        <w:rPr>
          <w:sz w:val="22"/>
          <w:szCs w:val="22"/>
        </w:rPr>
      </w:pPr>
    </w:p>
    <w:sectPr w:rsidR="008D1BB6" w:rsidRPr="001F3937" w:rsidSect="00FF6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F585F"/>
    <w:multiLevelType w:val="hybridMultilevel"/>
    <w:tmpl w:val="1D3277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2CE3"/>
    <w:rsid w:val="0000746C"/>
    <w:rsid w:val="00015B21"/>
    <w:rsid w:val="000206CC"/>
    <w:rsid w:val="00020F54"/>
    <w:rsid w:val="00023953"/>
    <w:rsid w:val="00027BEE"/>
    <w:rsid w:val="0003633E"/>
    <w:rsid w:val="000405D2"/>
    <w:rsid w:val="00042CE1"/>
    <w:rsid w:val="00046FE7"/>
    <w:rsid w:val="00055932"/>
    <w:rsid w:val="000613D2"/>
    <w:rsid w:val="00061523"/>
    <w:rsid w:val="00062D0C"/>
    <w:rsid w:val="00075444"/>
    <w:rsid w:val="00083CAD"/>
    <w:rsid w:val="00084096"/>
    <w:rsid w:val="00092E48"/>
    <w:rsid w:val="000A0180"/>
    <w:rsid w:val="000A37DE"/>
    <w:rsid w:val="000A38F1"/>
    <w:rsid w:val="000B0413"/>
    <w:rsid w:val="000B3545"/>
    <w:rsid w:val="000B376E"/>
    <w:rsid w:val="000B5FA4"/>
    <w:rsid w:val="000B6468"/>
    <w:rsid w:val="000C0EB0"/>
    <w:rsid w:val="000C27AF"/>
    <w:rsid w:val="000C2AD0"/>
    <w:rsid w:val="000C4840"/>
    <w:rsid w:val="000C6C66"/>
    <w:rsid w:val="000F313E"/>
    <w:rsid w:val="00104A33"/>
    <w:rsid w:val="00114B18"/>
    <w:rsid w:val="001234BA"/>
    <w:rsid w:val="00131F5B"/>
    <w:rsid w:val="0013425C"/>
    <w:rsid w:val="00134427"/>
    <w:rsid w:val="00136B9F"/>
    <w:rsid w:val="001417C4"/>
    <w:rsid w:val="00142E45"/>
    <w:rsid w:val="001469DE"/>
    <w:rsid w:val="001646FF"/>
    <w:rsid w:val="00165192"/>
    <w:rsid w:val="0017506D"/>
    <w:rsid w:val="00186B65"/>
    <w:rsid w:val="00195F40"/>
    <w:rsid w:val="001A3B44"/>
    <w:rsid w:val="001A6D9F"/>
    <w:rsid w:val="001A76A5"/>
    <w:rsid w:val="001C25C6"/>
    <w:rsid w:val="001D2D7A"/>
    <w:rsid w:val="001D31D3"/>
    <w:rsid w:val="001D4A57"/>
    <w:rsid w:val="001D799C"/>
    <w:rsid w:val="001E570D"/>
    <w:rsid w:val="001F162B"/>
    <w:rsid w:val="001F3937"/>
    <w:rsid w:val="002011D0"/>
    <w:rsid w:val="00203C0B"/>
    <w:rsid w:val="00212EF8"/>
    <w:rsid w:val="0021720D"/>
    <w:rsid w:val="0022177E"/>
    <w:rsid w:val="00227A55"/>
    <w:rsid w:val="00232429"/>
    <w:rsid w:val="00243143"/>
    <w:rsid w:val="00245395"/>
    <w:rsid w:val="002466E0"/>
    <w:rsid w:val="00246A7E"/>
    <w:rsid w:val="00247CBD"/>
    <w:rsid w:val="00252225"/>
    <w:rsid w:val="00255D94"/>
    <w:rsid w:val="00262F82"/>
    <w:rsid w:val="00263D7D"/>
    <w:rsid w:val="002727EB"/>
    <w:rsid w:val="00280C56"/>
    <w:rsid w:val="00283E18"/>
    <w:rsid w:val="002873A9"/>
    <w:rsid w:val="00290037"/>
    <w:rsid w:val="00290180"/>
    <w:rsid w:val="00293A4C"/>
    <w:rsid w:val="002A4A67"/>
    <w:rsid w:val="002C20D4"/>
    <w:rsid w:val="002D287C"/>
    <w:rsid w:val="002D657A"/>
    <w:rsid w:val="002E0950"/>
    <w:rsid w:val="002E23AB"/>
    <w:rsid w:val="002E3366"/>
    <w:rsid w:val="00300516"/>
    <w:rsid w:val="00307418"/>
    <w:rsid w:val="00317B94"/>
    <w:rsid w:val="003239CD"/>
    <w:rsid w:val="00323AF3"/>
    <w:rsid w:val="00333960"/>
    <w:rsid w:val="00342B8E"/>
    <w:rsid w:val="0034390F"/>
    <w:rsid w:val="00351278"/>
    <w:rsid w:val="00354C27"/>
    <w:rsid w:val="003551BE"/>
    <w:rsid w:val="00357DD7"/>
    <w:rsid w:val="00365473"/>
    <w:rsid w:val="00394CE9"/>
    <w:rsid w:val="003A0E9A"/>
    <w:rsid w:val="003A2517"/>
    <w:rsid w:val="003B707C"/>
    <w:rsid w:val="003C12F6"/>
    <w:rsid w:val="003C4F8D"/>
    <w:rsid w:val="003D6A87"/>
    <w:rsid w:val="003E663E"/>
    <w:rsid w:val="003F600A"/>
    <w:rsid w:val="003F704C"/>
    <w:rsid w:val="00404193"/>
    <w:rsid w:val="0040606A"/>
    <w:rsid w:val="004104A7"/>
    <w:rsid w:val="004167FA"/>
    <w:rsid w:val="00420D3E"/>
    <w:rsid w:val="00422D7E"/>
    <w:rsid w:val="004258BD"/>
    <w:rsid w:val="00431BDF"/>
    <w:rsid w:val="00431ECD"/>
    <w:rsid w:val="00455399"/>
    <w:rsid w:val="00467567"/>
    <w:rsid w:val="004679CD"/>
    <w:rsid w:val="00472055"/>
    <w:rsid w:val="00474DCE"/>
    <w:rsid w:val="00477087"/>
    <w:rsid w:val="00483756"/>
    <w:rsid w:val="00487566"/>
    <w:rsid w:val="00492B3E"/>
    <w:rsid w:val="00493765"/>
    <w:rsid w:val="00496F02"/>
    <w:rsid w:val="004A4C9F"/>
    <w:rsid w:val="004A5224"/>
    <w:rsid w:val="004A579F"/>
    <w:rsid w:val="004A7AAE"/>
    <w:rsid w:val="004B0AEB"/>
    <w:rsid w:val="004B0D56"/>
    <w:rsid w:val="004C043B"/>
    <w:rsid w:val="004D0FD3"/>
    <w:rsid w:val="004D418C"/>
    <w:rsid w:val="004E3144"/>
    <w:rsid w:val="004E5A2E"/>
    <w:rsid w:val="004F08B0"/>
    <w:rsid w:val="00502A47"/>
    <w:rsid w:val="00503D7B"/>
    <w:rsid w:val="005058C3"/>
    <w:rsid w:val="00537646"/>
    <w:rsid w:val="00541070"/>
    <w:rsid w:val="005433EC"/>
    <w:rsid w:val="00545272"/>
    <w:rsid w:val="00550F51"/>
    <w:rsid w:val="00551DC5"/>
    <w:rsid w:val="005531A2"/>
    <w:rsid w:val="00555701"/>
    <w:rsid w:val="00556284"/>
    <w:rsid w:val="00575D9D"/>
    <w:rsid w:val="0058157C"/>
    <w:rsid w:val="00584655"/>
    <w:rsid w:val="0059038F"/>
    <w:rsid w:val="00594282"/>
    <w:rsid w:val="00595D17"/>
    <w:rsid w:val="005A33BD"/>
    <w:rsid w:val="005A3A85"/>
    <w:rsid w:val="005A3B01"/>
    <w:rsid w:val="005B141C"/>
    <w:rsid w:val="005B730D"/>
    <w:rsid w:val="005C0153"/>
    <w:rsid w:val="005C1EB0"/>
    <w:rsid w:val="005C7E7F"/>
    <w:rsid w:val="005D7EDC"/>
    <w:rsid w:val="005E3D1A"/>
    <w:rsid w:val="005E46E4"/>
    <w:rsid w:val="005F29F0"/>
    <w:rsid w:val="005F46EE"/>
    <w:rsid w:val="005F498A"/>
    <w:rsid w:val="005F6B24"/>
    <w:rsid w:val="006021D6"/>
    <w:rsid w:val="006119CC"/>
    <w:rsid w:val="00613BC5"/>
    <w:rsid w:val="00615689"/>
    <w:rsid w:val="00620774"/>
    <w:rsid w:val="00621EE3"/>
    <w:rsid w:val="006310A9"/>
    <w:rsid w:val="00632C81"/>
    <w:rsid w:val="006411CB"/>
    <w:rsid w:val="00643552"/>
    <w:rsid w:val="00643A9B"/>
    <w:rsid w:val="00643D6F"/>
    <w:rsid w:val="00655A99"/>
    <w:rsid w:val="0065643F"/>
    <w:rsid w:val="00657863"/>
    <w:rsid w:val="006579F0"/>
    <w:rsid w:val="006601B0"/>
    <w:rsid w:val="006660CF"/>
    <w:rsid w:val="006665B0"/>
    <w:rsid w:val="006665E9"/>
    <w:rsid w:val="006738E3"/>
    <w:rsid w:val="0067510E"/>
    <w:rsid w:val="00682480"/>
    <w:rsid w:val="00684C26"/>
    <w:rsid w:val="00697E45"/>
    <w:rsid w:val="006A2EE6"/>
    <w:rsid w:val="006C0723"/>
    <w:rsid w:val="006C4896"/>
    <w:rsid w:val="006D386F"/>
    <w:rsid w:val="006D4360"/>
    <w:rsid w:val="006D65DC"/>
    <w:rsid w:val="006D71D5"/>
    <w:rsid w:val="006E51FC"/>
    <w:rsid w:val="006E73B4"/>
    <w:rsid w:val="006F4B74"/>
    <w:rsid w:val="00703971"/>
    <w:rsid w:val="00706221"/>
    <w:rsid w:val="00713B9A"/>
    <w:rsid w:val="00717A8F"/>
    <w:rsid w:val="00721269"/>
    <w:rsid w:val="00723CB0"/>
    <w:rsid w:val="007270D3"/>
    <w:rsid w:val="00736F51"/>
    <w:rsid w:val="007372F1"/>
    <w:rsid w:val="007374D5"/>
    <w:rsid w:val="00737D5B"/>
    <w:rsid w:val="007424C4"/>
    <w:rsid w:val="007429A7"/>
    <w:rsid w:val="007431C7"/>
    <w:rsid w:val="007435F8"/>
    <w:rsid w:val="00744E04"/>
    <w:rsid w:val="007524C6"/>
    <w:rsid w:val="007569EC"/>
    <w:rsid w:val="00767A8C"/>
    <w:rsid w:val="00770E84"/>
    <w:rsid w:val="00771B3E"/>
    <w:rsid w:val="00773D11"/>
    <w:rsid w:val="00787445"/>
    <w:rsid w:val="007A337F"/>
    <w:rsid w:val="007A4810"/>
    <w:rsid w:val="007B4431"/>
    <w:rsid w:val="007B59E6"/>
    <w:rsid w:val="007B5D6E"/>
    <w:rsid w:val="007C6807"/>
    <w:rsid w:val="007D465A"/>
    <w:rsid w:val="007E6382"/>
    <w:rsid w:val="007F1952"/>
    <w:rsid w:val="007F5D76"/>
    <w:rsid w:val="007F63C5"/>
    <w:rsid w:val="0080274A"/>
    <w:rsid w:val="008048D6"/>
    <w:rsid w:val="00815DFA"/>
    <w:rsid w:val="00827465"/>
    <w:rsid w:val="0083072E"/>
    <w:rsid w:val="00834CC0"/>
    <w:rsid w:val="00846F68"/>
    <w:rsid w:val="008501CF"/>
    <w:rsid w:val="00850BE3"/>
    <w:rsid w:val="00854EAC"/>
    <w:rsid w:val="00855629"/>
    <w:rsid w:val="00856A41"/>
    <w:rsid w:val="00873B2A"/>
    <w:rsid w:val="008759E4"/>
    <w:rsid w:val="00876444"/>
    <w:rsid w:val="00881ADF"/>
    <w:rsid w:val="008A1259"/>
    <w:rsid w:val="008B05E5"/>
    <w:rsid w:val="008B0B88"/>
    <w:rsid w:val="008D0E9D"/>
    <w:rsid w:val="008D1BB6"/>
    <w:rsid w:val="008D2770"/>
    <w:rsid w:val="008E4E67"/>
    <w:rsid w:val="008E722C"/>
    <w:rsid w:val="008F0CBD"/>
    <w:rsid w:val="008F1B0C"/>
    <w:rsid w:val="008F354E"/>
    <w:rsid w:val="008F51E8"/>
    <w:rsid w:val="008F5567"/>
    <w:rsid w:val="008F6DC2"/>
    <w:rsid w:val="009011D9"/>
    <w:rsid w:val="00903715"/>
    <w:rsid w:val="00923B37"/>
    <w:rsid w:val="00931AB8"/>
    <w:rsid w:val="00931AF1"/>
    <w:rsid w:val="0093404A"/>
    <w:rsid w:val="009430D0"/>
    <w:rsid w:val="0094501E"/>
    <w:rsid w:val="00947EB1"/>
    <w:rsid w:val="00957E90"/>
    <w:rsid w:val="00962C49"/>
    <w:rsid w:val="0097393C"/>
    <w:rsid w:val="00973AE0"/>
    <w:rsid w:val="009775CE"/>
    <w:rsid w:val="009809B4"/>
    <w:rsid w:val="00980B1A"/>
    <w:rsid w:val="00994F69"/>
    <w:rsid w:val="00997832"/>
    <w:rsid w:val="009A0A74"/>
    <w:rsid w:val="009B5D3E"/>
    <w:rsid w:val="009B7950"/>
    <w:rsid w:val="009C6F38"/>
    <w:rsid w:val="009D10DB"/>
    <w:rsid w:val="009D29F3"/>
    <w:rsid w:val="009D724A"/>
    <w:rsid w:val="009E7E69"/>
    <w:rsid w:val="00A0034C"/>
    <w:rsid w:val="00A076EE"/>
    <w:rsid w:val="00A17636"/>
    <w:rsid w:val="00A25139"/>
    <w:rsid w:val="00A32E58"/>
    <w:rsid w:val="00A460A4"/>
    <w:rsid w:val="00A51909"/>
    <w:rsid w:val="00A544DA"/>
    <w:rsid w:val="00A56023"/>
    <w:rsid w:val="00A570CC"/>
    <w:rsid w:val="00A661E9"/>
    <w:rsid w:val="00A66B84"/>
    <w:rsid w:val="00A7496E"/>
    <w:rsid w:val="00A80249"/>
    <w:rsid w:val="00A81DA6"/>
    <w:rsid w:val="00A82FAA"/>
    <w:rsid w:val="00A87471"/>
    <w:rsid w:val="00A874A4"/>
    <w:rsid w:val="00A917FA"/>
    <w:rsid w:val="00A92D1B"/>
    <w:rsid w:val="00A94056"/>
    <w:rsid w:val="00A967A4"/>
    <w:rsid w:val="00A97680"/>
    <w:rsid w:val="00AA0D09"/>
    <w:rsid w:val="00AA1EE0"/>
    <w:rsid w:val="00AA436A"/>
    <w:rsid w:val="00AB0E9B"/>
    <w:rsid w:val="00AB1900"/>
    <w:rsid w:val="00AB602D"/>
    <w:rsid w:val="00AD529B"/>
    <w:rsid w:val="00AE2C62"/>
    <w:rsid w:val="00AE34E9"/>
    <w:rsid w:val="00AE46BC"/>
    <w:rsid w:val="00AF0C0D"/>
    <w:rsid w:val="00AF7350"/>
    <w:rsid w:val="00B165BE"/>
    <w:rsid w:val="00B23062"/>
    <w:rsid w:val="00B304F1"/>
    <w:rsid w:val="00B34FBE"/>
    <w:rsid w:val="00B37251"/>
    <w:rsid w:val="00B37D44"/>
    <w:rsid w:val="00B62073"/>
    <w:rsid w:val="00B77F7E"/>
    <w:rsid w:val="00B815F2"/>
    <w:rsid w:val="00B83B1C"/>
    <w:rsid w:val="00B84E7F"/>
    <w:rsid w:val="00B90C3E"/>
    <w:rsid w:val="00B96531"/>
    <w:rsid w:val="00BA000B"/>
    <w:rsid w:val="00BA0B5A"/>
    <w:rsid w:val="00BA241B"/>
    <w:rsid w:val="00BA7A8F"/>
    <w:rsid w:val="00BB01FC"/>
    <w:rsid w:val="00BB40D5"/>
    <w:rsid w:val="00BD228E"/>
    <w:rsid w:val="00BD50E6"/>
    <w:rsid w:val="00BE009B"/>
    <w:rsid w:val="00BE2CE3"/>
    <w:rsid w:val="00BF19FD"/>
    <w:rsid w:val="00BF2D70"/>
    <w:rsid w:val="00C00981"/>
    <w:rsid w:val="00C05603"/>
    <w:rsid w:val="00C141AB"/>
    <w:rsid w:val="00C20698"/>
    <w:rsid w:val="00C24F13"/>
    <w:rsid w:val="00C414A4"/>
    <w:rsid w:val="00C443C8"/>
    <w:rsid w:val="00C460E3"/>
    <w:rsid w:val="00C52FE8"/>
    <w:rsid w:val="00C55AA8"/>
    <w:rsid w:val="00C63085"/>
    <w:rsid w:val="00C87AD5"/>
    <w:rsid w:val="00C971A6"/>
    <w:rsid w:val="00CA159A"/>
    <w:rsid w:val="00CB10C5"/>
    <w:rsid w:val="00CB290E"/>
    <w:rsid w:val="00CB353C"/>
    <w:rsid w:val="00CB523C"/>
    <w:rsid w:val="00CC069F"/>
    <w:rsid w:val="00CC42FC"/>
    <w:rsid w:val="00CC4768"/>
    <w:rsid w:val="00CC7FF5"/>
    <w:rsid w:val="00CD08A6"/>
    <w:rsid w:val="00CD3381"/>
    <w:rsid w:val="00CD35ED"/>
    <w:rsid w:val="00CD4ADE"/>
    <w:rsid w:val="00CD5524"/>
    <w:rsid w:val="00CE02DC"/>
    <w:rsid w:val="00CE10CC"/>
    <w:rsid w:val="00CE2596"/>
    <w:rsid w:val="00CE6AD3"/>
    <w:rsid w:val="00CE7FA9"/>
    <w:rsid w:val="00CF0A5E"/>
    <w:rsid w:val="00CF17AA"/>
    <w:rsid w:val="00CF4807"/>
    <w:rsid w:val="00CF5BFF"/>
    <w:rsid w:val="00D026C9"/>
    <w:rsid w:val="00D02D8A"/>
    <w:rsid w:val="00D10482"/>
    <w:rsid w:val="00D10A82"/>
    <w:rsid w:val="00D23C7E"/>
    <w:rsid w:val="00D32947"/>
    <w:rsid w:val="00D36D40"/>
    <w:rsid w:val="00D41019"/>
    <w:rsid w:val="00D4135E"/>
    <w:rsid w:val="00D47C26"/>
    <w:rsid w:val="00D61FED"/>
    <w:rsid w:val="00D62293"/>
    <w:rsid w:val="00D66DFB"/>
    <w:rsid w:val="00D712C3"/>
    <w:rsid w:val="00D75A4E"/>
    <w:rsid w:val="00D7714D"/>
    <w:rsid w:val="00D807AD"/>
    <w:rsid w:val="00D85DB6"/>
    <w:rsid w:val="00D90281"/>
    <w:rsid w:val="00D91E86"/>
    <w:rsid w:val="00D95AAF"/>
    <w:rsid w:val="00D95BB4"/>
    <w:rsid w:val="00DB749A"/>
    <w:rsid w:val="00DC0A20"/>
    <w:rsid w:val="00DC1CC1"/>
    <w:rsid w:val="00DE17B8"/>
    <w:rsid w:val="00DF4425"/>
    <w:rsid w:val="00E019EB"/>
    <w:rsid w:val="00E04BEF"/>
    <w:rsid w:val="00E16A88"/>
    <w:rsid w:val="00E17268"/>
    <w:rsid w:val="00E225B6"/>
    <w:rsid w:val="00E22C62"/>
    <w:rsid w:val="00E263B2"/>
    <w:rsid w:val="00E6584E"/>
    <w:rsid w:val="00E6718B"/>
    <w:rsid w:val="00E7238D"/>
    <w:rsid w:val="00E7686C"/>
    <w:rsid w:val="00E84C44"/>
    <w:rsid w:val="00E93B79"/>
    <w:rsid w:val="00EA79D6"/>
    <w:rsid w:val="00EB5D56"/>
    <w:rsid w:val="00EB7974"/>
    <w:rsid w:val="00EC18D7"/>
    <w:rsid w:val="00EC2E82"/>
    <w:rsid w:val="00EC49CC"/>
    <w:rsid w:val="00ED0B19"/>
    <w:rsid w:val="00ED245A"/>
    <w:rsid w:val="00ED655D"/>
    <w:rsid w:val="00ED716D"/>
    <w:rsid w:val="00EE1ADE"/>
    <w:rsid w:val="00EF0FFA"/>
    <w:rsid w:val="00EF4D61"/>
    <w:rsid w:val="00F0325D"/>
    <w:rsid w:val="00F04744"/>
    <w:rsid w:val="00F04F22"/>
    <w:rsid w:val="00F057DA"/>
    <w:rsid w:val="00F320F0"/>
    <w:rsid w:val="00F335B3"/>
    <w:rsid w:val="00F33794"/>
    <w:rsid w:val="00F337AB"/>
    <w:rsid w:val="00F3474F"/>
    <w:rsid w:val="00F36F27"/>
    <w:rsid w:val="00F411EF"/>
    <w:rsid w:val="00F4193B"/>
    <w:rsid w:val="00F41CC3"/>
    <w:rsid w:val="00F43B46"/>
    <w:rsid w:val="00F45631"/>
    <w:rsid w:val="00F46EA4"/>
    <w:rsid w:val="00F478B4"/>
    <w:rsid w:val="00F51BC0"/>
    <w:rsid w:val="00F51F55"/>
    <w:rsid w:val="00F54572"/>
    <w:rsid w:val="00F74D9B"/>
    <w:rsid w:val="00F855E4"/>
    <w:rsid w:val="00F8563C"/>
    <w:rsid w:val="00F958B8"/>
    <w:rsid w:val="00F95DF5"/>
    <w:rsid w:val="00F978D6"/>
    <w:rsid w:val="00FB0580"/>
    <w:rsid w:val="00FC67A6"/>
    <w:rsid w:val="00FD3DE8"/>
    <w:rsid w:val="00FD63C7"/>
    <w:rsid w:val="00FD6D78"/>
    <w:rsid w:val="00FE0016"/>
    <w:rsid w:val="00FE3F51"/>
    <w:rsid w:val="00FF441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0DE8"/>
  <w15:docId w15:val="{C13DF5D2-BEEB-43C9-A6DD-3881BA5D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inLeerraum">
    <w:name w:val="Kein Leerraum"/>
    <w:link w:val="KeinLeerraumZeichen"/>
    <w:uiPriority w:val="1"/>
    <w:qFormat/>
    <w:rsid w:val="00BE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BE2CE3"/>
    <w:rPr>
      <w:color w:val="004B91"/>
      <w:u w:val="single"/>
    </w:rPr>
  </w:style>
  <w:style w:type="paragraph" w:styleId="BodyText">
    <w:name w:val="Body Text"/>
    <w:basedOn w:val="Normal"/>
    <w:link w:val="BodyTextChar"/>
    <w:rsid w:val="00BE2CE3"/>
    <w:pPr>
      <w:tabs>
        <w:tab w:val="left" w:pos="-720"/>
      </w:tabs>
      <w:autoSpaceDE w:val="0"/>
      <w:autoSpaceDN w:val="0"/>
      <w:jc w:val="center"/>
    </w:pPr>
    <w:rPr>
      <w:b/>
      <w:bCs/>
      <w:lang w:val="en-GB"/>
    </w:rPr>
  </w:style>
  <w:style w:type="character" w:customStyle="1" w:styleId="BodyTextChar">
    <w:name w:val="Body Text Char"/>
    <w:basedOn w:val="DefaultParagraphFont"/>
    <w:link w:val="BodyText"/>
    <w:rsid w:val="00BE2CE3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longtext">
    <w:name w:val="long_text"/>
    <w:basedOn w:val="DefaultParagraphFont"/>
    <w:rsid w:val="00BE2CE3"/>
  </w:style>
  <w:style w:type="character" w:customStyle="1" w:styleId="KeinLeerraumZeichen">
    <w:name w:val="Kein Leerraum Zeichen"/>
    <w:link w:val="KeinLeerraum"/>
    <w:uiPriority w:val="1"/>
    <w:locked/>
    <w:rsid w:val="00BE2C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Dukagjin</dc:creator>
  <cp:lastModifiedBy>Windows User</cp:lastModifiedBy>
  <cp:revision>9</cp:revision>
  <dcterms:created xsi:type="dcterms:W3CDTF">2019-05-05T16:00:00Z</dcterms:created>
  <dcterms:modified xsi:type="dcterms:W3CDTF">2023-10-12T05:48:00Z</dcterms:modified>
</cp:coreProperties>
</file>