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F9D9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C0359">
        <w:rPr>
          <w:rFonts w:ascii="Calibri" w:hAnsi="Calibri"/>
          <w:b/>
          <w:sz w:val="28"/>
          <w:szCs w:val="28"/>
        </w:rPr>
        <w:t>TEORIA/ HIS</w:t>
      </w:r>
      <w:r w:rsidR="00161C33">
        <w:rPr>
          <w:rFonts w:ascii="Calibri" w:hAnsi="Calibri"/>
          <w:b/>
          <w:sz w:val="28"/>
          <w:szCs w:val="28"/>
        </w:rPr>
        <w:t>T</w:t>
      </w:r>
      <w:r w:rsidR="00FC0359">
        <w:rPr>
          <w:rFonts w:ascii="Calibri" w:hAnsi="Calibri"/>
          <w:b/>
          <w:sz w:val="28"/>
          <w:szCs w:val="28"/>
        </w:rPr>
        <w:t>ORIA E URBANIZMIT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5"/>
        <w:gridCol w:w="2077"/>
        <w:gridCol w:w="1770"/>
        <w:gridCol w:w="2044"/>
      </w:tblGrid>
      <w:tr w:rsidR="00151A17" w:rsidRPr="00BA1DE5" w14:paraId="072737F2" w14:textId="77777777" w:rsidTr="00CB0708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712CBF4" w14:textId="77777777" w:rsidR="00151A17" w:rsidRPr="00BA1DE5" w:rsidRDefault="00151A17" w:rsidP="00E65E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61C33" w:rsidRPr="00BA1DE5" w14:paraId="03429A24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EC66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C258" w14:textId="766ABE5F" w:rsidR="00161C33" w:rsidRPr="003006D7" w:rsidRDefault="00E43BEB" w:rsidP="00161C33">
            <w:pPr>
              <w:pStyle w:val="NoSpacing"/>
              <w:rPr>
                <w:rFonts w:ascii="Calibri" w:hAnsi="Calibri"/>
                <w:szCs w:val="28"/>
              </w:rPr>
            </w:pPr>
            <w:proofErr w:type="spellStart"/>
            <w:r>
              <w:rPr>
                <w:rFonts w:ascii="Calibri" w:hAnsi="Calibri"/>
                <w:szCs w:val="28"/>
              </w:rPr>
              <w:t>Fakulteti</w:t>
            </w:r>
            <w:proofErr w:type="spellEnd"/>
            <w:r>
              <w:rPr>
                <w:rFonts w:ascii="Calibri" w:hAnsi="Calibri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Cs w:val="28"/>
              </w:rPr>
              <w:t>i</w:t>
            </w:r>
            <w:proofErr w:type="spellEnd"/>
            <w:r>
              <w:rPr>
                <w:rFonts w:ascii="Calibri" w:hAnsi="Calibri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Cs w:val="28"/>
              </w:rPr>
              <w:t>Arkitekturës</w:t>
            </w:r>
            <w:proofErr w:type="spellEnd"/>
            <w:r w:rsidR="00161C33" w:rsidRPr="003006D7">
              <w:rPr>
                <w:rFonts w:ascii="Calibri" w:hAnsi="Calibri"/>
                <w:szCs w:val="28"/>
              </w:rPr>
              <w:t xml:space="preserve"> </w:t>
            </w:r>
          </w:p>
        </w:tc>
      </w:tr>
      <w:tr w:rsidR="00161C33" w:rsidRPr="00BA1DE5" w14:paraId="0BE5FA13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0755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0D2" w14:textId="77777777" w:rsidR="00161C33" w:rsidRPr="001C09C5" w:rsidRDefault="00161C33" w:rsidP="00161C33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TEORIA/ HISTORIA E URBANIZMIT</w:t>
            </w:r>
          </w:p>
        </w:tc>
      </w:tr>
      <w:tr w:rsidR="00161C33" w:rsidRPr="00BA1DE5" w14:paraId="31A0F3BD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5FF4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DE31" w14:textId="6C880C7E" w:rsidR="00161C33" w:rsidRPr="003006D7" w:rsidRDefault="00422029" w:rsidP="00161C33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>MS</w:t>
            </w:r>
            <w:r w:rsidR="00E43BEB">
              <w:rPr>
                <w:rFonts w:ascii="Calibri" w:hAnsi="Calibri"/>
                <w:sz w:val="22"/>
                <w:szCs w:val="22"/>
              </w:rPr>
              <w:t>c</w:t>
            </w:r>
          </w:p>
        </w:tc>
      </w:tr>
      <w:tr w:rsidR="00161C33" w:rsidRPr="00BA1DE5" w14:paraId="37BF0DD7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6FC2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DA4" w14:textId="77777777" w:rsidR="00161C33" w:rsidRPr="003006D7" w:rsidRDefault="00161C33" w:rsidP="00161C33">
            <w:pPr>
              <w:pStyle w:val="NoSpacing"/>
              <w:rPr>
                <w:rFonts w:ascii="Calibri" w:hAnsi="Calibri"/>
                <w:szCs w:val="28"/>
              </w:rPr>
            </w:pPr>
            <w:proofErr w:type="spellStart"/>
            <w:r>
              <w:rPr>
                <w:rFonts w:ascii="Calibri" w:hAnsi="Calibri"/>
                <w:szCs w:val="28"/>
              </w:rPr>
              <w:t>Zgjedhore</w:t>
            </w:r>
            <w:proofErr w:type="spellEnd"/>
          </w:p>
        </w:tc>
      </w:tr>
      <w:tr w:rsidR="00161C33" w:rsidRPr="00BA1DE5" w14:paraId="3756D12F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D2F6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09C0" w14:textId="64B45DA0" w:rsidR="00161C33" w:rsidRPr="00422029" w:rsidRDefault="00643B05" w:rsidP="00161C33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Viti I/ </w:t>
            </w:r>
            <w:proofErr w:type="spellStart"/>
            <w:r>
              <w:rPr>
                <w:rFonts w:ascii="Calibri" w:hAnsi="Calibri"/>
                <w:szCs w:val="28"/>
              </w:rPr>
              <w:t>sem</w:t>
            </w:r>
            <w:proofErr w:type="spellEnd"/>
            <w:r>
              <w:rPr>
                <w:rFonts w:ascii="Calibri" w:hAnsi="Calibri"/>
                <w:szCs w:val="28"/>
              </w:rPr>
              <w:t xml:space="preserve"> I</w:t>
            </w:r>
          </w:p>
        </w:tc>
      </w:tr>
      <w:tr w:rsidR="00161C33" w:rsidRPr="00BA1DE5" w14:paraId="73B58608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807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60C0" w14:textId="1D9D534A" w:rsidR="00161C33" w:rsidRPr="00422029" w:rsidRDefault="00161C33" w:rsidP="00161C33">
            <w:pPr>
              <w:pStyle w:val="NoSpacing"/>
              <w:rPr>
                <w:rFonts w:ascii="Calibri" w:hAnsi="Calibri"/>
                <w:szCs w:val="28"/>
              </w:rPr>
            </w:pPr>
            <w:r w:rsidRPr="00422029">
              <w:rPr>
                <w:rFonts w:ascii="Calibri" w:hAnsi="Calibri"/>
                <w:szCs w:val="28"/>
              </w:rPr>
              <w:t>2+</w:t>
            </w:r>
            <w:r w:rsidR="00E43BEB">
              <w:rPr>
                <w:rFonts w:ascii="Calibri" w:hAnsi="Calibri"/>
                <w:szCs w:val="28"/>
              </w:rPr>
              <w:t>0</w:t>
            </w:r>
          </w:p>
        </w:tc>
      </w:tr>
      <w:tr w:rsidR="00161C33" w:rsidRPr="00BA1DE5" w14:paraId="3D7EA2FD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A68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C807" w14:textId="0C4A1FFC" w:rsidR="00161C33" w:rsidRPr="00422029" w:rsidRDefault="00643B05" w:rsidP="00161C33">
            <w:pPr>
              <w:pStyle w:val="NoSpacing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161C33" w:rsidRPr="00BA1DE5" w14:paraId="66A2BB46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93B6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71C1" w14:textId="77777777" w:rsidR="00161C33" w:rsidRPr="00422029" w:rsidRDefault="00422029" w:rsidP="00422029">
            <w:pPr>
              <w:pStyle w:val="NoSpacing"/>
              <w:rPr>
                <w:rFonts w:ascii="Calibri" w:hAnsi="Calibri"/>
                <w:szCs w:val="28"/>
              </w:rPr>
            </w:pPr>
            <w:proofErr w:type="spellStart"/>
            <w:r w:rsidRPr="00422029">
              <w:rPr>
                <w:rFonts w:ascii="Calibri" w:hAnsi="Calibri"/>
                <w:szCs w:val="28"/>
              </w:rPr>
              <w:t>Sipas</w:t>
            </w:r>
            <w:proofErr w:type="spellEnd"/>
            <w:r w:rsidRPr="00422029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422029">
              <w:rPr>
                <w:rFonts w:ascii="Calibri" w:hAnsi="Calibri"/>
                <w:szCs w:val="28"/>
              </w:rPr>
              <w:t>orarit</w:t>
            </w:r>
            <w:proofErr w:type="spellEnd"/>
            <w:r w:rsidR="00161C33" w:rsidRPr="00422029">
              <w:rPr>
                <w:rFonts w:ascii="Calibri" w:hAnsi="Calibri"/>
                <w:szCs w:val="28"/>
              </w:rPr>
              <w:t xml:space="preserve"> </w:t>
            </w:r>
          </w:p>
        </w:tc>
      </w:tr>
      <w:tr w:rsidR="00161C33" w:rsidRPr="00BA1DE5" w14:paraId="4912FA4B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552F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9D01" w14:textId="742F3E60" w:rsidR="00161C33" w:rsidRPr="00643B05" w:rsidRDefault="00643B05" w:rsidP="00161C33">
            <w:pPr>
              <w:pStyle w:val="NoSpacing"/>
              <w:rPr>
                <w:rFonts w:ascii="Calibri" w:hAnsi="Calibri"/>
                <w:bCs/>
                <w:szCs w:val="28"/>
              </w:rPr>
            </w:pPr>
            <w:r w:rsidRPr="00643B05">
              <w:rPr>
                <w:rFonts w:ascii="Calibri" w:hAnsi="Calibri"/>
                <w:bCs/>
                <w:szCs w:val="28"/>
              </w:rPr>
              <w:t xml:space="preserve">Prof. </w:t>
            </w:r>
            <w:proofErr w:type="spellStart"/>
            <w:r w:rsidRPr="00643B05">
              <w:rPr>
                <w:rFonts w:ascii="Calibri" w:hAnsi="Calibri"/>
                <w:bCs/>
                <w:szCs w:val="28"/>
              </w:rPr>
              <w:t>Ass.Dr</w:t>
            </w:r>
            <w:proofErr w:type="spellEnd"/>
            <w:r w:rsidRPr="00643B05">
              <w:rPr>
                <w:rFonts w:ascii="Calibri" w:hAnsi="Calibri"/>
                <w:bCs/>
                <w:szCs w:val="28"/>
              </w:rPr>
              <w:t xml:space="preserve">. </w:t>
            </w:r>
            <w:proofErr w:type="spellStart"/>
            <w:r w:rsidRPr="00643B05">
              <w:rPr>
                <w:rFonts w:ascii="Calibri" w:hAnsi="Calibri"/>
                <w:bCs/>
                <w:szCs w:val="28"/>
              </w:rPr>
              <w:t>Dukagjin</w:t>
            </w:r>
            <w:proofErr w:type="spellEnd"/>
            <w:r w:rsidRPr="00643B05">
              <w:rPr>
                <w:rFonts w:ascii="Calibri" w:hAnsi="Calibri"/>
                <w:bCs/>
                <w:szCs w:val="28"/>
              </w:rPr>
              <w:t xml:space="preserve"> </w:t>
            </w:r>
            <w:proofErr w:type="spellStart"/>
            <w:r w:rsidRPr="00643B05">
              <w:rPr>
                <w:rFonts w:ascii="Calibri" w:hAnsi="Calibri"/>
                <w:bCs/>
                <w:szCs w:val="28"/>
              </w:rPr>
              <w:t>Hasimja</w:t>
            </w:r>
            <w:proofErr w:type="spellEnd"/>
            <w:r w:rsidRPr="00643B05">
              <w:rPr>
                <w:rFonts w:ascii="Calibri" w:hAnsi="Calibri"/>
                <w:bCs/>
                <w:szCs w:val="28"/>
              </w:rPr>
              <w:t xml:space="preserve">, </w:t>
            </w:r>
            <w:proofErr w:type="spellStart"/>
            <w:proofErr w:type="gramStart"/>
            <w:r w:rsidRPr="00643B05">
              <w:rPr>
                <w:rFonts w:ascii="Calibri" w:hAnsi="Calibri"/>
                <w:bCs/>
                <w:szCs w:val="28"/>
              </w:rPr>
              <w:t>Dr.Techn.</w:t>
            </w:r>
            <w:r w:rsidR="00422029" w:rsidRPr="00643B05">
              <w:rPr>
                <w:rFonts w:ascii="Calibri" w:hAnsi="Calibri"/>
                <w:bCs/>
                <w:szCs w:val="28"/>
              </w:rPr>
              <w:t>Ilir</w:t>
            </w:r>
            <w:proofErr w:type="spellEnd"/>
            <w:proofErr w:type="gramEnd"/>
            <w:r w:rsidR="00422029" w:rsidRPr="00643B05">
              <w:rPr>
                <w:rFonts w:ascii="Calibri" w:hAnsi="Calibri"/>
                <w:bCs/>
                <w:szCs w:val="28"/>
              </w:rPr>
              <w:t xml:space="preserve"> </w:t>
            </w:r>
            <w:proofErr w:type="spellStart"/>
            <w:r w:rsidR="00422029" w:rsidRPr="00643B05">
              <w:rPr>
                <w:rFonts w:ascii="Calibri" w:hAnsi="Calibri"/>
                <w:bCs/>
                <w:szCs w:val="28"/>
              </w:rPr>
              <w:t>Gjinolli</w:t>
            </w:r>
            <w:proofErr w:type="spellEnd"/>
          </w:p>
        </w:tc>
      </w:tr>
      <w:tr w:rsidR="00161C33" w:rsidRPr="00BA1DE5" w14:paraId="1846B145" w14:textId="77777777" w:rsidTr="00643B05">
        <w:trPr>
          <w:trHeight w:val="30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DB4C" w14:textId="77777777" w:rsidR="00161C33" w:rsidRPr="00BA1DE5" w:rsidRDefault="00161C33" w:rsidP="00161C3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DA75" w14:textId="3B4B8488" w:rsidR="00161C33" w:rsidRPr="00422029" w:rsidRDefault="00643B05" w:rsidP="00422029">
            <w:pPr>
              <w:rPr>
                <w:rFonts w:ascii="Calibri" w:hAnsi="Calibri"/>
              </w:rPr>
            </w:pPr>
            <w:hyperlink r:id="rId5" w:history="1">
              <w:r w:rsidRPr="007A2172">
                <w:rPr>
                  <w:rStyle w:val="Hyperlink"/>
                </w:rPr>
                <w:t>Dukagjin.hasmija@uni-pr.edu</w:t>
              </w:r>
            </w:hyperlink>
            <w:r>
              <w:t xml:space="preserve">, </w:t>
            </w:r>
            <w:hyperlink r:id="rId6" w:history="1">
              <w:r w:rsidRPr="007A2172">
                <w:rPr>
                  <w:rStyle w:val="Hyperlink"/>
                  <w:rFonts w:ascii="Calibri" w:hAnsi="Calibri"/>
                  <w:lang w:val="fr-FR"/>
                </w:rPr>
                <w:t>ilir.gjinolli</w:t>
              </w:r>
              <w:r w:rsidRPr="007A2172">
                <w:rPr>
                  <w:rStyle w:val="Hyperlink"/>
                  <w:rFonts w:ascii="Calibri" w:hAnsi="Calibri"/>
                </w:rPr>
                <w:t>@uni-pr.edu</w:t>
              </w:r>
            </w:hyperlink>
            <w:r w:rsidR="00422029">
              <w:rPr>
                <w:rFonts w:ascii="Calibri" w:hAnsi="Calibri"/>
                <w:lang w:val="fr-FR"/>
              </w:rPr>
              <w:t xml:space="preserve"> </w:t>
            </w:r>
          </w:p>
        </w:tc>
      </w:tr>
      <w:tr w:rsidR="00151A17" w:rsidRPr="00BA1DE5" w14:paraId="2C9A87A3" w14:textId="77777777" w:rsidTr="00CB0708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B0B53CB" w14:textId="77777777" w:rsidR="00151A17" w:rsidRPr="00BA1DE5" w:rsidRDefault="00151A17" w:rsidP="00E65E7A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E43BEB" w:rsidRPr="00BA1DE5" w14:paraId="0C38FD1A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397A" w14:textId="77777777" w:rsidR="00E43BEB" w:rsidRPr="00BA1DE5" w:rsidRDefault="00E43BEB" w:rsidP="00E43BE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035D" w14:textId="3C92714B" w:rsidR="00E43BEB" w:rsidRPr="00E43BEB" w:rsidRDefault="00E43BEB" w:rsidP="00643B05">
            <w:pPr>
              <w:pStyle w:val="NoSpacing"/>
              <w:tabs>
                <w:tab w:val="left" w:pos="1635"/>
              </w:tabs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Lënda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trajton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aspektet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teorike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historike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praktikës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urbanizmit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kuptimin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qytetit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lindjen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tij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funksionet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qëllimet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përmbush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qyteti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; format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zhvillimit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rritjes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urbane;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shkollat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diktuan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kontribuan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idetë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zhvillimit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qytetit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Lëvizjet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popullsisë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pushtetet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politike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proceset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globalizimit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ekonomitë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reja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hapësira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gjinore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multiukulturore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formësojnë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vazhdimisht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qytetet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tona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duke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bërë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disa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prej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tyre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pika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forta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rrjetin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global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komunikimit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këtë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kontekst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ngriten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pyetje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cilat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janë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lëvizjet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aktuale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urbane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suburbane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politikat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urbane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orientojnë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zhvillimin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qyteti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qëndrueshëm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shëndetshëm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gjithpërfshirës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ardhmen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Gjithashtu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, do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diskutohet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është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trajtuar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marëdhënia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midis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shkuarës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tashmes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momente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caktuara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historike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zhvillimit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urban;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cilat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janë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teoritë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formësuese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praktikës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së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urbanizmit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mendimit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kritik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lidhur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me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planifikimin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qytetit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hulumtohet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çfarë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roli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ka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luajtuar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historia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urbanizmit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kuptimin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interpretimin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koncepteve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teorike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>bashkëkohore</w:t>
            </w:r>
            <w:proofErr w:type="spellEnd"/>
            <w:r w:rsidRPr="00E43B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E43BEB" w:rsidRPr="00BA1DE5" w14:paraId="7A3415AA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7ABB" w14:textId="77777777" w:rsidR="00E43BEB" w:rsidRPr="00BA1DE5" w:rsidRDefault="00E43BEB" w:rsidP="00E43BE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18D2" w14:textId="03851BF1" w:rsidR="00E43BEB" w:rsidRPr="00E43BEB" w:rsidRDefault="00E43BEB" w:rsidP="00E43B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Kuptimi dhe diskutimi i teorive mbi qytetin dhe urbanizmin në perspektivën historike, në raport me ndikimet ideologjiko-politike, kulturore dhe socio-ekonomike.  </w:t>
            </w:r>
          </w:p>
        </w:tc>
      </w:tr>
      <w:tr w:rsidR="00E43BEB" w:rsidRPr="00BA1DE5" w14:paraId="4882414F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301D35" w14:textId="77777777" w:rsidR="00E43BEB" w:rsidRPr="00BA1DE5" w:rsidRDefault="00E43BEB" w:rsidP="00E43BE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7EAC218" w14:textId="77777777" w:rsidR="00E43BEB" w:rsidRPr="00E43BEB" w:rsidRDefault="00E43BEB" w:rsidP="00E43B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>Njohja dhe analizmi i shkollave që përcaktuan teoritë dhe mendimin kritik në fushën e urbanizmit;</w:t>
            </w:r>
          </w:p>
          <w:p w14:paraId="3424F4A7" w14:textId="77777777" w:rsidR="00E43BEB" w:rsidRPr="00E43BEB" w:rsidRDefault="00E43BEB" w:rsidP="00E43B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>Kuptimi i historisë së zhvillimit të qyteteve;</w:t>
            </w:r>
          </w:p>
          <w:p w14:paraId="08CA6DA8" w14:textId="77777777" w:rsidR="00E43BEB" w:rsidRPr="00E43BEB" w:rsidRDefault="00E43BEB" w:rsidP="00E43B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Interpretimi historik i qyteteve (hapësirës, formës dhe arkitekturës urbane) dhe vlerësimi i kompleksitetit të tyre; </w:t>
            </w:r>
          </w:p>
          <w:p w14:paraId="77FA02B0" w14:textId="77777777" w:rsidR="00E43BEB" w:rsidRDefault="00E43BEB" w:rsidP="00E43B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Krahasimi i teorive nga fusha e urbanizmit, të cilat i takojnë periudhave të ndryshme historike; </w:t>
            </w:r>
          </w:p>
          <w:p w14:paraId="0158D8CF" w14:textId="32D3874A" w:rsidR="00E43BEB" w:rsidRPr="00E43BEB" w:rsidRDefault="00E43BEB" w:rsidP="00E43B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>Aplikimi i mendimit kritik dhe koncepteve teorike në praktikën e planifikimit dhe dizajnit urban</w:t>
            </w:r>
          </w:p>
        </w:tc>
      </w:tr>
      <w:tr w:rsidR="00151A17" w:rsidRPr="00BA1DE5" w14:paraId="351F5CE6" w14:textId="77777777" w:rsidTr="00CB0708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81051CF" w14:textId="77777777" w:rsidR="00151A17" w:rsidRPr="00BA1DE5" w:rsidRDefault="00151A17" w:rsidP="00E65E7A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FE3B41F" w14:textId="77777777" w:rsidTr="00CB0708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F3BB036" w14:textId="77777777" w:rsidR="00151A17" w:rsidRPr="00BA1DE5" w:rsidRDefault="00151A17" w:rsidP="00E65E7A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790BCC20" w14:textId="77777777" w:rsidTr="00643B05">
        <w:tc>
          <w:tcPr>
            <w:tcW w:w="2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D82056B" w14:textId="77777777" w:rsidR="00151A17" w:rsidRPr="00BA1DE5" w:rsidRDefault="00151A17" w:rsidP="00E65E7A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016B2F6" w14:textId="77777777" w:rsidR="00151A17" w:rsidRPr="00BA1DE5" w:rsidRDefault="00151A17" w:rsidP="00E65E7A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DC6015" w14:textId="77777777" w:rsidR="00151A17" w:rsidRPr="00BA1DE5" w:rsidRDefault="00151A17" w:rsidP="00E65E7A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E5EE1DD" w14:textId="77777777" w:rsidR="00151A17" w:rsidRPr="00BA1DE5" w:rsidRDefault="00151A17" w:rsidP="00E65E7A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422029" w:rsidRPr="00BA1DE5" w14:paraId="17E4B01D" w14:textId="77777777" w:rsidTr="00643B05">
        <w:tc>
          <w:tcPr>
            <w:tcW w:w="296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A2D698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0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0F5F83" w14:textId="77777777" w:rsidR="00422029" w:rsidRDefault="00422029" w:rsidP="00643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CFD359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BBDFF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422029" w:rsidRPr="00BA1DE5" w14:paraId="254E97A6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44FF29" w14:textId="77777777" w:rsidR="00422029" w:rsidRPr="00483E8E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lastRenderedPageBreak/>
              <w:t xml:space="preserve">Teori/Punë në laborator/Ushtrime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FD8B54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D701A2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6A82D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422029" w:rsidRPr="00BA1DE5" w14:paraId="77DFB61B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1C71DA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489B08" w14:textId="77777777" w:rsidR="00422029" w:rsidRDefault="00422029" w:rsidP="00643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70256C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87DD1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22029" w:rsidRPr="00BA1DE5" w14:paraId="46DF3C07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A1B53" w14:textId="77777777" w:rsidR="00422029" w:rsidRPr="00483E8E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D72030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FA8D87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467CF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22029" w:rsidRPr="00BA1DE5" w14:paraId="6E8BF8C1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0EAB7C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D5B72C" w14:textId="77777777" w:rsidR="00422029" w:rsidRDefault="00422029" w:rsidP="00643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E0E7E1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C74DC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22029" w:rsidRPr="00BA1DE5" w14:paraId="5AEE22CA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D30658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A7059B" w14:textId="77777777" w:rsidR="00422029" w:rsidRDefault="00422029" w:rsidP="00643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8EE886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B0EA9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22029" w:rsidRPr="00BA1DE5" w14:paraId="7F23F8EE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B97E77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358853" w14:textId="77777777" w:rsidR="00422029" w:rsidRDefault="00422029" w:rsidP="00643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BBC3F9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A0FFC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22029" w:rsidRPr="00BA1DE5" w14:paraId="52565725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11C01E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0409E7" w14:textId="77777777" w:rsidR="00422029" w:rsidRDefault="00422029" w:rsidP="00643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FCB5F1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C9BEB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22029" w:rsidRPr="00BA1DE5" w14:paraId="685BEF30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59F8F0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AFE880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77641F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8C936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22029" w:rsidRPr="00BA1DE5" w14:paraId="4D43B165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F3E4B9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9A5059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091038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FFC6D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22029" w:rsidRPr="00BA1DE5" w14:paraId="134FB63B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95AB1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18FA76" w14:textId="77777777" w:rsidR="00422029" w:rsidRDefault="00422029" w:rsidP="00643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4D699E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9A9B1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22029" w:rsidRPr="00BA1DE5" w14:paraId="2DF8C4D3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40EC17C" w14:textId="77777777" w:rsidR="00422029" w:rsidRPr="00BA1DE5" w:rsidRDefault="00422029" w:rsidP="00643B0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752199E5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2519DCF4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  <w:vAlign w:val="center"/>
          </w:tcPr>
          <w:p w14:paraId="6C3E52BB" w14:textId="77777777" w:rsidR="00422029" w:rsidRDefault="00422029" w:rsidP="00643B0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61C33" w:rsidRPr="00BA1DE5" w14:paraId="4C06E289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BA393EA" w14:textId="77777777" w:rsidR="00161C33" w:rsidRPr="00483E8E" w:rsidRDefault="00161C33" w:rsidP="00643B05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D6E59DE" w14:textId="77777777" w:rsidR="00161C33" w:rsidRPr="00BA1DE5" w:rsidRDefault="00161C33" w:rsidP="00643B05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7A55AA" w14:textId="77777777" w:rsidR="00161C33" w:rsidRPr="00BA1DE5" w:rsidRDefault="00161C33" w:rsidP="00643B05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35478E" w14:textId="77777777" w:rsidR="00161C33" w:rsidRPr="00BA1DE5" w:rsidRDefault="00161C33" w:rsidP="00643B05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61C33" w:rsidRPr="00BA1DE5" w14:paraId="5FC06244" w14:textId="77777777" w:rsidTr="00643B05">
        <w:trPr>
          <w:trHeight w:val="107"/>
        </w:trPr>
        <w:tc>
          <w:tcPr>
            <w:tcW w:w="2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2D7457" w14:textId="77777777" w:rsidR="00161C33" w:rsidRPr="00BA1DE5" w:rsidRDefault="00161C33" w:rsidP="00161C3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DD50DE3" w14:textId="77777777" w:rsidR="00161C33" w:rsidRPr="00BA1DE5" w:rsidRDefault="00161C33" w:rsidP="00161C3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182A6F8" w14:textId="77777777" w:rsidR="00161C33" w:rsidRPr="00BA1DE5" w:rsidRDefault="00161C33" w:rsidP="00161C3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C4C21FB" w14:textId="77777777" w:rsidR="00161C33" w:rsidRPr="00BA1DE5" w:rsidRDefault="00422029" w:rsidP="00161C33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161C33" w:rsidRPr="00BA1DE5" w14:paraId="329B47AF" w14:textId="77777777" w:rsidTr="00CB0708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86A600" w14:textId="77777777" w:rsidR="00161C33" w:rsidRPr="00BA1DE5" w:rsidRDefault="00161C33" w:rsidP="00161C33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E43BEB" w:rsidRPr="00BA1DE5" w14:paraId="6D6CE20C" w14:textId="77777777" w:rsidTr="00643B05">
        <w:tc>
          <w:tcPr>
            <w:tcW w:w="296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DD1" w14:textId="77777777" w:rsidR="00E43BEB" w:rsidRPr="00BA1DE5" w:rsidRDefault="00E43BEB" w:rsidP="00E43BE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89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AE1E" w14:textId="77777777" w:rsidR="00E43BEB" w:rsidRPr="00E43BEB" w:rsidRDefault="00E43BEB" w:rsidP="00E43BEB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>Ligjerata tematike dhe diskutim në fund të çdo moduli;</w:t>
            </w:r>
          </w:p>
          <w:p w14:paraId="6E3B20F9" w14:textId="63EA88AB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E43BEB">
              <w:rPr>
                <w:rFonts w:cstheme="minorHAnsi"/>
                <w:sz w:val="20"/>
                <w:szCs w:val="20"/>
              </w:rPr>
              <w:t>Projekt/seminar hulumtues –  punë individuale ose grupore (nga 2 studentë)</w:t>
            </w:r>
          </w:p>
        </w:tc>
      </w:tr>
      <w:tr w:rsidR="00E43BEB" w:rsidRPr="00BA1DE5" w14:paraId="589F5200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CE4A" w14:textId="77777777" w:rsidR="00E43BEB" w:rsidRPr="00BA1DE5" w:rsidRDefault="00E43BEB" w:rsidP="00E43BE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E4CF" w14:textId="77777777" w:rsidR="00E43BEB" w:rsidRPr="00E43BEB" w:rsidRDefault="00E43BEB" w:rsidP="00E43BEB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Detyra semestrale: projekti/seminari hulumtues – 50% </w:t>
            </w:r>
          </w:p>
          <w:p w14:paraId="401BA720" w14:textId="77777777" w:rsidR="00E43BEB" w:rsidRPr="00E43BEB" w:rsidRDefault="00E43BEB" w:rsidP="00E43BEB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Testet semestrale (2) ose provimi final – 40% </w:t>
            </w:r>
          </w:p>
          <w:p w14:paraId="053836EA" w14:textId="398FC5B1" w:rsidR="00E43BEB" w:rsidRPr="00643B05" w:rsidRDefault="00E43BEB" w:rsidP="00643B05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>Vijimi i rregullt – 10 %Totali – 100%</w:t>
            </w:r>
          </w:p>
        </w:tc>
      </w:tr>
      <w:tr w:rsidR="00161C33" w:rsidRPr="00BA1DE5" w14:paraId="38AF6C4A" w14:textId="77777777" w:rsidTr="00CB0708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3199D2B" w14:textId="77777777" w:rsidR="00161C33" w:rsidRPr="00BA1DE5" w:rsidRDefault="00161C33" w:rsidP="00161C33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E43BEB" w:rsidRPr="00BA1DE5" w14:paraId="5F6D4DA9" w14:textId="77777777" w:rsidTr="00643B05">
        <w:trPr>
          <w:trHeight w:val="45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1B7D" w14:textId="77777777" w:rsidR="00E43BEB" w:rsidRPr="00BA1DE5" w:rsidRDefault="00E43BEB" w:rsidP="00E43BE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CBF3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1. Mumford, L. (1989).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 xml:space="preserve">Cities in History. </w:t>
            </w:r>
            <w:r w:rsidRPr="00E43BEB">
              <w:rPr>
                <w:rFonts w:cstheme="minorHAnsi"/>
                <w:sz w:val="20"/>
                <w:szCs w:val="20"/>
              </w:rPr>
              <w:t>Harcourt.</w:t>
            </w:r>
          </w:p>
          <w:p w14:paraId="2989000C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2. Mumford, E. P. (2018).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Designing the Modern City: Urbanism Since 1850</w:t>
            </w:r>
            <w:r w:rsidRPr="00E43BEB">
              <w:rPr>
                <w:rFonts w:cstheme="minorHAnsi"/>
                <w:sz w:val="20"/>
                <w:szCs w:val="20"/>
              </w:rPr>
              <w:t xml:space="preserve">. Yale University Press. </w:t>
            </w:r>
          </w:p>
          <w:p w14:paraId="07D38CE0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3. Hays, M. (2000).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 xml:space="preserve">Architectural theory Since 1968. </w:t>
            </w:r>
            <w:r w:rsidRPr="00E43BEB">
              <w:rPr>
                <w:rFonts w:cstheme="minorHAnsi"/>
                <w:sz w:val="20"/>
                <w:szCs w:val="20"/>
              </w:rPr>
              <w:t xml:space="preserve">MIT Press. </w:t>
            </w:r>
          </w:p>
          <w:p w14:paraId="59D02FE9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4. Mele, V. (2022).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 xml:space="preserve">City and Modernity in Georg Simmel and Walter Benjamin. Fragments of Metropolis. </w:t>
            </w:r>
            <w:r w:rsidRPr="00E43BEB">
              <w:rPr>
                <w:rFonts w:cstheme="minorHAnsi"/>
                <w:sz w:val="20"/>
                <w:szCs w:val="20"/>
              </w:rPr>
              <w:t>Palgrave Macmillan.</w:t>
            </w:r>
          </w:p>
          <w:p w14:paraId="22CAE2E0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5. Jameson, F. (1991).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 xml:space="preserve">Postmodernism or the Cultural Logic of Late Capitalism. </w:t>
            </w:r>
            <w:r w:rsidRPr="00E43BEB">
              <w:rPr>
                <w:rFonts w:cstheme="minorHAnsi"/>
                <w:sz w:val="20"/>
                <w:szCs w:val="20"/>
              </w:rPr>
              <w:t>Duke University Press.</w:t>
            </w:r>
          </w:p>
          <w:p w14:paraId="5C6E6E0F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6. Landry, Ch. (2000).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The art of city making</w:t>
            </w:r>
            <w:r w:rsidRPr="00E43BEB">
              <w:rPr>
                <w:rFonts w:cstheme="minorHAnsi"/>
                <w:sz w:val="20"/>
                <w:szCs w:val="20"/>
              </w:rPr>
              <w:t xml:space="preserve">.  Earthscan. </w:t>
            </w:r>
          </w:p>
          <w:p w14:paraId="1381289E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82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>7. Kelbaugh, D., &amp; McCullough, K.(2008).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Writings in Urbanism: A Design Reader</w:t>
            </w:r>
            <w:r w:rsidRPr="00E43BEB">
              <w:rPr>
                <w:rFonts w:cstheme="minorHAnsi"/>
                <w:sz w:val="20"/>
                <w:szCs w:val="20"/>
              </w:rPr>
              <w:t>. ACSA</w:t>
            </w:r>
          </w:p>
          <w:p w14:paraId="5CFFEFD7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8. Clarck, P. (2009).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European Cities and Towns 400-2000</w:t>
            </w:r>
            <w:r w:rsidRPr="00E43BEB">
              <w:rPr>
                <w:rFonts w:cstheme="minorHAnsi"/>
                <w:sz w:val="20"/>
                <w:szCs w:val="20"/>
              </w:rPr>
              <w:t>. Oxford.</w:t>
            </w:r>
          </w:p>
          <w:p w14:paraId="61A0FF05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9. Hutchison, R. (2010).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Encyclopedia of Urban Studies</w:t>
            </w:r>
            <w:r w:rsidRPr="00E43BEB">
              <w:rPr>
                <w:rFonts w:cstheme="minorHAnsi"/>
                <w:sz w:val="20"/>
                <w:szCs w:val="20"/>
              </w:rPr>
              <w:t>. SAGE.</w:t>
            </w:r>
          </w:p>
          <w:p w14:paraId="78643C94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10. Miles, M. (2007).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Cities And Cultures</w:t>
            </w:r>
            <w:r w:rsidRPr="00E43BEB">
              <w:rPr>
                <w:rFonts w:cstheme="minorHAnsi"/>
                <w:sz w:val="20"/>
                <w:szCs w:val="20"/>
              </w:rPr>
              <w:t>. Routledge.</w:t>
            </w:r>
          </w:p>
          <w:p w14:paraId="3874EAD5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11. Mumford, E. (2002).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The CIAM Discourse on Urbanism</w:t>
            </w:r>
            <w:r w:rsidRPr="00E43BEB">
              <w:rPr>
                <w:rFonts w:cstheme="minorHAnsi"/>
                <w:sz w:val="20"/>
                <w:szCs w:val="20"/>
              </w:rPr>
              <w:t>. MIT Press.</w:t>
            </w:r>
          </w:p>
          <w:p w14:paraId="58D78745" w14:textId="7861CAF6" w:rsidR="00E43BEB" w:rsidRPr="00E43BEB" w:rsidRDefault="00E43BEB" w:rsidP="00E43BEB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12. Tafuri, M. (1999).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Architecture and Utopia. Design and Capitalist Development</w:t>
            </w:r>
            <w:r w:rsidRPr="00E43BEB">
              <w:rPr>
                <w:rFonts w:cstheme="minorHAnsi"/>
                <w:sz w:val="20"/>
                <w:szCs w:val="20"/>
              </w:rPr>
              <w:t>. MIT Press.</w:t>
            </w:r>
          </w:p>
        </w:tc>
      </w:tr>
      <w:tr w:rsidR="00E43BEB" w:rsidRPr="00BA1DE5" w14:paraId="2FE84682" w14:textId="77777777" w:rsidTr="00643B05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F49464D" w14:textId="77777777" w:rsidR="00E43BEB" w:rsidRPr="00BA1DE5" w:rsidRDefault="00E43BEB" w:rsidP="00E43BE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F36FE60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1. Eade, J., &amp; Mele, Ch. (2002).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Understanding the City</w:t>
            </w:r>
            <w:r w:rsidRPr="00E43BEB">
              <w:rPr>
                <w:rFonts w:cstheme="minorHAnsi"/>
                <w:sz w:val="20"/>
                <w:szCs w:val="20"/>
              </w:rPr>
              <w:t>. Blackwell Publications</w:t>
            </w:r>
          </w:p>
          <w:p w14:paraId="0BC989D6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2. Westwood, S., &amp; Williams, J. (2018).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Imagining Cities</w:t>
            </w:r>
            <w:r w:rsidRPr="00E43BEB">
              <w:rPr>
                <w:rFonts w:cstheme="minorHAnsi"/>
                <w:sz w:val="20"/>
                <w:szCs w:val="20"/>
              </w:rPr>
              <w:t>. Routledge.</w:t>
            </w:r>
          </w:p>
          <w:p w14:paraId="4DB98BDE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3. Busbea, L. (2012).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Topologies: The Urban Utopia in France, 1960-1970</w:t>
            </w:r>
            <w:r w:rsidRPr="00E43BEB">
              <w:rPr>
                <w:rFonts w:cstheme="minorHAnsi"/>
                <w:sz w:val="20"/>
                <w:szCs w:val="20"/>
              </w:rPr>
              <w:t>. MIT Press.</w:t>
            </w:r>
          </w:p>
          <w:p w14:paraId="6237952B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>4. Cerda, I. (2018).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 xml:space="preserve"> General Theory of Urbanization. </w:t>
            </w:r>
            <w:r w:rsidRPr="00E43BEB">
              <w:rPr>
                <w:rFonts w:cstheme="minorHAnsi"/>
                <w:sz w:val="20"/>
                <w:szCs w:val="20"/>
              </w:rPr>
              <w:t xml:space="preserve">ACTAR. </w:t>
            </w:r>
          </w:p>
          <w:p w14:paraId="09628471" w14:textId="77777777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43BEB">
              <w:rPr>
                <w:rFonts w:cstheme="minorHAnsi"/>
                <w:sz w:val="20"/>
                <w:szCs w:val="20"/>
              </w:rPr>
              <w:t xml:space="preserve">5. Wallenstein, S. O. (2016).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Architecture, Critique, Ideology</w:t>
            </w:r>
            <w:r w:rsidRPr="00E43BEB">
              <w:rPr>
                <w:rFonts w:cstheme="minorHAnsi"/>
                <w:sz w:val="20"/>
                <w:szCs w:val="20"/>
              </w:rPr>
              <w:t>. Axl Books.</w:t>
            </w:r>
          </w:p>
          <w:p w14:paraId="13D6BB9E" w14:textId="237F9328" w:rsidR="00E43BEB" w:rsidRPr="00E43BEB" w:rsidRDefault="00E43BEB" w:rsidP="00E43B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43BEB">
              <w:rPr>
                <w:rFonts w:cstheme="minorHAnsi"/>
                <w:sz w:val="20"/>
                <w:szCs w:val="20"/>
              </w:rPr>
              <w:lastRenderedPageBreak/>
              <w:t xml:space="preserve">6. Bordern, I., Hall, t., &amp; Miles, M. (2003). </w:t>
            </w:r>
            <w:r w:rsidRPr="00E43BEB">
              <w:rPr>
                <w:rFonts w:cstheme="minorHAnsi"/>
                <w:i/>
                <w:iCs/>
                <w:sz w:val="20"/>
                <w:szCs w:val="20"/>
              </w:rPr>
              <w:t>The City Cultures Reader</w:t>
            </w:r>
            <w:r w:rsidRPr="00E43BEB">
              <w:rPr>
                <w:rFonts w:cstheme="minorHAnsi"/>
                <w:sz w:val="20"/>
                <w:szCs w:val="20"/>
              </w:rPr>
              <w:t>. Routledge.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151A17" w:rsidRPr="00BA1DE5" w14:paraId="15F1EF6B" w14:textId="77777777" w:rsidTr="00E65E7A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E5C636" w14:textId="77777777" w:rsidR="00151A17" w:rsidRPr="00BA1DE5" w:rsidRDefault="00151A17" w:rsidP="00E65E7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lastRenderedPageBreak/>
              <w:t>Hartimi i planit mësimor</w:t>
            </w:r>
          </w:p>
        </w:tc>
      </w:tr>
      <w:tr w:rsidR="003009D0" w:rsidRPr="00BA1DE5" w14:paraId="2267BC14" w14:textId="77777777" w:rsidTr="0054494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7AA1A0" w14:textId="77777777" w:rsidR="003009D0" w:rsidRPr="00BA1DE5" w:rsidRDefault="003009D0" w:rsidP="00E65E7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64977B72" w14:textId="77777777" w:rsidR="003009D0" w:rsidRPr="00BA1DE5" w:rsidRDefault="003009D0" w:rsidP="00E65E7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009D0" w:rsidRPr="00BA1DE5" w14:paraId="120DCB93" w14:textId="77777777" w:rsidTr="0054494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01D1" w14:textId="77777777" w:rsidR="003009D0" w:rsidRPr="00BA1DE5" w:rsidRDefault="003009D0" w:rsidP="001B23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  <w:r>
              <w:rPr>
                <w:rFonts w:ascii="Calibri" w:hAnsi="Calibri"/>
                <w:b/>
                <w:i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D6B65" w14:textId="77777777" w:rsidR="003009D0" w:rsidRPr="00926E45" w:rsidRDefault="003009D0" w:rsidP="00B843A6">
            <w:pPr>
              <w:spacing w:after="0" w:line="240" w:lineRule="exact"/>
              <w:rPr>
                <w:rFonts w:cstheme="minorHAnsi"/>
                <w:bCs/>
                <w:lang w:val="en-US" w:eastAsia="mk-MK"/>
              </w:rPr>
            </w:pPr>
            <w:r w:rsidRPr="00926E45">
              <w:rPr>
                <w:rFonts w:cstheme="minorHAnsi"/>
                <w:bCs/>
                <w:lang w:val="en-US" w:eastAsia="mk-MK"/>
              </w:rPr>
              <w:t xml:space="preserve">HYRJE- </w:t>
            </w:r>
            <w:proofErr w:type="spellStart"/>
            <w:r w:rsidRPr="00926E45">
              <w:rPr>
                <w:rFonts w:cstheme="minorHAnsi"/>
                <w:bCs/>
                <w:lang w:val="en-US" w:eastAsia="mk-MK"/>
              </w:rPr>
              <w:t>cka</w:t>
            </w:r>
            <w:proofErr w:type="spellEnd"/>
            <w:r w:rsidRPr="00926E45">
              <w:rPr>
                <w:rFonts w:cstheme="minorHAnsi"/>
                <w:bCs/>
                <w:lang w:val="en-US" w:eastAsia="mk-MK"/>
              </w:rPr>
              <w:t xml:space="preserve"> </w:t>
            </w:r>
            <w:proofErr w:type="spellStart"/>
            <w:r w:rsidR="00544941">
              <w:rPr>
                <w:rFonts w:cstheme="minorHAnsi"/>
                <w:bCs/>
                <w:lang w:val="en-US" w:eastAsia="mk-MK"/>
              </w:rPr>
              <w:t>ë</w:t>
            </w:r>
            <w:r w:rsidRPr="00926E45">
              <w:rPr>
                <w:rFonts w:cstheme="minorHAnsi"/>
                <w:bCs/>
                <w:lang w:val="en-US" w:eastAsia="mk-MK"/>
              </w:rPr>
              <w:t>sht</w:t>
            </w:r>
            <w:r w:rsidR="00544941">
              <w:rPr>
                <w:rFonts w:cstheme="minorHAnsi"/>
                <w:bCs/>
                <w:lang w:val="en-US" w:eastAsia="mk-MK"/>
              </w:rPr>
              <w:t>ë</w:t>
            </w:r>
            <w:proofErr w:type="spellEnd"/>
            <w:r w:rsidRPr="00926E45">
              <w:rPr>
                <w:rFonts w:cstheme="minorHAnsi"/>
                <w:bCs/>
                <w:lang w:val="en-US" w:eastAsia="mk-MK"/>
              </w:rPr>
              <w:t xml:space="preserve"> </w:t>
            </w:r>
            <w:proofErr w:type="spellStart"/>
            <w:r w:rsidRPr="00926E45">
              <w:rPr>
                <w:rFonts w:cstheme="minorHAnsi"/>
                <w:bCs/>
                <w:lang w:val="en-US" w:eastAsia="mk-MK"/>
              </w:rPr>
              <w:t>te</w:t>
            </w:r>
            <w:r>
              <w:rPr>
                <w:rFonts w:cstheme="minorHAnsi"/>
                <w:bCs/>
                <w:lang w:val="en-US" w:eastAsia="mk-MK"/>
              </w:rPr>
              <w:t>o</w:t>
            </w:r>
            <w:r w:rsidRPr="00926E45">
              <w:rPr>
                <w:rFonts w:cstheme="minorHAnsi"/>
                <w:bCs/>
                <w:lang w:val="en-US" w:eastAsia="mk-MK"/>
              </w:rPr>
              <w:t>ria</w:t>
            </w:r>
            <w:proofErr w:type="spellEnd"/>
            <w:r w:rsidRPr="00926E45">
              <w:rPr>
                <w:rFonts w:cstheme="minorHAnsi"/>
                <w:bCs/>
                <w:lang w:val="en-US" w:eastAsia="mk-MK"/>
              </w:rPr>
              <w:t xml:space="preserve"> e </w:t>
            </w:r>
            <w:proofErr w:type="spellStart"/>
            <w:r w:rsidRPr="00926E45">
              <w:rPr>
                <w:rFonts w:cstheme="minorHAnsi"/>
                <w:bCs/>
                <w:lang w:val="en-US" w:eastAsia="mk-MK"/>
              </w:rPr>
              <w:t>urban</w:t>
            </w:r>
            <w:r>
              <w:rPr>
                <w:rFonts w:cstheme="minorHAnsi"/>
                <w:bCs/>
                <w:lang w:val="en-US" w:eastAsia="mk-MK"/>
              </w:rPr>
              <w:t>i</w:t>
            </w:r>
            <w:r w:rsidRPr="00926E45">
              <w:rPr>
                <w:rFonts w:cstheme="minorHAnsi"/>
                <w:bCs/>
                <w:lang w:val="en-US" w:eastAsia="mk-MK"/>
              </w:rPr>
              <w:t>zmit</w:t>
            </w:r>
            <w:proofErr w:type="spellEnd"/>
            <w:r w:rsidRPr="00926E45">
              <w:rPr>
                <w:rFonts w:cstheme="minorHAnsi"/>
                <w:bCs/>
                <w:lang w:val="en-US" w:eastAsia="mk-MK"/>
              </w:rPr>
              <w:t>?</w:t>
            </w:r>
          </w:p>
        </w:tc>
      </w:tr>
      <w:tr w:rsidR="003009D0" w:rsidRPr="00BA1DE5" w14:paraId="35C68853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8920" w14:textId="77777777" w:rsidR="003009D0" w:rsidRPr="00BA1DE5" w:rsidRDefault="003009D0" w:rsidP="002126C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47417" w14:textId="77777777" w:rsidR="003009D0" w:rsidRPr="00926E45" w:rsidRDefault="003009D0" w:rsidP="00B843A6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 w:rsidRPr="00926E45">
              <w:rPr>
                <w:rFonts w:cs="Arial"/>
                <w:bCs/>
              </w:rPr>
              <w:t xml:space="preserve">oncepti i </w:t>
            </w:r>
            <w:r>
              <w:rPr>
                <w:rFonts w:cs="Arial"/>
                <w:bCs/>
              </w:rPr>
              <w:t>‘</w:t>
            </w:r>
            <w:r w:rsidRPr="00926E45">
              <w:rPr>
                <w:rFonts w:cs="Arial"/>
                <w:bCs/>
              </w:rPr>
              <w:t>polisit</w:t>
            </w:r>
            <w:r>
              <w:rPr>
                <w:rFonts w:cs="Arial"/>
                <w:bCs/>
              </w:rPr>
              <w:t>’</w:t>
            </w:r>
            <w:r w:rsidRPr="00926E45">
              <w:rPr>
                <w:rFonts w:cs="Arial"/>
                <w:bCs/>
              </w:rPr>
              <w:t>, modelet e shoq</w:t>
            </w:r>
            <w:r w:rsidR="00544941">
              <w:rPr>
                <w:rFonts w:cs="Arial"/>
                <w:bCs/>
              </w:rPr>
              <w:t>ë</w:t>
            </w:r>
            <w:r w:rsidRPr="00926E45">
              <w:rPr>
                <w:rFonts w:cs="Arial"/>
                <w:bCs/>
              </w:rPr>
              <w:t>sir</w:t>
            </w:r>
            <w:r w:rsidR="00544941">
              <w:rPr>
                <w:rFonts w:cs="Arial"/>
                <w:bCs/>
              </w:rPr>
              <w:t>ë</w:t>
            </w:r>
            <w:r w:rsidRPr="00926E45">
              <w:rPr>
                <w:rFonts w:cs="Arial"/>
                <w:bCs/>
              </w:rPr>
              <w:t xml:space="preserve">, civilizimet dhe kulturat urbane, kriticizmi mbi qytetin </w:t>
            </w:r>
          </w:p>
        </w:tc>
      </w:tr>
      <w:tr w:rsidR="003009D0" w:rsidRPr="00BA1DE5" w14:paraId="502DC7C2" w14:textId="77777777" w:rsidTr="0054494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9645" w14:textId="77777777" w:rsidR="003009D0" w:rsidRPr="00BA1DE5" w:rsidRDefault="003009D0" w:rsidP="002126C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99ECB" w14:textId="77777777" w:rsidR="003009D0" w:rsidRPr="00926E45" w:rsidRDefault="003009D0" w:rsidP="00B843A6">
            <w:pPr>
              <w:spacing w:after="0" w:line="240" w:lineRule="exact"/>
            </w:pPr>
            <w:r>
              <w:t xml:space="preserve">Utopia, </w:t>
            </w:r>
            <w:r w:rsidRPr="00926E45">
              <w:t xml:space="preserve"> hapsir</w:t>
            </w:r>
            <w:r w:rsidR="00544941">
              <w:t>ë</w:t>
            </w:r>
            <w:r w:rsidRPr="00926E45">
              <w:t>zimi i utopis</w:t>
            </w:r>
            <w:r w:rsidR="00544941">
              <w:t>ë</w:t>
            </w:r>
            <w:r w:rsidRPr="00926E45">
              <w:t>, progresi si form</w:t>
            </w:r>
            <w:r w:rsidR="00544941">
              <w:t>ë</w:t>
            </w:r>
            <w:r w:rsidRPr="00926E45">
              <w:t xml:space="preserve"> e utopis</w:t>
            </w:r>
            <w:r w:rsidR="00544941">
              <w:t>ë</w:t>
            </w:r>
          </w:p>
        </w:tc>
      </w:tr>
      <w:tr w:rsidR="003009D0" w:rsidRPr="00BA1DE5" w14:paraId="501CFBA9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A9E" w14:textId="77777777" w:rsidR="003009D0" w:rsidRPr="00BA1DE5" w:rsidRDefault="003009D0" w:rsidP="002126C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66A68" w14:textId="77777777" w:rsidR="003009D0" w:rsidRPr="00926E45" w:rsidRDefault="003009D0" w:rsidP="00544941">
            <w:pPr>
              <w:spacing w:after="0" w:line="240" w:lineRule="exact"/>
              <w:jc w:val="both"/>
            </w:pPr>
            <w:r>
              <w:t>Q</w:t>
            </w:r>
            <w:r w:rsidRPr="00926E45">
              <w:t>yteti si gjuh</w:t>
            </w:r>
            <w:r w:rsidR="00544941">
              <w:t>ë</w:t>
            </w:r>
            <w:r w:rsidRPr="00926E45">
              <w:t>, tekst, sistem i shenjave, kujt</w:t>
            </w:r>
            <w:r w:rsidR="00544941">
              <w:t>e</w:t>
            </w:r>
            <w:r w:rsidRPr="00926E45">
              <w:t>s</w:t>
            </w:r>
            <w:r w:rsidR="00544941">
              <w:t>ë</w:t>
            </w:r>
            <w:r w:rsidRPr="00926E45">
              <w:t xml:space="preserve">, narracion </w:t>
            </w:r>
            <w:r w:rsidR="00544941">
              <w:t>në kohë dhe hapësirë si dhe identitet.</w:t>
            </w:r>
          </w:p>
        </w:tc>
      </w:tr>
      <w:tr w:rsidR="003009D0" w:rsidRPr="00BA1DE5" w14:paraId="45C790C5" w14:textId="77777777" w:rsidTr="00544941">
        <w:trPr>
          <w:trHeight w:val="24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12F" w14:textId="77777777" w:rsidR="003009D0" w:rsidRPr="00BA1DE5" w:rsidRDefault="003009D0" w:rsidP="00BB7F1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FF2EF" w14:textId="77777777" w:rsidR="003009D0" w:rsidRPr="00926E45" w:rsidRDefault="003009D0" w:rsidP="001B231E">
            <w:pPr>
              <w:spacing w:after="0" w:line="240" w:lineRule="exact"/>
            </w:pPr>
            <w:r>
              <w:t>D</w:t>
            </w:r>
            <w:r w:rsidRPr="00926E45">
              <w:t>rejt teoris</w:t>
            </w:r>
            <w:r w:rsidR="00544941">
              <w:t>ë</w:t>
            </w:r>
            <w:r w:rsidRPr="00926E45">
              <w:t xml:space="preserve"> s</w:t>
            </w:r>
            <w:r w:rsidR="00544941">
              <w:t>ë</w:t>
            </w:r>
            <w:r w:rsidRPr="00926E45">
              <w:t xml:space="preserve"> peizazhit, transformimet e peizazhit</w:t>
            </w:r>
            <w:r>
              <w:t xml:space="preserve"> dhe qyteti</w:t>
            </w:r>
          </w:p>
        </w:tc>
      </w:tr>
      <w:tr w:rsidR="003009D0" w:rsidRPr="00BA1DE5" w14:paraId="3246A4D0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AD29" w14:textId="77777777" w:rsidR="003009D0" w:rsidRPr="00BA1DE5" w:rsidRDefault="003009D0" w:rsidP="00BB7F1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4BE55" w14:textId="77777777" w:rsidR="003009D0" w:rsidRPr="00926E45" w:rsidRDefault="00544941" w:rsidP="00BB7F1F">
            <w:pPr>
              <w:spacing w:after="0" w:line="240" w:lineRule="exact"/>
              <w:jc w:val="both"/>
            </w:pPr>
            <w:r>
              <w:t>N</w:t>
            </w:r>
            <w:r w:rsidRPr="00926E45">
              <w:t>ocioni i modelit n</w:t>
            </w:r>
            <w:r>
              <w:t>ë urbanizëm, modeli dhe diagrami</w:t>
            </w:r>
          </w:p>
        </w:tc>
      </w:tr>
      <w:tr w:rsidR="003009D0" w:rsidRPr="00BA1DE5" w14:paraId="2BD7E118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828C" w14:textId="77777777" w:rsidR="003009D0" w:rsidRPr="00BA1DE5" w:rsidRDefault="003009D0" w:rsidP="00BB7F1F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61D88" w14:textId="77777777" w:rsidR="003009D0" w:rsidRPr="00926E45" w:rsidRDefault="00544941" w:rsidP="001B231E">
            <w:pPr>
              <w:spacing w:after="0" w:line="240" w:lineRule="exact"/>
            </w:pPr>
            <w:r>
              <w:t>Infrastrutura teknologjike dhe</w:t>
            </w:r>
            <w:r w:rsidRPr="00926E45">
              <w:t xml:space="preserve"> struktura</w:t>
            </w:r>
            <w:r>
              <w:t xml:space="preserve">t megaurbane-  </w:t>
            </w:r>
            <w:r w:rsidRPr="00926E45">
              <w:t>kibernetika dhe global</w:t>
            </w:r>
            <w:r>
              <w:t>i</w:t>
            </w:r>
            <w:r w:rsidRPr="00926E45">
              <w:t>zimi</w:t>
            </w:r>
          </w:p>
        </w:tc>
      </w:tr>
      <w:tr w:rsidR="003009D0" w:rsidRPr="00BA1DE5" w14:paraId="6C66E6E5" w14:textId="77777777" w:rsidTr="00544941">
        <w:trPr>
          <w:trHeight w:val="30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24C5" w14:textId="77777777" w:rsidR="003009D0" w:rsidRPr="00BA1DE5" w:rsidRDefault="003009D0" w:rsidP="00BB7F1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6653F" w14:textId="77777777" w:rsidR="003009D0" w:rsidRPr="00544941" w:rsidRDefault="00544941" w:rsidP="00BB7F1F">
            <w:pPr>
              <w:spacing w:after="0" w:line="240" w:lineRule="exact"/>
            </w:pPr>
            <w:r w:rsidRPr="00544941">
              <w:t>Sistemet urbane ekologjike</w:t>
            </w:r>
          </w:p>
        </w:tc>
      </w:tr>
      <w:tr w:rsidR="003009D0" w:rsidRPr="00BA1DE5" w14:paraId="06485DDE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C432" w14:textId="77777777" w:rsidR="003009D0" w:rsidRPr="00BA1DE5" w:rsidRDefault="003009D0" w:rsidP="001B23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  <w:r>
              <w:rPr>
                <w:rFonts w:ascii="Calibri" w:hAnsi="Calibri"/>
                <w:b/>
                <w:i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7864F" w14:textId="77777777" w:rsidR="003009D0" w:rsidRPr="00544941" w:rsidRDefault="00544941" w:rsidP="001B231E">
            <w:pPr>
              <w:spacing w:after="0" w:line="240" w:lineRule="exact"/>
              <w:rPr>
                <w:rFonts w:cs="Arial"/>
                <w:bCs/>
              </w:rPr>
            </w:pPr>
            <w:r w:rsidRPr="00544941">
              <w:rPr>
                <w:rFonts w:cs="Arial"/>
                <w:bCs/>
              </w:rPr>
              <w:t>Qytetet kopshte- urbanizmi agrar</w:t>
            </w:r>
          </w:p>
        </w:tc>
      </w:tr>
      <w:tr w:rsidR="003009D0" w:rsidRPr="00BA1DE5" w14:paraId="45821278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C6F9" w14:textId="77777777" w:rsidR="003009D0" w:rsidRPr="00BA1DE5" w:rsidRDefault="003009D0" w:rsidP="00B843A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EF036" w14:textId="77777777" w:rsidR="003009D0" w:rsidRPr="00544941" w:rsidRDefault="00095545" w:rsidP="00B843A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544941">
              <w:t>Urbanizmi dhe lumturia</w:t>
            </w:r>
          </w:p>
        </w:tc>
      </w:tr>
      <w:tr w:rsidR="003009D0" w:rsidRPr="00BA1DE5" w14:paraId="57ABA255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710B" w14:textId="77777777" w:rsidR="003009D0" w:rsidRPr="00BA1DE5" w:rsidRDefault="003009D0" w:rsidP="00BB7F1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C789C" w14:textId="77777777" w:rsidR="003009D0" w:rsidRPr="00544941" w:rsidRDefault="00095545" w:rsidP="00BB7F1F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Urbanizmi i Ri</w:t>
            </w:r>
          </w:p>
        </w:tc>
      </w:tr>
      <w:tr w:rsidR="003009D0" w:rsidRPr="00BA1DE5" w14:paraId="264A3DC8" w14:textId="77777777" w:rsidTr="00544941">
        <w:trPr>
          <w:trHeight w:val="6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706A" w14:textId="77777777" w:rsidR="003009D0" w:rsidRPr="00BA1DE5" w:rsidRDefault="003009D0" w:rsidP="00BB7F1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89509" w14:textId="77777777" w:rsidR="003009D0" w:rsidRPr="00544941" w:rsidRDefault="00095545" w:rsidP="00BB7F1F">
            <w:pPr>
              <w:spacing w:after="0" w:line="240" w:lineRule="exact"/>
            </w:pPr>
            <w:r>
              <w:t>Urbanizmi postmodern</w:t>
            </w:r>
          </w:p>
        </w:tc>
      </w:tr>
      <w:tr w:rsidR="003009D0" w:rsidRPr="00BA1DE5" w14:paraId="451F8999" w14:textId="77777777" w:rsidTr="003B16AC">
        <w:trPr>
          <w:trHeight w:val="23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FF71" w14:textId="78CCC0F2" w:rsidR="003009D0" w:rsidRPr="00643B05" w:rsidRDefault="003009D0" w:rsidP="00BB7F1F">
            <w:pPr>
              <w:spacing w:after="0" w:line="240" w:lineRule="exact"/>
              <w:rPr>
                <w:rFonts w:ascii="Calibri" w:hAnsi="Calibri"/>
                <w:b/>
              </w:rPr>
            </w:pPr>
            <w:r w:rsidRPr="00544941">
              <w:rPr>
                <w:rFonts w:ascii="Calibri" w:hAnsi="Calibri"/>
                <w:b/>
                <w:i/>
              </w:rPr>
              <w:t>Java 13</w:t>
            </w:r>
            <w:r w:rsidRPr="00544941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563B8" w14:textId="77777777" w:rsidR="003009D0" w:rsidRPr="00544941" w:rsidRDefault="00095545" w:rsidP="003B16AC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Qytetet n</w:t>
            </w:r>
            <w:r w:rsidR="003B16AC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fluks- </w:t>
            </w:r>
            <w:r w:rsidR="003B16AC">
              <w:rPr>
                <w:rFonts w:cs="Arial"/>
                <w:bCs/>
              </w:rPr>
              <w:t>plandosja</w:t>
            </w:r>
          </w:p>
        </w:tc>
      </w:tr>
      <w:tr w:rsidR="003009D0" w:rsidRPr="00BA1DE5" w14:paraId="0604D683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80E1" w14:textId="77777777" w:rsidR="003009D0" w:rsidRPr="00544941" w:rsidRDefault="003009D0" w:rsidP="00BB7F1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544941">
              <w:rPr>
                <w:rFonts w:ascii="Calibri" w:hAnsi="Calibri"/>
                <w:b/>
                <w:i/>
              </w:rPr>
              <w:t>Java 14</w:t>
            </w:r>
            <w:r w:rsidRPr="00544941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330D3" w14:textId="77777777" w:rsidR="003009D0" w:rsidRPr="00544941" w:rsidRDefault="003B16AC" w:rsidP="00095545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Q</w:t>
            </w:r>
            <w:r w:rsidR="00095545">
              <w:rPr>
                <w:rFonts w:cs="Arial"/>
                <w:bCs/>
              </w:rPr>
              <w:t>yteti i së drejtës</w:t>
            </w:r>
          </w:p>
        </w:tc>
      </w:tr>
      <w:tr w:rsidR="003009D0" w:rsidRPr="00BA1DE5" w14:paraId="3A370566" w14:textId="77777777" w:rsidTr="0054494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A7D" w14:textId="77777777" w:rsidR="003009D0" w:rsidRPr="00544941" w:rsidRDefault="003009D0" w:rsidP="00BB7F1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544941">
              <w:rPr>
                <w:rFonts w:ascii="Calibri" w:hAnsi="Calibri"/>
                <w:b/>
                <w:i/>
              </w:rPr>
              <w:t>Java 15</w:t>
            </w:r>
            <w:r w:rsidRPr="00544941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2D80C" w14:textId="77777777" w:rsidR="003009D0" w:rsidRPr="00544941" w:rsidRDefault="00095545" w:rsidP="0054494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544941">
              <w:rPr>
                <w:rFonts w:cs="Arial"/>
                <w:bCs/>
              </w:rPr>
              <w:t>Ndryshimet klimaterike dhe rip</w:t>
            </w:r>
            <w:r>
              <w:rPr>
                <w:rFonts w:cs="Arial"/>
                <w:bCs/>
              </w:rPr>
              <w:t>ë</w:t>
            </w:r>
            <w:r w:rsidRPr="00544941">
              <w:rPr>
                <w:rFonts w:cs="Arial"/>
                <w:bCs/>
              </w:rPr>
              <w:t>rtrirja urbane</w:t>
            </w:r>
          </w:p>
        </w:tc>
      </w:tr>
    </w:tbl>
    <w:p w14:paraId="31DB7868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43BEB" w:rsidRPr="00E24DFC" w14:paraId="390FF68B" w14:textId="77777777" w:rsidTr="0065399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121CF05" w14:textId="77777777" w:rsidR="00E43BEB" w:rsidRPr="00E24DFC" w:rsidRDefault="00E43BEB" w:rsidP="00653993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E43BEB" w:rsidRPr="00E24DFC" w14:paraId="126D7DAA" w14:textId="77777777" w:rsidTr="0065399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F269" w14:textId="77777777" w:rsidR="00E43BEB" w:rsidRPr="00E24DFC" w:rsidRDefault="00E43BEB" w:rsidP="00653993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5A7B14">
              <w:rPr>
                <w:rFonts w:cstheme="minorHAnsi"/>
              </w:rPr>
              <w:t>Ligjëratat dhe vizitat studimore janë të detyrueshme; koha e mësimit fillon dhe mbaron me kohë; inkurajohet përdorimi i pajisjeve teknologjike për qëllime diskutimi/prezantimi, ndërkohë që nuk lejohet përdorimi i tij për aktivitete të tjera si kontrollimi i e-mail-eve personale ose rrjeteve sociale.</w:t>
            </w:r>
          </w:p>
        </w:tc>
      </w:tr>
    </w:tbl>
    <w:p w14:paraId="0D7A9C3B" w14:textId="77777777" w:rsidR="00E43BEB" w:rsidRPr="00E24DFC" w:rsidRDefault="00E43BEB" w:rsidP="00E43BEB">
      <w:r w:rsidRPr="005A7B14">
        <w:rPr>
          <w:rFonts w:ascii="Calibri" w:hAnsi="Calibri"/>
          <w:b/>
        </w:rPr>
        <w:t>Shënim | Nëse një student ka detyra të klasës të vlerësuara nën 50%, ai humbet të drejtën në provimin përfundimtar.</w:t>
      </w:r>
    </w:p>
    <w:p w14:paraId="0A5530C2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5CC"/>
    <w:multiLevelType w:val="hybridMultilevel"/>
    <w:tmpl w:val="7722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3BC4"/>
    <w:multiLevelType w:val="hybridMultilevel"/>
    <w:tmpl w:val="E634E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53C3E"/>
    <w:multiLevelType w:val="hybridMultilevel"/>
    <w:tmpl w:val="88DE1E98"/>
    <w:lvl w:ilvl="0" w:tplc="76B4505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27C52"/>
    <w:multiLevelType w:val="hybridMultilevel"/>
    <w:tmpl w:val="8A9C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71CB4"/>
    <w:multiLevelType w:val="hybridMultilevel"/>
    <w:tmpl w:val="D092FDFA"/>
    <w:lvl w:ilvl="0" w:tplc="E32E0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28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6C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0A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CC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EC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A0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6B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EA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7554F4"/>
    <w:multiLevelType w:val="hybridMultilevel"/>
    <w:tmpl w:val="CE482BF2"/>
    <w:lvl w:ilvl="0" w:tplc="6568D73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549323">
    <w:abstractNumId w:val="3"/>
  </w:num>
  <w:num w:numId="2" w16cid:durableId="401371235">
    <w:abstractNumId w:val="0"/>
  </w:num>
  <w:num w:numId="3" w16cid:durableId="1908146910">
    <w:abstractNumId w:val="4"/>
  </w:num>
  <w:num w:numId="4" w16cid:durableId="1557474515">
    <w:abstractNumId w:val="2"/>
  </w:num>
  <w:num w:numId="5" w16cid:durableId="1857424300">
    <w:abstractNumId w:val="1"/>
  </w:num>
  <w:num w:numId="6" w16cid:durableId="1160150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57696"/>
    <w:rsid w:val="000909A9"/>
    <w:rsid w:val="00095545"/>
    <w:rsid w:val="001112B2"/>
    <w:rsid w:val="00151A17"/>
    <w:rsid w:val="00161C33"/>
    <w:rsid w:val="00170CA1"/>
    <w:rsid w:val="00173665"/>
    <w:rsid w:val="001B231E"/>
    <w:rsid w:val="001F0786"/>
    <w:rsid w:val="001F66D5"/>
    <w:rsid w:val="002126CB"/>
    <w:rsid w:val="00244CEA"/>
    <w:rsid w:val="002A0FE4"/>
    <w:rsid w:val="003009D0"/>
    <w:rsid w:val="003B16AC"/>
    <w:rsid w:val="00422029"/>
    <w:rsid w:val="00493219"/>
    <w:rsid w:val="004E6354"/>
    <w:rsid w:val="00544941"/>
    <w:rsid w:val="00643B05"/>
    <w:rsid w:val="006B381D"/>
    <w:rsid w:val="00926E45"/>
    <w:rsid w:val="00977C1D"/>
    <w:rsid w:val="009D0598"/>
    <w:rsid w:val="009D6F61"/>
    <w:rsid w:val="00A27E1E"/>
    <w:rsid w:val="00A854C4"/>
    <w:rsid w:val="00AE3895"/>
    <w:rsid w:val="00B843A6"/>
    <w:rsid w:val="00BB7F1F"/>
    <w:rsid w:val="00BD0B83"/>
    <w:rsid w:val="00C0165D"/>
    <w:rsid w:val="00C92CC8"/>
    <w:rsid w:val="00CA2D9E"/>
    <w:rsid w:val="00CB0708"/>
    <w:rsid w:val="00D133D9"/>
    <w:rsid w:val="00D22A15"/>
    <w:rsid w:val="00D358D2"/>
    <w:rsid w:val="00DB6D9F"/>
    <w:rsid w:val="00DC65B0"/>
    <w:rsid w:val="00DE60C4"/>
    <w:rsid w:val="00E36009"/>
    <w:rsid w:val="00E43BEB"/>
    <w:rsid w:val="00E65E7A"/>
    <w:rsid w:val="00E725D8"/>
    <w:rsid w:val="00F4666B"/>
    <w:rsid w:val="00FB01D5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1134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paragraph" w:styleId="Heading1">
    <w:name w:val="heading 1"/>
    <w:basedOn w:val="Normal"/>
    <w:link w:val="Heading1Char"/>
    <w:uiPriority w:val="9"/>
    <w:qFormat/>
    <w:rsid w:val="00E65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E65E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Spacing1">
    <w:name w:val="No Spacing1"/>
    <w:uiPriority w:val="1"/>
    <w:qFormat/>
    <w:rsid w:val="00FC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029"/>
    <w:rPr>
      <w:color w:val="0000FF" w:themeColor="hyperlink"/>
      <w:u w:val="single"/>
    </w:rPr>
  </w:style>
  <w:style w:type="character" w:customStyle="1" w:styleId="by">
    <w:name w:val="by"/>
    <w:basedOn w:val="DefaultParagraphFont"/>
    <w:rsid w:val="009D0598"/>
  </w:style>
  <w:style w:type="character" w:styleId="UnresolvedMention">
    <w:name w:val="Unresolved Mention"/>
    <w:basedOn w:val="DefaultParagraphFont"/>
    <w:uiPriority w:val="99"/>
    <w:semiHidden/>
    <w:unhideWhenUsed/>
    <w:rsid w:val="0064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2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0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ir.gjinolli@uni-pr.edu" TargetMode="External"/><Relationship Id="rId5" Type="http://schemas.openxmlformats.org/officeDocument/2006/relationships/hyperlink" Target="mailto:Dukagjin.hasmij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Ardita Byci</cp:lastModifiedBy>
  <cp:revision>10</cp:revision>
  <dcterms:created xsi:type="dcterms:W3CDTF">2019-08-08T07:54:00Z</dcterms:created>
  <dcterms:modified xsi:type="dcterms:W3CDTF">2023-07-14T15:11:00Z</dcterms:modified>
</cp:coreProperties>
</file>