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9"/>
        <w:gridCol w:w="1132"/>
        <w:gridCol w:w="2176"/>
        <w:gridCol w:w="1030"/>
        <w:gridCol w:w="653"/>
        <w:gridCol w:w="379"/>
        <w:gridCol w:w="820"/>
        <w:gridCol w:w="1007"/>
      </w:tblGrid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CF116F" w:rsidRPr="00653A9D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67" w:type="pct"/>
            <w:gridSpan w:val="6"/>
            <w:vAlign w:val="center"/>
          </w:tcPr>
          <w:p w:rsidR="00CF116F" w:rsidRPr="00653A9D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4666B0" w:rsidRPr="00653A9D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67" w:type="pct"/>
            <w:gridSpan w:val="6"/>
            <w:vAlign w:val="center"/>
          </w:tcPr>
          <w:p w:rsidR="004666B0" w:rsidRPr="00653A9D" w:rsidRDefault="00012747" w:rsidP="00FB369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Termocentralet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2B1DC0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I</w:t>
            </w:r>
            <w:r w:rsidR="00D754D6" w:rsidRPr="00653A9D">
              <w:rPr>
                <w:sz w:val="22"/>
                <w:szCs w:val="22"/>
                <w:lang w:val="sq-AL"/>
              </w:rPr>
              <w:t>I</w:t>
            </w:r>
            <w:r w:rsidR="00307DFC" w:rsidRPr="00653A9D">
              <w:rPr>
                <w:sz w:val="22"/>
                <w:szCs w:val="22"/>
                <w:lang w:val="sq-AL"/>
              </w:rPr>
              <w:t xml:space="preserve"> (VIII)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2+2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6</w:t>
            </w:r>
          </w:p>
        </w:tc>
      </w:tr>
      <w:tr w:rsidR="00827699" w:rsidRPr="00653A9D" w:rsidTr="00653A9D">
        <w:trPr>
          <w:trHeight w:val="312"/>
        </w:trPr>
        <w:tc>
          <w:tcPr>
            <w:tcW w:w="1833" w:type="pct"/>
            <w:gridSpan w:val="2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67" w:type="pct"/>
            <w:gridSpan w:val="6"/>
            <w:vAlign w:val="center"/>
          </w:tcPr>
          <w:p w:rsidR="000E2A5E" w:rsidRPr="00653A9D" w:rsidRDefault="00307DFC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Prof. Ass. Dr. Drenusha Krasniqi - Alidema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8" w:type="pct"/>
            <w:gridSpan w:val="7"/>
            <w:vAlign w:val="center"/>
          </w:tcPr>
          <w:p w:rsidR="000E2A5E" w:rsidRPr="00653A9D" w:rsidRDefault="000E2A5E" w:rsidP="000E2A5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Lënda përfshinë njohuritë për Termocentralet në përgjithësi dhe pajisjet përbërëse të tyre. Trajtohen problemet kryesore termodinamike të proceseve dhe cikleve të punës në bazë të cilave operojnë termocentralet. </w:t>
            </w:r>
            <w:r w:rsidR="00827699" w:rsidRPr="00653A9D">
              <w:rPr>
                <w:sz w:val="22"/>
                <w:szCs w:val="22"/>
                <w:lang w:val="sq-AL"/>
              </w:rPr>
              <w:t xml:space="preserve">Nga lënda do të njoftohen më afër me tipet e termocentraleve, termodinamikën e proceseve dhe e cikleve me avull uji, ciklet e kombinuara avull-gaz,  furnizimin e termocentraleve me ujë dhe përgatitja e tij, furnizimin e termocentraleve me lënë djegëse, analizën e pajisjeve përbërëse të termocentraleve: Kaldajat me avull, Turbinat me avull, </w:t>
            </w:r>
            <w:r w:rsidR="00653A9D" w:rsidRPr="00653A9D">
              <w:rPr>
                <w:sz w:val="22"/>
                <w:szCs w:val="22"/>
                <w:lang w:val="sq-AL"/>
              </w:rPr>
              <w:t>kondensatorët</w:t>
            </w:r>
            <w:r w:rsidR="00827699" w:rsidRPr="00653A9D">
              <w:rPr>
                <w:sz w:val="22"/>
                <w:szCs w:val="22"/>
                <w:lang w:val="sq-AL"/>
              </w:rPr>
              <w:t xml:space="preserve">, nxemësit regjenerativ të ujit ushqyes dhe analizën e treguesëve energjetik dhe eksergjetik të termocentraleve.  </w:t>
            </w:r>
            <w:r w:rsidRPr="00653A9D">
              <w:rPr>
                <w:sz w:val="22"/>
                <w:szCs w:val="22"/>
                <w:lang w:val="sq-AL"/>
              </w:rPr>
              <w:t xml:space="preserve">                                            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8" w:type="pct"/>
            <w:gridSpan w:val="7"/>
            <w:vAlign w:val="center"/>
          </w:tcPr>
          <w:p w:rsidR="000E2A5E" w:rsidRPr="00653A9D" w:rsidRDefault="000E2A5E" w:rsidP="000E2A5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Aftësimi i studentëve nga lëmia e termocentraleve me avull uji duke përfshirë </w:t>
            </w:r>
            <w:r w:rsidR="00F454D7" w:rsidRPr="00653A9D">
              <w:rPr>
                <w:sz w:val="22"/>
                <w:szCs w:val="22"/>
                <w:lang w:val="sq-AL"/>
              </w:rPr>
              <w:t>analizën</w:t>
            </w:r>
            <w:r w:rsidRPr="00653A9D">
              <w:rPr>
                <w:sz w:val="22"/>
                <w:szCs w:val="22"/>
                <w:lang w:val="sq-AL"/>
              </w:rPr>
              <w:t xml:space="preserve"> energjetike dhe eksergjetike të proceseve dhe cikleve që ato operojnë.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8" w:type="pct"/>
            <w:gridSpan w:val="7"/>
            <w:vAlign w:val="center"/>
          </w:tcPr>
          <w:p w:rsidR="000E2A5E" w:rsidRPr="00653A9D" w:rsidRDefault="000E2A5E" w:rsidP="000E2A5E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Studentët do të jenë të aftë që t’i njohin dhe të përvetësojnë të gjitha proceset e ndërlikuara që ndodhin në impiantet e Termocentraleve sipas radhës së </w:t>
            </w:r>
            <w:r w:rsidR="00F454D7" w:rsidRPr="00653A9D">
              <w:rPr>
                <w:sz w:val="22"/>
                <w:szCs w:val="22"/>
                <w:lang w:val="sq-AL"/>
              </w:rPr>
              <w:t>proceseve</w:t>
            </w:r>
            <w:r w:rsidRPr="00653A9D">
              <w:rPr>
                <w:sz w:val="22"/>
                <w:szCs w:val="22"/>
                <w:lang w:val="sq-AL"/>
              </w:rPr>
              <w:t xml:space="preserve"> teknologjike që ato kryhen për realizimin e ciklit të punës.</w:t>
            </w:r>
          </w:p>
        </w:tc>
      </w:tr>
      <w:tr w:rsidR="00827699" w:rsidRPr="00653A9D" w:rsidTr="00653A9D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në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ngarkesën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(</w:t>
            </w:r>
            <w:r w:rsidR="000B4A9D" w:rsidRPr="00653A9D">
              <w:rPr>
                <w:b/>
                <w:sz w:val="22"/>
                <w:szCs w:val="22"/>
                <w:lang w:val="sq-AL"/>
              </w:rPr>
              <w:t>Q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ë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nxënit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827699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653A9D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653A9D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93A08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93A08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93A08" w:rsidRDefault="00653A9D" w:rsidP="00653A9D">
            <w:pPr>
              <w:jc w:val="center"/>
              <w:rPr>
                <w:sz w:val="22"/>
                <w:szCs w:val="22"/>
                <w:lang w:val="sq-AL"/>
              </w:rPr>
            </w:pPr>
            <w:r w:rsidRPr="00693A08">
              <w:rPr>
                <w:sz w:val="22"/>
                <w:szCs w:val="22"/>
                <w:lang w:val="sq-AL"/>
              </w:rPr>
              <w:t> </w:t>
            </w:r>
            <w:r w:rsidR="00693A08" w:rsidRPr="00693A08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93A08" w:rsidRDefault="00693A08" w:rsidP="00653A9D">
            <w:pPr>
              <w:jc w:val="center"/>
              <w:rPr>
                <w:sz w:val="22"/>
                <w:szCs w:val="22"/>
                <w:lang w:val="sq-AL"/>
              </w:rPr>
            </w:pPr>
            <w:r w:rsidRPr="00693A08">
              <w:rPr>
                <w:sz w:val="22"/>
                <w:szCs w:val="22"/>
                <w:lang w:val="sq-AL"/>
              </w:rPr>
              <w:t>2</w:t>
            </w:r>
            <w:r w:rsidR="00653A9D" w:rsidRPr="00693A08">
              <w:rPr>
                <w:sz w:val="22"/>
                <w:szCs w:val="22"/>
                <w:lang w:val="sq-AL"/>
              </w:rPr>
              <w:t> 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FF0000"/>
                <w:sz w:val="22"/>
                <w:szCs w:val="22"/>
                <w:lang w:val="sq-AL"/>
              </w:rPr>
            </w:pPr>
            <w:r w:rsidRPr="00653A9D">
              <w:rPr>
                <w:color w:val="FF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93A08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14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28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53A9D" w:rsidRPr="00653A9D" w:rsidTr="00653A9D">
        <w:trPr>
          <w:trHeight w:val="312"/>
        </w:trPr>
        <w:tc>
          <w:tcPr>
            <w:tcW w:w="2969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653A9D" w:rsidRPr="00653A9D" w:rsidRDefault="00653A9D" w:rsidP="00653A9D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653A9D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827699" w:rsidRPr="00653A9D" w:rsidTr="00653A9D">
        <w:trPr>
          <w:trHeight w:val="312"/>
        </w:trPr>
        <w:tc>
          <w:tcPr>
            <w:tcW w:w="2969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E2A5E" w:rsidRPr="00653A9D" w:rsidRDefault="000E2A5E" w:rsidP="000E2A5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E2A5E" w:rsidRPr="00653A9D" w:rsidRDefault="000E2A5E" w:rsidP="000E2A5E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3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E2A5E" w:rsidRPr="00653A9D" w:rsidRDefault="000E2A5E" w:rsidP="000E2A5E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0E2A5E" w:rsidRPr="00653A9D" w:rsidRDefault="000E2A5E" w:rsidP="000E2A5E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26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0E2A5E" w:rsidRPr="00653A9D" w:rsidRDefault="000E2A5E" w:rsidP="00653A9D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1</w:t>
            </w:r>
            <w:r w:rsidR="002B5A40" w:rsidRPr="00653A9D">
              <w:rPr>
                <w:b/>
                <w:sz w:val="22"/>
                <w:szCs w:val="22"/>
                <w:lang w:val="sq-AL"/>
              </w:rPr>
              <w:t>5</w:t>
            </w:r>
            <w:r w:rsidR="00653A9D" w:rsidRPr="00653A9D">
              <w:rPr>
                <w:b/>
                <w:sz w:val="22"/>
                <w:szCs w:val="22"/>
                <w:lang w:val="sq-AL"/>
              </w:rPr>
              <w:t>1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vAlign w:val="center"/>
          </w:tcPr>
          <w:p w:rsidR="006B1351" w:rsidRPr="00653A9D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653A9D">
              <w:rPr>
                <w:b/>
                <w:sz w:val="22"/>
                <w:szCs w:val="22"/>
                <w:lang w:val="sq-AL"/>
              </w:rPr>
              <w:t>mësimdhënies</w:t>
            </w:r>
            <w:r w:rsidRPr="00653A9D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8" w:type="pct"/>
            <w:gridSpan w:val="7"/>
            <w:vAlign w:val="center"/>
          </w:tcPr>
          <w:p w:rsidR="006B1351" w:rsidRPr="00653A9D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653A9D">
              <w:rPr>
                <w:sz w:val="22"/>
                <w:szCs w:val="22"/>
                <w:lang w:val="sq-AL"/>
              </w:rPr>
              <w:t>prezantimeve</w:t>
            </w:r>
            <w:r w:rsidRPr="00653A9D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653A9D">
              <w:rPr>
                <w:sz w:val="22"/>
                <w:szCs w:val="22"/>
                <w:lang w:val="sq-AL"/>
              </w:rPr>
              <w:t>.</w:t>
            </w:r>
          </w:p>
        </w:tc>
      </w:tr>
      <w:tr w:rsidR="00827699" w:rsidRPr="00653A9D" w:rsidTr="00653A9D">
        <w:trPr>
          <w:trHeight w:val="312"/>
        </w:trPr>
        <w:tc>
          <w:tcPr>
            <w:tcW w:w="2969" w:type="pct"/>
            <w:gridSpan w:val="3"/>
            <w:vMerge w:val="restart"/>
            <w:vAlign w:val="center"/>
          </w:tcPr>
          <w:p w:rsidR="006B1351" w:rsidRPr="00653A9D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653A9D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653A9D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653A9D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653A9D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79" w:type="pct"/>
            <w:gridSpan w:val="2"/>
            <w:vAlign w:val="center"/>
          </w:tcPr>
          <w:p w:rsidR="006B1351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52" w:type="pct"/>
            <w:gridSpan w:val="3"/>
            <w:vAlign w:val="center"/>
          </w:tcPr>
          <w:p w:rsidR="006B1351" w:rsidRPr="00653A9D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827699" w:rsidRPr="00653A9D" w:rsidTr="00653A9D">
        <w:trPr>
          <w:trHeight w:val="312"/>
        </w:trPr>
        <w:tc>
          <w:tcPr>
            <w:tcW w:w="2969" w:type="pct"/>
            <w:gridSpan w:val="3"/>
            <w:vMerge/>
            <w:vAlign w:val="center"/>
          </w:tcPr>
          <w:p w:rsidR="006B1351" w:rsidRPr="00653A9D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6B1351" w:rsidRPr="00653A9D" w:rsidRDefault="009A308D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5</w:t>
            </w:r>
            <w:r w:rsidR="006B1351" w:rsidRPr="00653A9D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152" w:type="pct"/>
            <w:gridSpan w:val="3"/>
            <w:vAlign w:val="center"/>
          </w:tcPr>
          <w:p w:rsidR="006B1351" w:rsidRPr="00653A9D" w:rsidRDefault="009A308D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5</w:t>
            </w:r>
            <w:r w:rsidR="006B1351" w:rsidRPr="00653A9D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shd w:val="clear" w:color="auto" w:fill="auto"/>
            <w:vAlign w:val="center"/>
          </w:tcPr>
          <w:p w:rsidR="003B083F" w:rsidRPr="00653A9D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653A9D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lastRenderedPageBreak/>
              <w:t>së provimit:</w:t>
            </w:r>
          </w:p>
        </w:tc>
        <w:tc>
          <w:tcPr>
            <w:tcW w:w="3758" w:type="pct"/>
            <w:gridSpan w:val="7"/>
            <w:shd w:val="clear" w:color="auto" w:fill="auto"/>
            <w:vAlign w:val="center"/>
          </w:tcPr>
          <w:p w:rsidR="008116E1" w:rsidRPr="00653A9D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lastRenderedPageBreak/>
              <w:t>Testimi gjatë vitit, seminaret dhe provimi përfundimtar.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E2A5E" w:rsidRPr="00653A9D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8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E2A5E" w:rsidRPr="00653A9D" w:rsidRDefault="000E2A5E" w:rsidP="00F454D7">
            <w:pPr>
              <w:pStyle w:val="NoSpacing"/>
              <w:numPr>
                <w:ilvl w:val="0"/>
                <w:numId w:val="26"/>
              </w:numPr>
              <w:ind w:left="357" w:hanging="357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Fejzullah Krasniqi: </w:t>
            </w:r>
            <w:r w:rsidRPr="00653A9D">
              <w:rPr>
                <w:i/>
                <w:sz w:val="22"/>
                <w:szCs w:val="22"/>
                <w:lang w:val="sq-AL"/>
              </w:rPr>
              <w:t>Termocentralet e Kosovës</w:t>
            </w:r>
            <w:r w:rsidRPr="00653A9D">
              <w:rPr>
                <w:sz w:val="22"/>
                <w:szCs w:val="22"/>
                <w:lang w:val="sq-AL"/>
              </w:rPr>
              <w:t>, ASHAK. Prishtinë, 2014</w:t>
            </w:r>
            <w:r w:rsidRPr="00653A9D">
              <w:rPr>
                <w:b/>
                <w:sz w:val="22"/>
                <w:szCs w:val="22"/>
                <w:lang w:val="sq-AL"/>
              </w:rPr>
              <w:t>.</w:t>
            </w:r>
          </w:p>
          <w:p w:rsidR="000E2A5E" w:rsidRPr="00653A9D" w:rsidRDefault="000E2A5E" w:rsidP="00F454D7">
            <w:pPr>
              <w:pStyle w:val="NoSpacing"/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Fejzullah </w:t>
            </w:r>
            <w:r w:rsidR="00F454D7" w:rsidRPr="00653A9D">
              <w:rPr>
                <w:sz w:val="22"/>
                <w:szCs w:val="22"/>
                <w:lang w:val="sq-AL"/>
              </w:rPr>
              <w:t>Krasniqi:</w:t>
            </w:r>
            <w:r w:rsidR="00F454D7" w:rsidRPr="00653A9D">
              <w:rPr>
                <w:i/>
                <w:sz w:val="22"/>
                <w:szCs w:val="22"/>
                <w:lang w:val="sq-AL"/>
              </w:rPr>
              <w:t xml:space="preserve"> Termofikimi</w:t>
            </w:r>
            <w:r w:rsidRPr="00653A9D">
              <w:rPr>
                <w:i/>
                <w:sz w:val="22"/>
                <w:szCs w:val="22"/>
                <w:lang w:val="sq-AL"/>
              </w:rPr>
              <w:t xml:space="preserve"> dhe rrjetet termike</w:t>
            </w:r>
            <w:r w:rsidRPr="00653A9D">
              <w:rPr>
                <w:sz w:val="22"/>
                <w:szCs w:val="22"/>
                <w:lang w:val="sq-AL"/>
              </w:rPr>
              <w:t>. ASHAK, Prishtinë, 2010.</w:t>
            </w:r>
          </w:p>
          <w:p w:rsidR="000E2A5E" w:rsidRPr="00124D0B" w:rsidRDefault="000E2A5E" w:rsidP="00124D0B">
            <w:pPr>
              <w:pStyle w:val="NoSpacing"/>
              <w:numPr>
                <w:ilvl w:val="0"/>
                <w:numId w:val="26"/>
              </w:numPr>
              <w:ind w:left="357" w:hanging="357"/>
              <w:rPr>
                <w:sz w:val="22"/>
                <w:szCs w:val="22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Drenusha Krasniqi: </w:t>
            </w:r>
            <w:r w:rsidRPr="00653A9D">
              <w:rPr>
                <w:i/>
                <w:sz w:val="22"/>
                <w:szCs w:val="22"/>
                <w:lang w:val="sq-AL"/>
              </w:rPr>
              <w:t>Energy and Exergy analysis of working cycles with cogeneration of coal-fierd thermal power plants</w:t>
            </w:r>
            <w:r w:rsidRPr="00653A9D">
              <w:rPr>
                <w:sz w:val="22"/>
                <w:szCs w:val="22"/>
                <w:lang w:val="sq-AL"/>
              </w:rPr>
              <w:t>, Monograph, Faculty of Mechanical Engineering, Prishtinë, 2019</w:t>
            </w:r>
            <w:r w:rsidRPr="00653A9D">
              <w:rPr>
                <w:b/>
                <w:sz w:val="22"/>
                <w:szCs w:val="22"/>
                <w:lang w:val="sq-AL"/>
              </w:rPr>
              <w:t>.</w:t>
            </w:r>
          </w:p>
        </w:tc>
      </w:tr>
      <w:tr w:rsidR="00827699" w:rsidRPr="00653A9D" w:rsidTr="00653A9D">
        <w:trPr>
          <w:trHeight w:val="312"/>
        </w:trPr>
        <w:tc>
          <w:tcPr>
            <w:tcW w:w="1242" w:type="pct"/>
            <w:vAlign w:val="center"/>
          </w:tcPr>
          <w:p w:rsidR="000E2A5E" w:rsidRPr="00653A9D" w:rsidRDefault="000E2A5E" w:rsidP="000E2A5E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653A9D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0E2A5E" w:rsidRPr="00653A9D" w:rsidRDefault="000E2A5E" w:rsidP="000E2A5E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8" w:type="pct"/>
            <w:gridSpan w:val="7"/>
            <w:vAlign w:val="center"/>
          </w:tcPr>
          <w:p w:rsidR="00827699" w:rsidRPr="00653A9D" w:rsidRDefault="00827699" w:rsidP="00827699">
            <w:pPr>
              <w:pStyle w:val="NoSpacing"/>
              <w:numPr>
                <w:ilvl w:val="0"/>
                <w:numId w:val="29"/>
              </w:numPr>
              <w:ind w:left="357" w:hanging="357"/>
              <w:jc w:val="both"/>
              <w:rPr>
                <w:b/>
                <w:bCs/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 xml:space="preserve">Cengel YA, Boles M: </w:t>
            </w:r>
            <w:r w:rsidRPr="00653A9D">
              <w:rPr>
                <w:i/>
                <w:sz w:val="22"/>
                <w:szCs w:val="22"/>
                <w:lang w:val="sq-AL"/>
              </w:rPr>
              <w:t>Thermodynamics An Enineering Approach</w:t>
            </w:r>
            <w:r w:rsidRPr="00653A9D">
              <w:rPr>
                <w:sz w:val="22"/>
                <w:szCs w:val="22"/>
                <w:lang w:val="sq-AL"/>
              </w:rPr>
              <w:t>, 5</w:t>
            </w:r>
            <w:r w:rsidRPr="00653A9D">
              <w:rPr>
                <w:sz w:val="22"/>
                <w:szCs w:val="22"/>
                <w:vertAlign w:val="superscript"/>
                <w:lang w:val="sq-AL"/>
              </w:rPr>
              <w:t>th</w:t>
            </w:r>
            <w:r w:rsidRPr="00653A9D">
              <w:rPr>
                <w:sz w:val="22"/>
                <w:szCs w:val="22"/>
                <w:lang w:val="sq-AL"/>
              </w:rPr>
              <w:t xml:space="preserve"> ed. McGraw-Hill, New York, 2006.</w:t>
            </w:r>
          </w:p>
          <w:p w:rsidR="00827699" w:rsidRPr="00653A9D" w:rsidRDefault="00827699" w:rsidP="00827699">
            <w:pPr>
              <w:pStyle w:val="NoSpacing"/>
              <w:numPr>
                <w:ilvl w:val="0"/>
                <w:numId w:val="29"/>
              </w:numPr>
              <w:ind w:left="357" w:hanging="357"/>
              <w:jc w:val="both"/>
              <w:rPr>
                <w:b/>
                <w:bCs/>
                <w:sz w:val="22"/>
                <w:szCs w:val="22"/>
                <w:lang w:val="sq-AL"/>
              </w:rPr>
            </w:pPr>
            <w:r w:rsidRPr="00653A9D">
              <w:rPr>
                <w:sz w:val="22"/>
                <w:szCs w:val="22"/>
                <w:lang w:val="sq-AL"/>
              </w:rPr>
              <w:t>Michael J Moran, Howard N.Shapiro, Daisie D. Boettner, Margaret B. Bailey:</w:t>
            </w:r>
            <w:r w:rsidRPr="00653A9D">
              <w:rPr>
                <w:i/>
                <w:sz w:val="22"/>
                <w:szCs w:val="22"/>
                <w:lang w:val="sq-AL"/>
              </w:rPr>
              <w:t xml:space="preserve"> Fundamentals of Engineering Thermodynamics</w:t>
            </w:r>
            <w:r w:rsidRPr="00653A9D">
              <w:rPr>
                <w:sz w:val="22"/>
                <w:szCs w:val="22"/>
                <w:lang w:val="sq-AL"/>
              </w:rPr>
              <w:t>, seven edition, 2011.</w:t>
            </w:r>
          </w:p>
          <w:p w:rsidR="00827699" w:rsidRPr="00653A9D" w:rsidRDefault="00827699" w:rsidP="00827699">
            <w:pPr>
              <w:pStyle w:val="ListParagraph"/>
              <w:numPr>
                <w:ilvl w:val="0"/>
                <w:numId w:val="29"/>
              </w:numPr>
              <w:tabs>
                <w:tab w:val="left" w:pos="384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53A9D">
              <w:rPr>
                <w:sz w:val="22"/>
                <w:szCs w:val="22"/>
              </w:rPr>
              <w:t xml:space="preserve">Claus Borgnakke, Richard E. Sonntag: </w:t>
            </w:r>
            <w:r w:rsidRPr="00653A9D">
              <w:rPr>
                <w:i/>
                <w:sz w:val="22"/>
                <w:szCs w:val="22"/>
              </w:rPr>
              <w:t>Fundamentals of Thermodynamics</w:t>
            </w:r>
            <w:r w:rsidRPr="00653A9D">
              <w:rPr>
                <w:sz w:val="22"/>
                <w:szCs w:val="22"/>
              </w:rPr>
              <w:t>, Seven Editon 2009.</w:t>
            </w:r>
          </w:p>
          <w:p w:rsidR="000E2A5E" w:rsidRPr="00653A9D" w:rsidRDefault="00827699" w:rsidP="00124D0B">
            <w:pPr>
              <w:pStyle w:val="ListParagraph"/>
              <w:numPr>
                <w:ilvl w:val="0"/>
                <w:numId w:val="29"/>
              </w:numPr>
              <w:ind w:left="357" w:hanging="357"/>
              <w:rPr>
                <w:sz w:val="22"/>
                <w:szCs w:val="22"/>
              </w:rPr>
            </w:pPr>
            <w:r w:rsidRPr="00653A9D">
              <w:rPr>
                <w:sz w:val="22"/>
                <w:szCs w:val="22"/>
              </w:rPr>
              <w:t xml:space="preserve">Hysen Agolli, Flamur Bidaj, Gjergj File: </w:t>
            </w:r>
            <w:r w:rsidRPr="00653A9D">
              <w:rPr>
                <w:i/>
                <w:sz w:val="22"/>
                <w:szCs w:val="22"/>
              </w:rPr>
              <w:t>Makina 1</w:t>
            </w:r>
            <w:r w:rsidRPr="00653A9D">
              <w:rPr>
                <w:sz w:val="22"/>
                <w:szCs w:val="22"/>
              </w:rPr>
              <w:t>, ShBLU, Tiranë, 2008.</w:t>
            </w:r>
          </w:p>
        </w:tc>
      </w:tr>
    </w:tbl>
    <w:p w:rsidR="00B815D1" w:rsidRPr="00653A9D" w:rsidRDefault="00B815D1" w:rsidP="0097287C">
      <w:pPr>
        <w:rPr>
          <w:b/>
          <w:sz w:val="22"/>
          <w:szCs w:val="22"/>
          <w:lang w:val="sq-AL"/>
        </w:rPr>
      </w:pPr>
      <w:bookmarkStart w:id="0" w:name="_GoBack"/>
      <w:bookmarkEnd w:id="0"/>
    </w:p>
    <w:sectPr w:rsidR="00B815D1" w:rsidRPr="00653A9D" w:rsidSect="00653A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11" w:rsidRDefault="00FB2911">
      <w:r>
        <w:separator/>
      </w:r>
    </w:p>
  </w:endnote>
  <w:endnote w:type="continuationSeparator" w:id="0">
    <w:p w:rsidR="00FB2911" w:rsidRDefault="00FB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980CC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980CC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1E6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11" w:rsidRDefault="00FB2911">
      <w:r>
        <w:separator/>
      </w:r>
    </w:p>
  </w:footnote>
  <w:footnote w:type="continuationSeparator" w:id="0">
    <w:p w:rsidR="00FB2911" w:rsidRDefault="00FB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F11"/>
    <w:multiLevelType w:val="hybridMultilevel"/>
    <w:tmpl w:val="6108DF30"/>
    <w:lvl w:ilvl="0" w:tplc="D046B7B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9"/>
  </w:num>
  <w:num w:numId="5">
    <w:abstractNumId w:val="18"/>
  </w:num>
  <w:num w:numId="6">
    <w:abstractNumId w:val="16"/>
  </w:num>
  <w:num w:numId="7">
    <w:abstractNumId w:val="0"/>
  </w:num>
  <w:num w:numId="8">
    <w:abstractNumId w:val="13"/>
  </w:num>
  <w:num w:numId="9">
    <w:abstractNumId w:val="27"/>
  </w:num>
  <w:num w:numId="10">
    <w:abstractNumId w:val="17"/>
  </w:num>
  <w:num w:numId="11">
    <w:abstractNumId w:val="26"/>
  </w:num>
  <w:num w:numId="12">
    <w:abstractNumId w:val="25"/>
  </w:num>
  <w:num w:numId="13">
    <w:abstractNumId w:val="24"/>
  </w:num>
  <w:num w:numId="14">
    <w:abstractNumId w:val="28"/>
  </w:num>
  <w:num w:numId="15">
    <w:abstractNumId w:val="1"/>
  </w:num>
  <w:num w:numId="16">
    <w:abstractNumId w:val="30"/>
  </w:num>
  <w:num w:numId="17">
    <w:abstractNumId w:val="10"/>
  </w:num>
  <w:num w:numId="18">
    <w:abstractNumId w:val="6"/>
  </w:num>
  <w:num w:numId="19">
    <w:abstractNumId w:val="15"/>
  </w:num>
  <w:num w:numId="20">
    <w:abstractNumId w:val="3"/>
  </w:num>
  <w:num w:numId="21">
    <w:abstractNumId w:val="2"/>
  </w:num>
  <w:num w:numId="22">
    <w:abstractNumId w:val="12"/>
  </w:num>
  <w:num w:numId="23">
    <w:abstractNumId w:val="14"/>
  </w:num>
  <w:num w:numId="24">
    <w:abstractNumId w:val="20"/>
  </w:num>
  <w:num w:numId="25">
    <w:abstractNumId w:val="4"/>
  </w:num>
  <w:num w:numId="26">
    <w:abstractNumId w:val="29"/>
  </w:num>
  <w:num w:numId="27">
    <w:abstractNumId w:val="9"/>
  </w:num>
  <w:num w:numId="28">
    <w:abstractNumId w:val="21"/>
  </w:num>
  <w:num w:numId="29">
    <w:abstractNumId w:val="11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246"/>
    <w:rsid w:val="00004B39"/>
    <w:rsid w:val="00012747"/>
    <w:rsid w:val="00012981"/>
    <w:rsid w:val="0002108E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D59B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24D0B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2E5B"/>
    <w:rsid w:val="001C1E50"/>
    <w:rsid w:val="001C25D5"/>
    <w:rsid w:val="001C32B4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6F2C"/>
    <w:rsid w:val="002579F2"/>
    <w:rsid w:val="002610A3"/>
    <w:rsid w:val="00261803"/>
    <w:rsid w:val="00264365"/>
    <w:rsid w:val="002951ED"/>
    <w:rsid w:val="002B1DC0"/>
    <w:rsid w:val="002B3E91"/>
    <w:rsid w:val="002B5A40"/>
    <w:rsid w:val="002C00FA"/>
    <w:rsid w:val="002C1F4D"/>
    <w:rsid w:val="002D3069"/>
    <w:rsid w:val="002E528C"/>
    <w:rsid w:val="002E6A16"/>
    <w:rsid w:val="002F41DF"/>
    <w:rsid w:val="0030354C"/>
    <w:rsid w:val="00305666"/>
    <w:rsid w:val="00307B66"/>
    <w:rsid w:val="00307DFC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552"/>
    <w:rsid w:val="004D62A5"/>
    <w:rsid w:val="004F09A5"/>
    <w:rsid w:val="00502BFB"/>
    <w:rsid w:val="00507628"/>
    <w:rsid w:val="00511192"/>
    <w:rsid w:val="0051408C"/>
    <w:rsid w:val="00515F06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74266"/>
    <w:rsid w:val="00590532"/>
    <w:rsid w:val="005A3DE0"/>
    <w:rsid w:val="005B31A3"/>
    <w:rsid w:val="005B51E2"/>
    <w:rsid w:val="005C03CA"/>
    <w:rsid w:val="005E4B70"/>
    <w:rsid w:val="005E6D3E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3A9D"/>
    <w:rsid w:val="00655B28"/>
    <w:rsid w:val="006563F7"/>
    <w:rsid w:val="00656804"/>
    <w:rsid w:val="006621F2"/>
    <w:rsid w:val="0066348B"/>
    <w:rsid w:val="0067035A"/>
    <w:rsid w:val="0068683E"/>
    <w:rsid w:val="00693A08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17716"/>
    <w:rsid w:val="00725BE2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8EC"/>
    <w:rsid w:val="00791BC3"/>
    <w:rsid w:val="00795F89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27699"/>
    <w:rsid w:val="00831D9D"/>
    <w:rsid w:val="008365E5"/>
    <w:rsid w:val="008456D4"/>
    <w:rsid w:val="00857D37"/>
    <w:rsid w:val="008615FB"/>
    <w:rsid w:val="00865041"/>
    <w:rsid w:val="00870575"/>
    <w:rsid w:val="008716C3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0CCE"/>
    <w:rsid w:val="009827B1"/>
    <w:rsid w:val="009869DE"/>
    <w:rsid w:val="009A308D"/>
    <w:rsid w:val="009A685E"/>
    <w:rsid w:val="009B391F"/>
    <w:rsid w:val="009B3F0A"/>
    <w:rsid w:val="009B71E6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AF33FE"/>
    <w:rsid w:val="00B05FB3"/>
    <w:rsid w:val="00B25E62"/>
    <w:rsid w:val="00B35215"/>
    <w:rsid w:val="00B35AC6"/>
    <w:rsid w:val="00B36FC8"/>
    <w:rsid w:val="00B379C2"/>
    <w:rsid w:val="00B420CD"/>
    <w:rsid w:val="00B44812"/>
    <w:rsid w:val="00B44D68"/>
    <w:rsid w:val="00B44ECE"/>
    <w:rsid w:val="00B51264"/>
    <w:rsid w:val="00B5432C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A0AC6"/>
    <w:rsid w:val="00CC5F55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54D6"/>
    <w:rsid w:val="00D76B8E"/>
    <w:rsid w:val="00D816E9"/>
    <w:rsid w:val="00D90C4D"/>
    <w:rsid w:val="00DA326F"/>
    <w:rsid w:val="00DB2823"/>
    <w:rsid w:val="00DB3514"/>
    <w:rsid w:val="00DC0B07"/>
    <w:rsid w:val="00DC4D68"/>
    <w:rsid w:val="00DE4CE4"/>
    <w:rsid w:val="00DF6543"/>
    <w:rsid w:val="00DF7F98"/>
    <w:rsid w:val="00E03D11"/>
    <w:rsid w:val="00E1102B"/>
    <w:rsid w:val="00E14E0F"/>
    <w:rsid w:val="00E16E27"/>
    <w:rsid w:val="00E339D2"/>
    <w:rsid w:val="00E36D5B"/>
    <w:rsid w:val="00E4747A"/>
    <w:rsid w:val="00E50687"/>
    <w:rsid w:val="00E64FDE"/>
    <w:rsid w:val="00E97CA2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50E5"/>
    <w:rsid w:val="00F26741"/>
    <w:rsid w:val="00F33E76"/>
    <w:rsid w:val="00F34048"/>
    <w:rsid w:val="00F34158"/>
    <w:rsid w:val="00F36A8F"/>
    <w:rsid w:val="00F373F6"/>
    <w:rsid w:val="00F4105C"/>
    <w:rsid w:val="00F4331E"/>
    <w:rsid w:val="00F43364"/>
    <w:rsid w:val="00F448F1"/>
    <w:rsid w:val="00F44C64"/>
    <w:rsid w:val="00F454D7"/>
    <w:rsid w:val="00F47480"/>
    <w:rsid w:val="00F5660C"/>
    <w:rsid w:val="00F67C11"/>
    <w:rsid w:val="00F870A0"/>
    <w:rsid w:val="00FB050B"/>
    <w:rsid w:val="00FB0B2C"/>
    <w:rsid w:val="00FB102C"/>
    <w:rsid w:val="00FB2911"/>
    <w:rsid w:val="00FB3696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1E0648-87F9-4F6F-B0CB-06D1564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E5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30FA-2902-4790-B476-6068C68B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drenusha</cp:lastModifiedBy>
  <cp:revision>20</cp:revision>
  <cp:lastPrinted>2011-03-07T09:39:00Z</cp:lastPrinted>
  <dcterms:created xsi:type="dcterms:W3CDTF">2020-05-02T22:07:00Z</dcterms:created>
  <dcterms:modified xsi:type="dcterms:W3CDTF">2023-04-20T11:41:00Z</dcterms:modified>
</cp:coreProperties>
</file>