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3D06C" w14:textId="77777777" w:rsidR="00EB07B8" w:rsidRPr="00236199" w:rsidRDefault="00236199" w:rsidP="0023619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bookmarkStart w:id="0" w:name="_GoBack"/>
      <w:bookmarkEnd w:id="0"/>
      <w:r w:rsidRPr="0023619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PLANPROGRAM</w:t>
      </w:r>
    </w:p>
    <w:p w14:paraId="374F7EB3" w14:textId="77777777" w:rsidR="00236199" w:rsidRDefault="00236199" w:rsidP="0023619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FBC6D18" w14:textId="77777777" w:rsidR="00236199" w:rsidRDefault="00236199" w:rsidP="0023619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23619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 DREJTA ND</w:t>
      </w:r>
      <w:r w:rsidR="0089617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TARE TREGTARE</w:t>
      </w:r>
    </w:p>
    <w:p w14:paraId="7AB22A46" w14:textId="77777777" w:rsidR="00236199" w:rsidRDefault="00236199" w:rsidP="002361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Master</w:t>
      </w:r>
    </w:p>
    <w:p w14:paraId="200CC9AD" w14:textId="77777777" w:rsidR="00236199" w:rsidRDefault="00236199" w:rsidP="002361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Drejtimi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tar</w:t>
      </w:r>
    </w:p>
    <w:p w14:paraId="25A1AA45" w14:textId="77777777" w:rsidR="00236199" w:rsidRDefault="00236199" w:rsidP="002361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460DEA4A" w14:textId="77777777" w:rsidR="00236199" w:rsidRDefault="00236199" w:rsidP="002361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Orari i Ligj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ratave: </w:t>
      </w:r>
      <w:r w:rsid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Cdo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premte nga ora 14:00</w:t>
      </w:r>
    </w:p>
    <w:p w14:paraId="1EE1EED4" w14:textId="77777777" w:rsidR="00AC37C3" w:rsidRDefault="00236199" w:rsidP="002361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Konsultimet: 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ab/>
        <w:t>Cdo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premte nga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ora 13:00 dhe nepermjet emailit </w:t>
      </w:r>
      <w:hyperlink r:id="rId7" w:history="1">
        <w:r w:rsidR="0089617A" w:rsidRPr="00B10295">
          <w:rPr>
            <w:rStyle w:val="Hyperlink"/>
            <w:rFonts w:ascii="TimesNewRomanPS-BoldMT" w:hAnsi="TimesNewRomanPS-BoldMT" w:cs="TimesNewRomanPS-BoldMT"/>
            <w:bCs/>
            <w:sz w:val="24"/>
            <w:szCs w:val="24"/>
          </w:rPr>
          <w:t>vjosao@yahoo.com</w:t>
        </w:r>
      </w:hyperlink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</w:t>
      </w:r>
    </w:p>
    <w:p w14:paraId="5C93FB9A" w14:textId="77777777" w:rsidR="00AC37C3" w:rsidRDefault="00AC37C3" w:rsidP="002361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342832D0" w14:textId="77777777" w:rsidR="00236199" w:rsidRDefault="00236199" w:rsidP="002361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053236AC" w14:textId="77777777" w:rsidR="00AC37C3" w:rsidRPr="00AC37C3" w:rsidRDefault="00AC37C3" w:rsidP="0023619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AC37C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Q</w:t>
      </w:r>
      <w:r w:rsidR="0089617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ë</w:t>
      </w:r>
      <w:r w:rsidRPr="00AC37C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llimi i L</w:t>
      </w:r>
      <w:r w:rsidR="0089617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ë</w:t>
      </w:r>
      <w:r w:rsidRPr="00AC37C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nd</w:t>
      </w:r>
      <w:r w:rsidR="0089617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ë</w:t>
      </w:r>
      <w:r w:rsidRPr="00AC37C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</w:t>
      </w:r>
    </w:p>
    <w:p w14:paraId="7268278B" w14:textId="77777777" w:rsidR="00AC37C3" w:rsidRDefault="00AC37C3" w:rsidP="0023619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20C1EF24" w14:textId="77777777" w:rsidR="00236199" w:rsidRDefault="00236199" w:rsidP="0023619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Kjo l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ka 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llim studimin e rregullave ligjore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rregullojn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sistemin e tregtis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tare.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tjera, kjo do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rfshij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organizatat dhe marr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veshjet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tare dhe rajonale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tregtis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, sic jan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</w:t>
      </w:r>
      <w:r w:rsidR="00985986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W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TO (Organizata Bot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rore e Tregtis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), CEFTA (Central European Free Trade Agreement), NAFTA (North American Free Trade Agreement) dhe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tjera. C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shtjet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dalin nga zbatimi I k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tyre Marr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veshjeve poashtu do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studjohen, me fokus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23619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zgjidhjen e kontesteve tregtare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lidhen me moszbatimin e pjes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ve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caktuara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tyre marr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veshjeve. </w:t>
      </w:r>
    </w:p>
    <w:p w14:paraId="4B00046E" w14:textId="77777777" w:rsidR="00236199" w:rsidRDefault="00236199" w:rsidP="0023619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5AB6CD52" w14:textId="77777777" w:rsidR="00236199" w:rsidRPr="00236199" w:rsidRDefault="00236199" w:rsidP="0023619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Zgjidhja e konflikteve/kontesteve mes pal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ve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lidhen me tregti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tare do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j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pjes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kyqe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ligj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ratave dhe ushtrimeve. 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 k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llim, studentet do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analizojn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dhe prezentojn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role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pal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ve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raste konkrete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zgjidhura nga panele apo gjykata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tare. Ata, poashtu, do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prezentojn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edhe zgjidhje konkrete 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 k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to konteste,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rmjet metodave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ndryshme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zgjidhjes alternative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kontesteve (ADR) sic jan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: arbitrazhi, negociatat dhe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rmjet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simi. 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Zgjidhja e kontesteve do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ndrohet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tri segmente kryesore: 1. Zgjighja e kontesteve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OBT; 2. Zgjidhja e kontesteve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sistemin evropian, dhe 3. Zgjidhja e kontesteve nga kontratat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tare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shitjes s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mallrave.</w:t>
      </w:r>
    </w:p>
    <w:p w14:paraId="31EFA911" w14:textId="77777777" w:rsidR="00236199" w:rsidRDefault="00236199" w:rsidP="00EB07B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235C8B1" w14:textId="77777777" w:rsidR="00E070D5" w:rsidRDefault="00E070D5" w:rsidP="00AC3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Nj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pjes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e r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sishme e ligjeratave dhe ushtrimeve do t’</w:t>
      </w:r>
      <w:r w:rsidR="00AC37C3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i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dedikohet studimit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transaksioneve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tare (kontratat e eksportit dhe importit) dhe rregullave ligjore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kan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jn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me k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to transaksione. 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 m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tep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r, c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shtje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kan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jn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me letrat me vler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(LoC ) dhe dokumentet e tjera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transaksionit do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studiohen nga aspekti ligjor edhe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rmjet rasteve konkrete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vendosura nga gjykata e arbitrazhe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 w:rsidRPr="00E070D5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ndryshme. </w:t>
      </w:r>
    </w:p>
    <w:p w14:paraId="74610E22" w14:textId="77777777" w:rsidR="00AC37C3" w:rsidRDefault="00AC37C3" w:rsidP="00AC3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4A681467" w14:textId="77777777" w:rsidR="00AC37C3" w:rsidRDefault="00AC37C3" w:rsidP="00AC3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l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, do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analizohet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vecanti edhe Konventa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tare 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 Shitjen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tare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Mallrave (CISG),e cila 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sht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e aplikueshme edhe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Kosov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. Tregtia me mallra 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pjes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n m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r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sishme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tregtis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tare, dhe kjo konvent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sht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dokumenti kryesor ligjor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m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nyr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uniforme ka 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rcaktuar rregullat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duhet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aplikohen nga gjykatat apo forumet e tjera p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zgjidhur kontestet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dalin nga kontratat me karakter nd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rkomb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tar. Prandaj, gjat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ligj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ratave dhe ushtrimeve, studentet do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analizojn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rregullat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Konvent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kan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jn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me formimin e kontratave,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drejtat dhe detyrimet e pal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ve, kompenzimin e d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mit si dhe aplikueshm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rin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e 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lastRenderedPageBreak/>
        <w:t>k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saj konvente 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shtete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ndryshme duke pasur poashtu parasysh c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shtje q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kan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b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jn</w:t>
      </w:r>
      <w:r w:rsidR="0089617A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ë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me suksedimin e traktateve si dhe rezervimet e deklarimet e shteteve me rastin e ratifikimit. </w:t>
      </w:r>
    </w:p>
    <w:p w14:paraId="15E39C8C" w14:textId="77777777" w:rsidR="00AC37C3" w:rsidRDefault="00AC37C3" w:rsidP="00AC3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7F95444" w14:textId="77777777" w:rsidR="00090A08" w:rsidRDefault="00090A08" w:rsidP="00EB07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3229164" w14:textId="77777777" w:rsidR="0089617A" w:rsidRDefault="0089617A" w:rsidP="00EB07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0307741" w14:textId="77777777" w:rsidR="0089617A" w:rsidRDefault="0089617A" w:rsidP="00EB07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610"/>
        <w:gridCol w:w="7200"/>
        <w:gridCol w:w="3348"/>
      </w:tblGrid>
      <w:tr w:rsidR="00AD1143" w14:paraId="354F69B1" w14:textId="77777777" w:rsidTr="00390CB7">
        <w:tc>
          <w:tcPr>
            <w:tcW w:w="738" w:type="dxa"/>
          </w:tcPr>
          <w:p w14:paraId="4E5BCEDB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2610" w:type="dxa"/>
          </w:tcPr>
          <w:p w14:paraId="331B8405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7200" w:type="dxa"/>
          </w:tcPr>
          <w:p w14:paraId="41A49333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Materiali</w:t>
            </w:r>
          </w:p>
        </w:tc>
        <w:tc>
          <w:tcPr>
            <w:tcW w:w="3348" w:type="dxa"/>
          </w:tcPr>
          <w:p w14:paraId="61AFEE22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Te tjera</w:t>
            </w:r>
          </w:p>
        </w:tc>
      </w:tr>
      <w:tr w:rsidR="00AD1143" w14:paraId="72AEA07E" w14:textId="77777777" w:rsidTr="00390CB7">
        <w:tc>
          <w:tcPr>
            <w:tcW w:w="738" w:type="dxa"/>
          </w:tcPr>
          <w:p w14:paraId="42966EE3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028CE29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879D09D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8" w:type="dxa"/>
          </w:tcPr>
          <w:p w14:paraId="5444E915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1143" w14:paraId="165E2088" w14:textId="77777777" w:rsidTr="00390CB7">
        <w:tc>
          <w:tcPr>
            <w:tcW w:w="738" w:type="dxa"/>
          </w:tcPr>
          <w:p w14:paraId="3050081F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14:paraId="09545AF7" w14:textId="77777777" w:rsidR="00090A08" w:rsidRPr="00AD1143" w:rsidRDefault="00090A08" w:rsidP="00AD1143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Hyrje n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t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Drejt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n Nd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rkomb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tare Tregtare</w:t>
            </w:r>
          </w:p>
          <w:p w14:paraId="04327712" w14:textId="77777777" w:rsidR="00090A08" w:rsidRPr="00AD1143" w:rsidRDefault="00090A08" w:rsidP="00090A08">
            <w:pPr>
              <w:autoSpaceDE w:val="0"/>
              <w:autoSpaceDN w:val="0"/>
              <w:adjustRightInd w:val="0"/>
              <w:ind w:left="36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  <w:p w14:paraId="1F0EB001" w14:textId="77777777" w:rsidR="00090A08" w:rsidRPr="00AD1143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182CE43" w14:textId="77777777" w:rsidR="00090A08" w:rsidRDefault="00090A08" w:rsidP="00090A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Prezentimi i Planprogramit</w:t>
            </w:r>
          </w:p>
          <w:p w14:paraId="622FA725" w14:textId="77777777" w:rsidR="00390CB7" w:rsidRPr="00090A08" w:rsidRDefault="00390CB7" w:rsidP="00390CB7">
            <w:pPr>
              <w:pStyle w:val="ListParagraph"/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592C293B" w14:textId="77777777" w:rsidR="00090A08" w:rsidRPr="00090A08" w:rsidRDefault="00090A08" w:rsidP="00090A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Prezentimi i materialieve t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l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nd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</w:t>
            </w:r>
          </w:p>
          <w:p w14:paraId="0E36A0C4" w14:textId="77777777" w:rsidR="00090A08" w:rsidRPr="00090A08" w:rsidRDefault="00090A08" w:rsidP="00090A08">
            <w:pPr>
              <w:pStyle w:val="ListParagraph"/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8" w:type="dxa"/>
          </w:tcPr>
          <w:p w14:paraId="60C23AFF" w14:textId="77777777" w:rsidR="00090A08" w:rsidRPr="00AD1143" w:rsidRDefault="00090A08" w:rsidP="00AD1143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Prezentimi i rregullave q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do t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respektojn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Profesori dhe student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t (pjes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marrja, aktiviteti, prezentimet, p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rgatitja e materialeve, rregullat rreth plagjiarizmit, etj)</w:t>
            </w:r>
          </w:p>
        </w:tc>
      </w:tr>
      <w:tr w:rsidR="00AD1143" w14:paraId="63B51769" w14:textId="77777777" w:rsidTr="00390CB7">
        <w:tc>
          <w:tcPr>
            <w:tcW w:w="738" w:type="dxa"/>
          </w:tcPr>
          <w:p w14:paraId="3412B75B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14:paraId="4D10EF81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Rregullat e aplikueshme t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t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drejt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s nd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rkomb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tare tregtare n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Kosov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</w:p>
          <w:p w14:paraId="1DC112B7" w14:textId="77777777" w:rsidR="00AD1143" w:rsidRPr="00AD1143" w:rsidRDefault="00AD1143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2F7AAB5" w14:textId="77777777" w:rsidR="00090A08" w:rsidRPr="00090A08" w:rsidRDefault="00090A08" w:rsidP="00090A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Shembuj nga ligjet e aplikueshme n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Kosov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t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cilat kan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b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nj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s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konventash nd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rkomb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tare t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aplikueshme n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Kosov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</w:p>
          <w:p w14:paraId="425CAC62" w14:textId="77777777" w:rsidR="00090A08" w:rsidRPr="00090A08" w:rsidRDefault="00090A08" w:rsidP="00090A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Shembuj t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Marr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veshje t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Tregtis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s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Lir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</w:p>
        </w:tc>
        <w:tc>
          <w:tcPr>
            <w:tcW w:w="3348" w:type="dxa"/>
          </w:tcPr>
          <w:p w14:paraId="784E0224" w14:textId="77777777" w:rsidR="00090A08" w:rsidRP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Materialet specifike do t’u d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rgohen student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ve paraprakisht nga Ligj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ruesja e l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nd</w:t>
            </w:r>
            <w:r w:rsidR="00AD1143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090A0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AD1143" w14:paraId="783D44F1" w14:textId="77777777" w:rsidTr="00390CB7">
        <w:tc>
          <w:tcPr>
            <w:tcW w:w="738" w:type="dxa"/>
          </w:tcPr>
          <w:p w14:paraId="35500C8F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14:paraId="5AFE95A0" w14:textId="77777777" w:rsidR="00090A08" w:rsidRPr="00AD1143" w:rsidRDefault="00090A08" w:rsidP="00090A0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Organizata Bot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rore e Tregtis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- OBT (</w:t>
            </w:r>
            <w:r w:rsidR="00AD1143"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W</w:t>
            </w: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TO)</w:t>
            </w:r>
          </w:p>
        </w:tc>
        <w:tc>
          <w:tcPr>
            <w:tcW w:w="7200" w:type="dxa"/>
          </w:tcPr>
          <w:p w14:paraId="73BF067F" w14:textId="77777777" w:rsidR="00090A08" w:rsidRDefault="00090A08" w:rsidP="00090A0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WTO’s website – KLIKO ne: “What is the WTO”</w:t>
            </w:r>
          </w:p>
          <w:p w14:paraId="02691B25" w14:textId="77777777" w:rsidR="00090A08" w:rsidRDefault="00090A08" w:rsidP="00090A0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FF"/>
                <w:sz w:val="24"/>
                <w:szCs w:val="24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</w:rPr>
              <w:t xml:space="preserve">http://www.wto.org/english/thewto_e/whatis_e/whatis_e.htm </w:t>
            </w:r>
          </w:p>
          <w:p w14:paraId="1543083A" w14:textId="77777777" w:rsidR="00090A08" w:rsidRDefault="00090A08" w:rsidP="00090A0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14:paraId="479F4BE0" w14:textId="77777777" w:rsidR="00090A08" w:rsidRDefault="00090A08" w:rsidP="00090A0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Poashtu lexo pjeset: “Who we</w:t>
            </w:r>
            <w:r w:rsidR="00390CB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are, What we do, and What we stand for”</w:t>
            </w:r>
            <w:r w:rsidR="0089617A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  <w:p w14:paraId="452EA0B3" w14:textId="77777777" w:rsidR="00090A08" w:rsidRDefault="00090A0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8" w:type="dxa"/>
          </w:tcPr>
          <w:p w14:paraId="28D7C214" w14:textId="77777777" w:rsidR="00090A08" w:rsidRPr="0089617A" w:rsidRDefault="0089617A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Student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t do t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diskutojn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 r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nd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sin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e ekzistimit t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k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saj organizate dhe benefitet q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shtetet mund t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ken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nga an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tar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simi n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89617A" w14:paraId="16AEF002" w14:textId="77777777" w:rsidTr="00390CB7">
        <w:tc>
          <w:tcPr>
            <w:tcW w:w="738" w:type="dxa"/>
          </w:tcPr>
          <w:p w14:paraId="618ABCEC" w14:textId="77777777" w:rsidR="0089617A" w:rsidRDefault="0089617A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610" w:type="dxa"/>
          </w:tcPr>
          <w:p w14:paraId="227E8ED1" w14:textId="77777777" w:rsidR="0089617A" w:rsidRPr="00AD1143" w:rsidRDefault="0089617A" w:rsidP="00090A0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Procesi i An</w:t>
            </w:r>
            <w:r w:rsid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tar</w:t>
            </w:r>
            <w:r w:rsid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simit n</w:t>
            </w:r>
            <w:r w:rsid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OBT</w:t>
            </w:r>
          </w:p>
        </w:tc>
        <w:tc>
          <w:tcPr>
            <w:tcW w:w="7200" w:type="dxa"/>
          </w:tcPr>
          <w:p w14:paraId="6C399CAC" w14:textId="77777777" w:rsidR="0089617A" w:rsidRDefault="0089617A" w:rsidP="00090A0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Sfidat e anwtarwsimit tw Kosovws nw OBT</w:t>
            </w:r>
          </w:p>
          <w:p w14:paraId="793C6DE3" w14:textId="77777777" w:rsidR="0089617A" w:rsidRDefault="0089617A" w:rsidP="00090A0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Shih kriteret dhe rregulat pwr anwtarwsim nw </w:t>
            </w:r>
            <w:hyperlink r:id="rId8" w:history="1">
              <w:r w:rsidRPr="00B10295">
                <w:rPr>
                  <w:rStyle w:val="Hyperlink"/>
                  <w:rFonts w:ascii="Cambria" w:hAnsi="Cambria" w:cs="Cambria"/>
                  <w:sz w:val="24"/>
                  <w:szCs w:val="24"/>
                </w:rPr>
                <w:t>www.wto.org</w:t>
              </w:r>
            </w:hyperlink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</w:tcPr>
          <w:p w14:paraId="1E50A3F7" w14:textId="77777777" w:rsidR="0089617A" w:rsidRPr="0089617A" w:rsidRDefault="0089617A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Student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t do t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rgatisin Aplikacionin e Kosov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 p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 An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tar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sim n</w:t>
            </w:r>
            <w:r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89617A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OBT</w:t>
            </w:r>
          </w:p>
        </w:tc>
      </w:tr>
      <w:tr w:rsidR="0089617A" w14:paraId="7AD9ADD3" w14:textId="77777777" w:rsidTr="00390CB7">
        <w:tc>
          <w:tcPr>
            <w:tcW w:w="738" w:type="dxa"/>
          </w:tcPr>
          <w:p w14:paraId="503A35D2" w14:textId="77777777" w:rsidR="0089617A" w:rsidRDefault="0089617A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42FA2DC" w14:textId="77777777" w:rsidR="0089617A" w:rsidRDefault="0089617A" w:rsidP="00090A0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287CF81" w14:textId="77777777" w:rsidR="0089617A" w:rsidRDefault="0089617A" w:rsidP="00090A0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348" w:type="dxa"/>
          </w:tcPr>
          <w:p w14:paraId="7F304BD2" w14:textId="77777777" w:rsidR="0089617A" w:rsidRDefault="0089617A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3670" w14:paraId="4B3D3026" w14:textId="77777777" w:rsidTr="00390CB7">
        <w:tc>
          <w:tcPr>
            <w:tcW w:w="738" w:type="dxa"/>
          </w:tcPr>
          <w:p w14:paraId="0BEE5F48" w14:textId="77777777" w:rsidR="000C3670" w:rsidRDefault="0089617A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14:paraId="52CA08B9" w14:textId="77777777" w:rsidR="000C3670" w:rsidRPr="00AD1143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  <w:p w14:paraId="2BBD8A8F" w14:textId="77777777" w:rsidR="000C3670" w:rsidRPr="00AD1143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Marrëveshjet Rajonale për Tregti të Lirë</w:t>
            </w:r>
          </w:p>
          <w:p w14:paraId="21795243" w14:textId="77777777" w:rsidR="000C3670" w:rsidRPr="00AD1143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lastRenderedPageBreak/>
              <w:t>CEFTA dhe NAFTA</w:t>
            </w:r>
          </w:p>
          <w:p w14:paraId="4655A4AA" w14:textId="77777777" w:rsidR="000C3670" w:rsidRPr="00AD1143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E9ADCCE" w14:textId="77777777" w:rsidR="000C3670" w:rsidRPr="002C1FA8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7615BCE0" w14:textId="77777777" w:rsidR="000C3670" w:rsidRPr="002C1FA8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Materialet rreth CEFTA: </w:t>
            </w:r>
            <w:hyperlink r:id="rId9" w:history="1">
              <w:r w:rsidRPr="002C1FA8">
                <w:rPr>
                  <w:rStyle w:val="Hyperlink"/>
                  <w:rFonts w:ascii="Cambria-Bold" w:hAnsi="Cambria-Bold" w:cs="Cambria-Bold"/>
                  <w:bCs/>
                  <w:sz w:val="24"/>
                  <w:szCs w:val="24"/>
                </w:rPr>
                <w:t>http://ceftatradeportal.com</w:t>
              </w:r>
            </w:hyperlink>
          </w:p>
          <w:p w14:paraId="3AFBC8BF" w14:textId="77777777" w:rsidR="000C3670" w:rsidRPr="002C1FA8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Teksti i marrwveshjes ne shqip: </w:t>
            </w:r>
            <w:hyperlink r:id="rId10" w:history="1">
              <w:r w:rsidRPr="002C1FA8">
                <w:rPr>
                  <w:rStyle w:val="Hyperlink"/>
                  <w:rFonts w:ascii="Cambria-Bold" w:hAnsi="Cambria-Bold" w:cs="Cambria-Bold"/>
                  <w:bCs/>
                  <w:sz w:val="24"/>
                  <w:szCs w:val="24"/>
                </w:rPr>
                <w:t>http://mti-ks.org/repository/docs/20070123165311_cefta.pdf</w:t>
              </w:r>
            </w:hyperlink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</w:t>
            </w:r>
          </w:p>
          <w:p w14:paraId="68512C76" w14:textId="77777777" w:rsidR="000C3670" w:rsidRPr="002C1FA8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lastRenderedPageBreak/>
              <w:t xml:space="preserve">Materialet rreth NAFTA: </w:t>
            </w:r>
            <w:hyperlink r:id="rId11" w:history="1">
              <w:r w:rsidRPr="002C1FA8">
                <w:rPr>
                  <w:rStyle w:val="Hyperlink"/>
                  <w:rFonts w:ascii="Cambria-Bold" w:hAnsi="Cambria-Bold" w:cs="Cambria-Bold"/>
                  <w:bCs/>
                  <w:sz w:val="24"/>
                  <w:szCs w:val="24"/>
                </w:rPr>
                <w:t>https://www.nafta-sec-alena.org/Home/Welcome</w:t>
              </w:r>
            </w:hyperlink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</w:tcPr>
          <w:p w14:paraId="0D23AC59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2C978104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Studentwt do tw analizojnw pjeswt konkrete qw kanw tw bwjnw me obligimet e palwve 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lastRenderedPageBreak/>
              <w:t>nw kwto marrwveshje</w:t>
            </w:r>
          </w:p>
        </w:tc>
      </w:tr>
      <w:tr w:rsidR="000C3670" w14:paraId="2E21CA15" w14:textId="77777777" w:rsidTr="00390CB7">
        <w:tc>
          <w:tcPr>
            <w:tcW w:w="738" w:type="dxa"/>
          </w:tcPr>
          <w:p w14:paraId="056CF667" w14:textId="77777777" w:rsidR="000C3670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</w:p>
          <w:p w14:paraId="403583AB" w14:textId="77777777" w:rsidR="000C3670" w:rsidRDefault="0089617A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14:paraId="6008FE14" w14:textId="77777777" w:rsidR="000C3670" w:rsidRPr="00AD1143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  <w:p w14:paraId="54081FA1" w14:textId="77777777" w:rsidR="000C3670" w:rsidRPr="00AD1143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AD1143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Kosova në CEFTA</w:t>
            </w:r>
          </w:p>
        </w:tc>
        <w:tc>
          <w:tcPr>
            <w:tcW w:w="7200" w:type="dxa"/>
          </w:tcPr>
          <w:p w14:paraId="56B23F93" w14:textId="77777777" w:rsidR="000C3670" w:rsidRPr="002C1FA8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0F3DCD50" w14:textId="77777777" w:rsidR="000C3670" w:rsidRPr="002C1FA8" w:rsidRDefault="003E1B8F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hyperlink r:id="rId12" w:history="1">
              <w:r w:rsidR="000C3670" w:rsidRPr="002C1FA8">
                <w:rPr>
                  <w:rStyle w:val="Hyperlink"/>
                  <w:rFonts w:ascii="Cambria-Bold" w:hAnsi="Cambria-Bold" w:cs="Cambria-Bold"/>
                  <w:bCs/>
                  <w:sz w:val="24"/>
                  <w:szCs w:val="24"/>
                </w:rPr>
                <w:t>http://www.mti-ks.org/sq/CEFTA-dhe-ndikimi-i-saj-ne-Kosove--</w:t>
              </w:r>
            </w:hyperlink>
          </w:p>
          <w:p w14:paraId="50FA208C" w14:textId="77777777" w:rsidR="000C3670" w:rsidRPr="002C1FA8" w:rsidRDefault="003E1B8F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hyperlink r:id="rId13" w:history="1">
              <w:r w:rsidR="000C3670" w:rsidRPr="002C1FA8">
                <w:rPr>
                  <w:rStyle w:val="Hyperlink"/>
                  <w:rFonts w:ascii="Cambria-Bold" w:hAnsi="Cambria-Bold" w:cs="Cambria-Bold"/>
                  <w:bCs/>
                  <w:sz w:val="24"/>
                  <w:szCs w:val="24"/>
                </w:rPr>
                <w:t>http://www.institutigap.org/documents/72590_CEFTAEng.pdf</w:t>
              </w:r>
            </w:hyperlink>
            <w:r w:rsidR="000C3670"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</w:t>
            </w:r>
          </w:p>
          <w:p w14:paraId="26BF7453" w14:textId="77777777" w:rsidR="000C3670" w:rsidRPr="002C1FA8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8" w:type="dxa"/>
          </w:tcPr>
          <w:p w14:paraId="19DE6959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047C42F8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Studentwt do tw diskutojnw pwrparwsitw dhe mangwsitw rreth pjeswmarrjes sw Kosovws nw CEFTA</w:t>
            </w:r>
          </w:p>
        </w:tc>
      </w:tr>
      <w:tr w:rsidR="000C3670" w14:paraId="04EF7093" w14:textId="77777777" w:rsidTr="00390CB7">
        <w:tc>
          <w:tcPr>
            <w:tcW w:w="738" w:type="dxa"/>
          </w:tcPr>
          <w:p w14:paraId="615264FD" w14:textId="77777777" w:rsidR="000C3670" w:rsidRDefault="0089617A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14:paraId="30F92430" w14:textId="77777777" w:rsidR="000C3670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  <w:p w14:paraId="60EE1CF4" w14:textId="77777777" w:rsidR="000C3670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Zgjidhja e Kontesteve</w:t>
            </w:r>
          </w:p>
          <w:p w14:paraId="29D99C7A" w14:textId="77777777" w:rsidR="000C3670" w:rsidRPr="00AD1143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C54B403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788A99B3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Zgjedhja e Ligjit t</w:t>
            </w:r>
            <w:r w:rsidR="002C1FA8"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Aplikuesh</w:t>
            </w:r>
            <w:r w:rsidR="002C1FA8"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m dhe Zgjedhja e Forumit n</w:t>
            </w:r>
            <w:r w:rsidR="002C1FA8"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kontratat nd</w:t>
            </w:r>
            <w:r w:rsidR="002C1FA8"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rkomb</w:t>
            </w:r>
            <w:r w:rsidR="002C1FA8"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tare </w:t>
            </w:r>
          </w:p>
          <w:p w14:paraId="78375438" w14:textId="77777777" w:rsidR="0089617A" w:rsidRPr="002C1FA8" w:rsidRDefault="0089617A" w:rsidP="0089617A">
            <w:pPr>
              <w:widowControl w:val="0"/>
              <w:rPr>
                <w:u w:val="single"/>
              </w:rPr>
            </w:pPr>
          </w:p>
          <w:p w14:paraId="7DA6F3A2" w14:textId="77777777" w:rsidR="0089617A" w:rsidRPr="002C1FA8" w:rsidRDefault="0089617A" w:rsidP="0089617A">
            <w:pPr>
              <w:widowControl w:val="0"/>
            </w:pPr>
            <w:r w:rsidRPr="002C1FA8">
              <w:rPr>
                <w:u w:val="single"/>
              </w:rPr>
              <w:t>Docs:  U.N. Convention on Recognition and Enforcement of Foreign Arbitral Awards</w:t>
            </w:r>
            <w:r w:rsidRPr="002C1FA8">
              <w:t xml:space="preserve">; </w:t>
            </w:r>
            <w:r w:rsidRPr="002C1FA8">
              <w:rPr>
                <w:u w:val="single"/>
              </w:rPr>
              <w:t>2005 Hague Convention on Choice of Court Agreements</w:t>
            </w:r>
            <w:r w:rsidRPr="002C1FA8">
              <w:t xml:space="preserve">, </w:t>
            </w:r>
          </w:p>
          <w:p w14:paraId="08DD8178" w14:textId="77777777" w:rsidR="0089617A" w:rsidRPr="002C1FA8" w:rsidRDefault="0089617A" w:rsidP="0089617A">
            <w:pPr>
              <w:widowControl w:val="0"/>
            </w:pPr>
          </w:p>
          <w:p w14:paraId="34BC968F" w14:textId="77777777" w:rsidR="0089617A" w:rsidRPr="002C1FA8" w:rsidRDefault="0089617A" w:rsidP="0089617A">
            <w:pPr>
              <w:widowControl w:val="0"/>
            </w:pPr>
            <w:r w:rsidRPr="002C1FA8">
              <w:t>KLIKO NE:</w:t>
            </w:r>
          </w:p>
          <w:p w14:paraId="41E8CE1B" w14:textId="77777777" w:rsidR="0089617A" w:rsidRPr="002C1FA8" w:rsidRDefault="0089617A" w:rsidP="0089617A">
            <w:pPr>
              <w:widowControl w:val="0"/>
            </w:pPr>
            <w:r w:rsidRPr="002C1FA8">
              <w:tab/>
            </w:r>
            <w:hyperlink r:id="rId14" w:history="1">
              <w:r w:rsidRPr="002C1FA8">
                <w:rPr>
                  <w:color w:val="0000FF"/>
                  <w:u w:val="single"/>
                </w:rPr>
                <w:t>http://www.hcch.net/index_en.php?act=conventions.text&amp;cid=98</w:t>
              </w:r>
            </w:hyperlink>
          </w:p>
          <w:p w14:paraId="1B37B9B4" w14:textId="77777777" w:rsidR="0089617A" w:rsidRPr="002C1FA8" w:rsidRDefault="0089617A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8" w:type="dxa"/>
          </w:tcPr>
          <w:p w14:paraId="43DBE457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65D3AF0D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Studentwt do tw analizojnw dhe hartojnw dispozita nw kontrata ndwrkombwtare qw kanw tw bwjnw me zgjedhjen e ligjit tw aplikueshwm dhe forumit si dhe do tw prezentojnw raste konkrete qw kanw tw bwjnw me kwto dispozita.</w:t>
            </w:r>
          </w:p>
        </w:tc>
      </w:tr>
      <w:tr w:rsidR="000C3670" w14:paraId="5AD3CDE8" w14:textId="77777777" w:rsidTr="00390CB7">
        <w:tc>
          <w:tcPr>
            <w:tcW w:w="738" w:type="dxa"/>
          </w:tcPr>
          <w:p w14:paraId="70BE6BA0" w14:textId="77777777" w:rsidR="000C3670" w:rsidRDefault="0089617A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14:paraId="5433CA1E" w14:textId="77777777" w:rsidR="000C3670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  <w:p w14:paraId="61DDB770" w14:textId="77777777" w:rsidR="000C3670" w:rsidRPr="00AD1143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Zgjidhja e Kontesteve Nd</w:t>
            </w:r>
            <w:r w:rsid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rkomb</w:t>
            </w:r>
            <w:r w:rsid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tare Tregtare</w:t>
            </w:r>
          </w:p>
        </w:tc>
        <w:tc>
          <w:tcPr>
            <w:tcW w:w="7200" w:type="dxa"/>
          </w:tcPr>
          <w:p w14:paraId="11D33C07" w14:textId="77777777" w:rsidR="000C3670" w:rsidRPr="002C1FA8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6FB28114" w14:textId="77777777" w:rsidR="000C3670" w:rsidRPr="002C1FA8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KLIKO NE: </w:t>
            </w:r>
            <w:hyperlink r:id="rId15" w:history="1">
              <w:r w:rsidRPr="002C1FA8">
                <w:rPr>
                  <w:rStyle w:val="Hyperlink"/>
                  <w:rFonts w:ascii="Cambria-Bold" w:hAnsi="Cambria-Bold" w:cs="Cambria-Bold"/>
                  <w:bCs/>
                  <w:sz w:val="24"/>
                  <w:szCs w:val="24"/>
                </w:rPr>
                <w:t>https://www.wto.org/english/tratop_e/dispu_e/dispu_e.htm</w:t>
              </w:r>
            </w:hyperlink>
          </w:p>
          <w:p w14:paraId="2E0EC05F" w14:textId="77777777" w:rsidR="000C3670" w:rsidRPr="002C1FA8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Dispute Settlement at the WTO</w:t>
            </w:r>
          </w:p>
          <w:p w14:paraId="06F6C9C4" w14:textId="77777777" w:rsidR="000C3670" w:rsidRPr="002C1FA8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8" w:type="dxa"/>
          </w:tcPr>
          <w:p w14:paraId="44A72218" w14:textId="77777777" w:rsidR="000C3670" w:rsidRPr="002C1FA8" w:rsidRDefault="000C3670" w:rsidP="00830CCA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Studentwt do tw prezentojnw palwt nw konteste dhe do tw prezentojnw zgjidhje pwr disa nga kontestet e </w:t>
            </w:r>
          </w:p>
        </w:tc>
      </w:tr>
      <w:tr w:rsidR="000C3670" w14:paraId="1D911C89" w14:textId="77777777" w:rsidTr="00390CB7">
        <w:tc>
          <w:tcPr>
            <w:tcW w:w="738" w:type="dxa"/>
          </w:tcPr>
          <w:p w14:paraId="0A8F194C" w14:textId="77777777" w:rsidR="000C3670" w:rsidRDefault="0089617A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14:paraId="2ECA2E2F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  <w:p w14:paraId="1D5A960C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Zgjidhja e Kontesteve Tregtare n</w:t>
            </w:r>
            <w:r w:rsidR="002C1FA8"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Sistemin Evropian</w:t>
            </w:r>
          </w:p>
        </w:tc>
        <w:tc>
          <w:tcPr>
            <w:tcW w:w="7200" w:type="dxa"/>
          </w:tcPr>
          <w:p w14:paraId="373AFD16" w14:textId="77777777" w:rsidR="0089617A" w:rsidRPr="002C1FA8" w:rsidRDefault="0089617A" w:rsidP="0089617A">
            <w:pPr>
              <w:widowControl w:val="0"/>
            </w:pPr>
            <w:r w:rsidRPr="002C1FA8">
              <w:rPr>
                <w:u w:val="single"/>
              </w:rPr>
              <w:t>European Council Regulation (EC) No 44/2001 of 22 December 2000 on jurisdiction and the recognition and enforcement of judgments in civil and commercial matters (Brussels Regulation)</w:t>
            </w:r>
          </w:p>
          <w:p w14:paraId="6D0C0DB4" w14:textId="77777777" w:rsidR="0089617A" w:rsidRPr="002C1FA8" w:rsidRDefault="0089617A" w:rsidP="0089617A">
            <w:pPr>
              <w:widowControl w:val="0"/>
            </w:pPr>
            <w:r w:rsidRPr="002C1FA8">
              <w:t xml:space="preserve">KLIKO NE : </w:t>
            </w:r>
            <w:hyperlink r:id="rId16" w:history="1">
              <w:r w:rsidRPr="002C1FA8">
                <w:rPr>
                  <w:rStyle w:val="Hyperlink"/>
                </w:rPr>
                <w:t>http://europa.eu.int/eur-lex/pri/en/oj/dat/2001/l_012/l_01220010116en00010023.pdf</w:t>
              </w:r>
            </w:hyperlink>
          </w:p>
          <w:p w14:paraId="0276B4FF" w14:textId="77777777" w:rsidR="0089617A" w:rsidRPr="002C1FA8" w:rsidRDefault="0089617A" w:rsidP="0089617A">
            <w:pPr>
              <w:widowControl w:val="0"/>
            </w:pPr>
          </w:p>
          <w:p w14:paraId="1F0A3ED4" w14:textId="77777777" w:rsidR="0089617A" w:rsidRPr="002C1FA8" w:rsidRDefault="0089617A" w:rsidP="0089617A">
            <w:pPr>
              <w:widowControl w:val="0"/>
            </w:pPr>
          </w:p>
          <w:p w14:paraId="67191A97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8" w:type="dxa"/>
          </w:tcPr>
          <w:p w14:paraId="491DFFF3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1EF0F91A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Student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t do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krahasojn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sistemin evropian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zgjidhjes s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kontesteve me at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OBT-s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si dhe do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analizojn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sfidat e zbatimit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vendimeve gjyq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sore dhe atyre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arbitrazhit.</w:t>
            </w:r>
          </w:p>
        </w:tc>
      </w:tr>
      <w:tr w:rsidR="000C3670" w14:paraId="7912EC27" w14:textId="77777777" w:rsidTr="00390CB7">
        <w:tc>
          <w:tcPr>
            <w:tcW w:w="738" w:type="dxa"/>
          </w:tcPr>
          <w:p w14:paraId="63006F30" w14:textId="77777777" w:rsidR="000C3670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14:paraId="22B65FDA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Konventa Nd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rkomb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tare p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 Shitjen Nd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rkomb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tare t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Mallrave (CISG)</w:t>
            </w:r>
          </w:p>
        </w:tc>
        <w:tc>
          <w:tcPr>
            <w:tcW w:w="7200" w:type="dxa"/>
          </w:tcPr>
          <w:p w14:paraId="4987F8C0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Teksti i Konvent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s:</w:t>
            </w:r>
          </w:p>
          <w:p w14:paraId="005EAD54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http://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ëëë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.cisg.la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.pace.edu/cisg/text/treaty.html</w:t>
            </w:r>
          </w:p>
        </w:tc>
        <w:tc>
          <w:tcPr>
            <w:tcW w:w="3348" w:type="dxa"/>
          </w:tcPr>
          <w:p w14:paraId="4B2C1F3F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76B78269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Student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t do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analizojn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rregullat themelore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tregtis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nd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rkomb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tare me mallra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p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rcaktuara n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CISG</w:t>
            </w:r>
          </w:p>
        </w:tc>
      </w:tr>
      <w:tr w:rsidR="000C3670" w14:paraId="539102D7" w14:textId="77777777" w:rsidTr="00390CB7">
        <w:tc>
          <w:tcPr>
            <w:tcW w:w="738" w:type="dxa"/>
          </w:tcPr>
          <w:p w14:paraId="65FA97AA" w14:textId="77777777" w:rsidR="000C3670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10" w:type="dxa"/>
          </w:tcPr>
          <w:p w14:paraId="59994C91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Aplikimi i CISG n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Kosov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</w:p>
        </w:tc>
        <w:tc>
          <w:tcPr>
            <w:tcW w:w="7200" w:type="dxa"/>
          </w:tcPr>
          <w:p w14:paraId="691B4185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Rregullorja e UNMIK-ut 2000/68</w:t>
            </w:r>
          </w:p>
          <w:p w14:paraId="55AD8C44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7DEAFDB1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Ligji i Detyrimeve 2012</w:t>
            </w:r>
          </w:p>
        </w:tc>
        <w:tc>
          <w:tcPr>
            <w:tcW w:w="3348" w:type="dxa"/>
          </w:tcPr>
          <w:p w14:paraId="3B136C35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732AFF4C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Studentet do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analizojn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aplikueshm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rin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e tekstit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CISG n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Kosov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si traktat nd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rkomb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tar por edhe si ligj vendor i p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rfshir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n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rregulloren e UNMIK-ut gjat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viteve 2000-2012 dhe n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ligjin e detyrimeve nga viti 2012.</w:t>
            </w:r>
          </w:p>
        </w:tc>
      </w:tr>
      <w:tr w:rsidR="000C3670" w14:paraId="271C4E98" w14:textId="77777777" w:rsidTr="00390CB7">
        <w:tc>
          <w:tcPr>
            <w:tcW w:w="738" w:type="dxa"/>
          </w:tcPr>
          <w:p w14:paraId="7D26D23C" w14:textId="77777777" w:rsidR="000C3670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10" w:type="dxa"/>
          </w:tcPr>
          <w:p w14:paraId="555C49B9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  <w:p w14:paraId="508516D9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Rregullat e aplikimit t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CISG si dhe rregullat e formimit t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kontratave nd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rkomb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tare p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 shitjen e mallrave</w:t>
            </w:r>
          </w:p>
        </w:tc>
        <w:tc>
          <w:tcPr>
            <w:tcW w:w="7200" w:type="dxa"/>
          </w:tcPr>
          <w:p w14:paraId="1CCA581A" w14:textId="77777777" w:rsidR="002C1FA8" w:rsidRPr="002C1FA8" w:rsidRDefault="002C1FA8" w:rsidP="002C1FA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19A2AC0C" w14:textId="77777777" w:rsidR="000C3670" w:rsidRPr="002C1FA8" w:rsidRDefault="002C1FA8" w:rsidP="002C1FA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Pjesa I dhe II e CISG</w:t>
            </w:r>
          </w:p>
        </w:tc>
        <w:tc>
          <w:tcPr>
            <w:tcW w:w="3348" w:type="dxa"/>
          </w:tcPr>
          <w:p w14:paraId="10AF1098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Raste hipotetike si dhe vendime te gjykatave</w:t>
            </w:r>
          </w:p>
        </w:tc>
      </w:tr>
      <w:tr w:rsidR="000C3670" w14:paraId="647E5C02" w14:textId="77777777" w:rsidTr="00390CB7">
        <w:tc>
          <w:tcPr>
            <w:tcW w:w="738" w:type="dxa"/>
          </w:tcPr>
          <w:p w14:paraId="03FFD99D" w14:textId="77777777" w:rsidR="000C3670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14:paraId="094C1EF3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  <w:p w14:paraId="484C0B9F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T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drejtat dhe detyrimet e pal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ve n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kontratat nd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rkomb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tare p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 shitjen e mallrave</w:t>
            </w:r>
          </w:p>
        </w:tc>
        <w:tc>
          <w:tcPr>
            <w:tcW w:w="7200" w:type="dxa"/>
          </w:tcPr>
          <w:p w14:paraId="2866A735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05296AEF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Pjesa III e CISG</w:t>
            </w:r>
          </w:p>
        </w:tc>
        <w:tc>
          <w:tcPr>
            <w:tcW w:w="3348" w:type="dxa"/>
          </w:tcPr>
          <w:p w14:paraId="20F7FBAA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Raste hipotetike si dhe vendime te gjykatave</w:t>
            </w:r>
          </w:p>
        </w:tc>
      </w:tr>
      <w:tr w:rsidR="000C3670" w14:paraId="4B1AB4D7" w14:textId="77777777" w:rsidTr="00390CB7">
        <w:tc>
          <w:tcPr>
            <w:tcW w:w="738" w:type="dxa"/>
          </w:tcPr>
          <w:p w14:paraId="5E9C9BDB" w14:textId="77777777" w:rsidR="000C3670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0" w:type="dxa"/>
          </w:tcPr>
          <w:p w14:paraId="39140650" w14:textId="77777777" w:rsidR="000C3670" w:rsidRPr="002C1FA8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</w:p>
          <w:p w14:paraId="5042F82A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Kompenzimi i d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mit </w:t>
            </w:r>
            <w:r w:rsidR="00DA366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dhe restitutio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, n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kontratat nd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rkomb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tare</w:t>
            </w:r>
          </w:p>
        </w:tc>
        <w:tc>
          <w:tcPr>
            <w:tcW w:w="7200" w:type="dxa"/>
          </w:tcPr>
          <w:p w14:paraId="34373994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45A89FD5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Kapitulli V n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Pjes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n III t</w:t>
            </w:r>
            <w:r w:rsidR="00C74CB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 xml:space="preserve"> CISG</w:t>
            </w:r>
          </w:p>
        </w:tc>
        <w:tc>
          <w:tcPr>
            <w:tcW w:w="3348" w:type="dxa"/>
          </w:tcPr>
          <w:p w14:paraId="710889A4" w14:textId="77777777" w:rsid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6F953B8E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Raste hipotetike si dhe vendime te gjykatave</w:t>
            </w:r>
          </w:p>
        </w:tc>
      </w:tr>
      <w:tr w:rsidR="000C3670" w14:paraId="16EC869F" w14:textId="77777777" w:rsidTr="00390CB7">
        <w:tc>
          <w:tcPr>
            <w:tcW w:w="738" w:type="dxa"/>
          </w:tcPr>
          <w:p w14:paraId="5A98787E" w14:textId="77777777" w:rsidR="000C3670" w:rsidRDefault="000C3670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</w:tcPr>
          <w:p w14:paraId="26535231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Dispozitat p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rfundimtare n</w:t>
            </w:r>
            <w:r w:rsidR="00C74CB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ë</w:t>
            </w: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 xml:space="preserve"> CISG</w:t>
            </w:r>
            <w:r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  <w:p w14:paraId="6584E22A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/>
                <w:bCs/>
                <w:i/>
                <w:color w:val="000000"/>
                <w:sz w:val="24"/>
                <w:szCs w:val="24"/>
              </w:rPr>
              <w:t>Ratifikimi, Suksedimi, Deklaratat dhe Rezervimet</w:t>
            </w:r>
          </w:p>
        </w:tc>
        <w:tc>
          <w:tcPr>
            <w:tcW w:w="7200" w:type="dxa"/>
          </w:tcPr>
          <w:p w14:paraId="35E54039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36DD91D1" w14:textId="77777777" w:rsid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6D2FC0DC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Pjesa IV e CISG</w:t>
            </w:r>
          </w:p>
        </w:tc>
        <w:tc>
          <w:tcPr>
            <w:tcW w:w="3348" w:type="dxa"/>
          </w:tcPr>
          <w:p w14:paraId="5C06B221" w14:textId="77777777" w:rsidR="002C1FA8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</w:p>
          <w:p w14:paraId="07EC7FB9" w14:textId="77777777" w:rsidR="000C3670" w:rsidRPr="002C1FA8" w:rsidRDefault="002C1FA8" w:rsidP="00EB07B8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</w:pPr>
            <w:r w:rsidRPr="002C1FA8">
              <w:rPr>
                <w:rFonts w:ascii="Cambria-Bold" w:hAnsi="Cambria-Bold" w:cs="Cambria-Bold"/>
                <w:bCs/>
                <w:color w:val="000000"/>
                <w:sz w:val="24"/>
                <w:szCs w:val="24"/>
              </w:rPr>
              <w:t>Raste hipotetike si dhe vendime te gjykatave</w:t>
            </w:r>
          </w:p>
        </w:tc>
      </w:tr>
    </w:tbl>
    <w:p w14:paraId="0AF52DE6" w14:textId="77777777" w:rsidR="00090A08" w:rsidRDefault="00090A08" w:rsidP="00EB07B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</w:p>
    <w:sectPr w:rsidR="00090A08" w:rsidSect="00C74CB8">
      <w:footerReference w:type="default" r:id="rId17"/>
      <w:pgSz w:w="15840" w:h="12240" w:orient="landscape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529BB" w14:textId="77777777" w:rsidR="003E1B8F" w:rsidRDefault="003E1B8F" w:rsidP="00C74CB8">
      <w:pPr>
        <w:spacing w:after="0" w:line="240" w:lineRule="auto"/>
      </w:pPr>
      <w:r>
        <w:separator/>
      </w:r>
    </w:p>
  </w:endnote>
  <w:endnote w:type="continuationSeparator" w:id="0">
    <w:p w14:paraId="7BD120BC" w14:textId="77777777" w:rsidR="003E1B8F" w:rsidRDefault="003E1B8F" w:rsidP="00C7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-Bol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-BoldMT">
    <w:altName w:val="Times New Roman"/>
    <w:panose1 w:val="020208030705050203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52222"/>
      <w:docPartObj>
        <w:docPartGallery w:val="Page Numbers (Bottom of Page)"/>
        <w:docPartUnique/>
      </w:docPartObj>
    </w:sdtPr>
    <w:sdtEndPr/>
    <w:sdtContent>
      <w:p w14:paraId="2CC50507" w14:textId="77777777" w:rsidR="00C74CB8" w:rsidRDefault="003E1B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9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5EA22E" w14:textId="77777777" w:rsidR="00C74CB8" w:rsidRDefault="00C7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D1BF7" w14:textId="77777777" w:rsidR="003E1B8F" w:rsidRDefault="003E1B8F" w:rsidP="00C74CB8">
      <w:pPr>
        <w:spacing w:after="0" w:line="240" w:lineRule="auto"/>
      </w:pPr>
      <w:r>
        <w:separator/>
      </w:r>
    </w:p>
  </w:footnote>
  <w:footnote w:type="continuationSeparator" w:id="0">
    <w:p w14:paraId="059B1C26" w14:textId="77777777" w:rsidR="003E1B8F" w:rsidRDefault="003E1B8F" w:rsidP="00C74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962A5"/>
    <w:multiLevelType w:val="hybridMultilevel"/>
    <w:tmpl w:val="997A8BE4"/>
    <w:lvl w:ilvl="0" w:tplc="8626C276">
      <w:numFmt w:val="bullet"/>
      <w:lvlText w:val="-"/>
      <w:lvlJc w:val="left"/>
      <w:pPr>
        <w:ind w:left="720" w:hanging="360"/>
      </w:pPr>
      <w:rPr>
        <w:rFonts w:ascii="Cambria-Bold" w:eastAsiaTheme="minorHAnsi" w:hAnsi="Cambria-Bold" w:cs="Cambri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B8"/>
    <w:rsid w:val="000758C1"/>
    <w:rsid w:val="00090A08"/>
    <w:rsid w:val="000C3670"/>
    <w:rsid w:val="000C4D33"/>
    <w:rsid w:val="00236199"/>
    <w:rsid w:val="0027113D"/>
    <w:rsid w:val="002C1FA8"/>
    <w:rsid w:val="00303C66"/>
    <w:rsid w:val="00390CB7"/>
    <w:rsid w:val="003E1B8F"/>
    <w:rsid w:val="00424E70"/>
    <w:rsid w:val="00593B44"/>
    <w:rsid w:val="00676CCD"/>
    <w:rsid w:val="007E4093"/>
    <w:rsid w:val="0089617A"/>
    <w:rsid w:val="00924CB5"/>
    <w:rsid w:val="00985986"/>
    <w:rsid w:val="00AC37C3"/>
    <w:rsid w:val="00AD1143"/>
    <w:rsid w:val="00AF0E92"/>
    <w:rsid w:val="00BE4B38"/>
    <w:rsid w:val="00C74CB8"/>
    <w:rsid w:val="00D33FE0"/>
    <w:rsid w:val="00DA3668"/>
    <w:rsid w:val="00E070D5"/>
    <w:rsid w:val="00E73860"/>
    <w:rsid w:val="00E94420"/>
    <w:rsid w:val="00EB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E25E48"/>
  <w15:docId w15:val="{11AECF1E-1F31-FB4D-80BA-7297A037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A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0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B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74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CB8"/>
  </w:style>
  <w:style w:type="paragraph" w:styleId="Footer">
    <w:name w:val="footer"/>
    <w:basedOn w:val="Normal"/>
    <w:link w:val="FooterChar"/>
    <w:uiPriority w:val="99"/>
    <w:unhideWhenUsed/>
    <w:rsid w:val="00C74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to.org" TargetMode="External"/><Relationship Id="rId13" Type="http://schemas.openxmlformats.org/officeDocument/2006/relationships/hyperlink" Target="http://www.institutigap.org/documents/72590_CEFTAEng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josao@yahoo.com" TargetMode="External"/><Relationship Id="rId12" Type="http://schemas.openxmlformats.org/officeDocument/2006/relationships/hyperlink" Target="http://www.mti-ks.org/sq/CEFTA-dhe-ndikimi-i-saj-ne-Kosove--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uropa.eu.int/eur-lex/pri/en/oj/dat/2001/l_012/l_01220010116en0001002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fta-sec-alena.org/Home/Welcom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to.org/english/tratop_e/dispu_e/dispu_e.htm" TargetMode="External"/><Relationship Id="rId10" Type="http://schemas.openxmlformats.org/officeDocument/2006/relationships/hyperlink" Target="http://mti-ks.org/repository/docs/20070123165311_cefta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eftatradeportal.com" TargetMode="External"/><Relationship Id="rId14" Type="http://schemas.openxmlformats.org/officeDocument/2006/relationships/hyperlink" Target="http://www.hcch.net/index_en.php?act=conventions.text&amp;cid=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vjosa.osmani</dc:creator>
  <cp:lastModifiedBy>Donikë</cp:lastModifiedBy>
  <cp:revision>2</cp:revision>
  <cp:lastPrinted>2017-11-03T12:19:00Z</cp:lastPrinted>
  <dcterms:created xsi:type="dcterms:W3CDTF">2019-10-04T10:09:00Z</dcterms:created>
  <dcterms:modified xsi:type="dcterms:W3CDTF">2019-10-04T10:09:00Z</dcterms:modified>
</cp:coreProperties>
</file>