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62139" w14:textId="77777777" w:rsidR="003E3193" w:rsidRPr="00F92553" w:rsidRDefault="00781805" w:rsidP="00951B86">
      <w:pPr>
        <w:jc w:val="both"/>
        <w:rPr>
          <w:b/>
          <w:sz w:val="22"/>
          <w:szCs w:val="22"/>
          <w:u w:val="single"/>
          <w:lang w:val="sq-AL"/>
        </w:rPr>
      </w:pPr>
      <w:r w:rsidRPr="00F92553">
        <w:rPr>
          <w:b/>
          <w:sz w:val="22"/>
          <w:szCs w:val="22"/>
          <w:u w:val="single"/>
          <w:lang w:val="sq-AL"/>
        </w:rPr>
        <w:t>Formular p</w:t>
      </w:r>
      <w:r w:rsidR="00D67209" w:rsidRPr="00F92553">
        <w:rPr>
          <w:b/>
          <w:sz w:val="22"/>
          <w:szCs w:val="22"/>
          <w:u w:val="single"/>
          <w:lang w:val="sq-AL"/>
        </w:rPr>
        <w:t>ë</w:t>
      </w:r>
      <w:r w:rsidRPr="00F92553">
        <w:rPr>
          <w:b/>
          <w:sz w:val="22"/>
          <w:szCs w:val="22"/>
          <w:u w:val="single"/>
          <w:lang w:val="sq-AL"/>
        </w:rPr>
        <w:t xml:space="preserve">r </w:t>
      </w:r>
      <w:r w:rsidR="002D3069" w:rsidRPr="00F92553">
        <w:rPr>
          <w:b/>
          <w:sz w:val="22"/>
          <w:szCs w:val="22"/>
          <w:u w:val="single"/>
          <w:lang w:val="sq-AL"/>
        </w:rPr>
        <w:t>SYL</w:t>
      </w:r>
      <w:r w:rsidRPr="00F92553">
        <w:rPr>
          <w:b/>
          <w:sz w:val="22"/>
          <w:szCs w:val="22"/>
          <w:u w:val="single"/>
          <w:lang w:val="sq-AL"/>
        </w:rPr>
        <w:t>L</w:t>
      </w:r>
      <w:r w:rsidR="004C0CCA" w:rsidRPr="00F92553">
        <w:rPr>
          <w:b/>
          <w:sz w:val="22"/>
          <w:szCs w:val="22"/>
          <w:u w:val="single"/>
          <w:lang w:val="sq-AL"/>
        </w:rPr>
        <w:t>ABUS</w:t>
      </w:r>
      <w:r w:rsidRPr="00F92553">
        <w:rPr>
          <w:b/>
          <w:sz w:val="22"/>
          <w:szCs w:val="22"/>
          <w:u w:val="single"/>
          <w:lang w:val="sq-AL"/>
        </w:rPr>
        <w:t xml:space="preserve"> t</w:t>
      </w:r>
      <w:r w:rsidR="00D67209" w:rsidRPr="00F92553">
        <w:rPr>
          <w:b/>
          <w:sz w:val="22"/>
          <w:szCs w:val="22"/>
          <w:u w:val="single"/>
          <w:lang w:val="sq-AL"/>
        </w:rPr>
        <w:t>ë</w:t>
      </w:r>
      <w:r w:rsidRPr="00F92553">
        <w:rPr>
          <w:b/>
          <w:sz w:val="22"/>
          <w:szCs w:val="22"/>
          <w:u w:val="single"/>
          <w:lang w:val="sq-AL"/>
        </w:rPr>
        <w:t xml:space="preserve"> L</w:t>
      </w:r>
      <w:r w:rsidR="00D67209" w:rsidRPr="00F92553">
        <w:rPr>
          <w:b/>
          <w:sz w:val="22"/>
          <w:szCs w:val="22"/>
          <w:u w:val="single"/>
          <w:lang w:val="sq-AL"/>
        </w:rPr>
        <w:t>ë</w:t>
      </w:r>
      <w:r w:rsidRPr="00F92553">
        <w:rPr>
          <w:b/>
          <w:sz w:val="22"/>
          <w:szCs w:val="22"/>
          <w:u w:val="single"/>
          <w:lang w:val="sq-AL"/>
        </w:rPr>
        <w:t>nd</w:t>
      </w:r>
      <w:r w:rsidR="00D67209" w:rsidRPr="00F92553">
        <w:rPr>
          <w:b/>
          <w:sz w:val="22"/>
          <w:szCs w:val="22"/>
          <w:u w:val="single"/>
          <w:lang w:val="sq-AL"/>
        </w:rPr>
        <w:t>ë</w:t>
      </w:r>
      <w:r w:rsidRPr="00F92553">
        <w:rPr>
          <w:b/>
          <w:sz w:val="22"/>
          <w:szCs w:val="22"/>
          <w:u w:val="single"/>
          <w:lang w:val="sq-AL"/>
        </w:rPr>
        <w:t xml:space="preserve">s </w:t>
      </w:r>
    </w:p>
    <w:p w14:paraId="51E5697D" w14:textId="77777777" w:rsidR="00CF116F" w:rsidRPr="00F92553" w:rsidRDefault="00CF116F" w:rsidP="00951B86">
      <w:pPr>
        <w:jc w:val="both"/>
        <w:rPr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503891" w14:paraId="288E5835" w14:textId="77777777" w:rsidTr="00EF57F9">
        <w:tc>
          <w:tcPr>
            <w:tcW w:w="8856" w:type="dxa"/>
            <w:gridSpan w:val="4"/>
            <w:shd w:val="clear" w:color="auto" w:fill="B8CCE4"/>
          </w:tcPr>
          <w:p w14:paraId="690CBBD2" w14:textId="77777777" w:rsidR="00CF116F" w:rsidRPr="00503891" w:rsidRDefault="00CF116F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503891">
              <w:rPr>
                <w:b/>
                <w:sz w:val="22"/>
                <w:szCs w:val="22"/>
                <w:lang w:val="sq-AL"/>
              </w:rPr>
              <w:t>ë</w:t>
            </w:r>
            <w:r w:rsidRPr="00503891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503891">
              <w:rPr>
                <w:b/>
                <w:sz w:val="22"/>
                <w:szCs w:val="22"/>
                <w:lang w:val="sq-AL"/>
              </w:rPr>
              <w:t>ë</w:t>
            </w:r>
            <w:r w:rsidRPr="00503891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503891">
              <w:rPr>
                <w:b/>
                <w:sz w:val="22"/>
                <w:szCs w:val="22"/>
                <w:lang w:val="sq-AL"/>
              </w:rPr>
              <w:t>ë</w:t>
            </w:r>
            <w:r w:rsidRPr="00503891">
              <w:rPr>
                <w:b/>
                <w:sz w:val="22"/>
                <w:szCs w:val="22"/>
                <w:lang w:val="sq-AL"/>
              </w:rPr>
              <w:t>nd</w:t>
            </w:r>
            <w:r w:rsidR="00FB050B" w:rsidRPr="00503891">
              <w:rPr>
                <w:b/>
                <w:sz w:val="22"/>
                <w:szCs w:val="22"/>
                <w:lang w:val="sq-AL"/>
              </w:rPr>
              <w:t>ë</w:t>
            </w:r>
            <w:r w:rsidRPr="00503891">
              <w:rPr>
                <w:b/>
                <w:sz w:val="22"/>
                <w:szCs w:val="22"/>
                <w:lang w:val="sq-AL"/>
              </w:rPr>
              <w:t>s</w:t>
            </w:r>
          </w:p>
        </w:tc>
      </w:tr>
      <w:tr w:rsidR="00CF116F" w:rsidRPr="00503891" w14:paraId="75D9C7C5" w14:textId="77777777" w:rsidTr="00183923">
        <w:tc>
          <w:tcPr>
            <w:tcW w:w="3617" w:type="dxa"/>
          </w:tcPr>
          <w:p w14:paraId="77DAB8D3" w14:textId="77777777" w:rsidR="00CF116F" w:rsidRPr="00503891" w:rsidRDefault="00CF116F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1CF1731C" w14:textId="77777777" w:rsidR="00CF116F" w:rsidRPr="00503891" w:rsidRDefault="00A769FD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FARMACI</w:t>
            </w:r>
          </w:p>
        </w:tc>
      </w:tr>
      <w:tr w:rsidR="00CF116F" w:rsidRPr="00503891" w14:paraId="710AB43E" w14:textId="77777777" w:rsidTr="00183923">
        <w:tc>
          <w:tcPr>
            <w:tcW w:w="3617" w:type="dxa"/>
          </w:tcPr>
          <w:p w14:paraId="3ED1BF29" w14:textId="77777777" w:rsidR="00CF116F" w:rsidRPr="00503891" w:rsidRDefault="00CF116F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0F9F65A2" w14:textId="77777777" w:rsidR="00CF116F" w:rsidRPr="00503891" w:rsidRDefault="00A769FD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KIMI FARMACEUTIKE I</w:t>
            </w:r>
          </w:p>
        </w:tc>
      </w:tr>
      <w:tr w:rsidR="00CF116F" w:rsidRPr="00503891" w14:paraId="0FF45C3E" w14:textId="77777777" w:rsidTr="00183923">
        <w:tc>
          <w:tcPr>
            <w:tcW w:w="3617" w:type="dxa"/>
          </w:tcPr>
          <w:p w14:paraId="42B197CC" w14:textId="77777777" w:rsidR="00CF116F" w:rsidRPr="00503891" w:rsidRDefault="00CF116F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32194EE4" w14:textId="77777777" w:rsidR="00CF116F" w:rsidRPr="00503891" w:rsidRDefault="00A769FD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DIPLOM.</w:t>
            </w:r>
          </w:p>
        </w:tc>
      </w:tr>
      <w:tr w:rsidR="00781805" w:rsidRPr="00503891" w14:paraId="10FC2D34" w14:textId="77777777" w:rsidTr="00183923">
        <w:tc>
          <w:tcPr>
            <w:tcW w:w="3617" w:type="dxa"/>
          </w:tcPr>
          <w:p w14:paraId="2C838114" w14:textId="77777777" w:rsidR="00781805" w:rsidRPr="00503891" w:rsidRDefault="00781805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4BFBABD7" w14:textId="77777777" w:rsidR="00781805" w:rsidRPr="00503891" w:rsidRDefault="00A769FD" w:rsidP="001A36A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OBLIG</w:t>
            </w:r>
            <w:r w:rsidR="001A36A6" w:rsidRPr="00503891">
              <w:rPr>
                <w:b/>
                <w:sz w:val="22"/>
                <w:szCs w:val="22"/>
                <w:lang w:val="sq-AL"/>
              </w:rPr>
              <w:t>ATIVE</w:t>
            </w:r>
          </w:p>
        </w:tc>
      </w:tr>
      <w:tr w:rsidR="00CF116F" w:rsidRPr="00503891" w14:paraId="3BE59630" w14:textId="77777777" w:rsidTr="00183923">
        <w:tc>
          <w:tcPr>
            <w:tcW w:w="3617" w:type="dxa"/>
          </w:tcPr>
          <w:p w14:paraId="355ECC0E" w14:textId="77777777" w:rsidR="00CF116F" w:rsidRPr="00503891" w:rsidRDefault="00CF116F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10C6F65A" w14:textId="77777777" w:rsidR="00CF116F" w:rsidRPr="00503891" w:rsidRDefault="00A769FD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III</w:t>
            </w:r>
          </w:p>
        </w:tc>
      </w:tr>
      <w:tr w:rsidR="00CF116F" w:rsidRPr="00503891" w14:paraId="77E4E827" w14:textId="77777777" w:rsidTr="00183923">
        <w:tc>
          <w:tcPr>
            <w:tcW w:w="3617" w:type="dxa"/>
          </w:tcPr>
          <w:p w14:paraId="71BF91D1" w14:textId="77777777" w:rsidR="00CF116F" w:rsidRPr="00503891" w:rsidRDefault="00CF116F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5D49EBB8" w14:textId="77777777" w:rsidR="00CF116F" w:rsidRPr="00503891" w:rsidRDefault="00A769FD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3+3</w:t>
            </w:r>
          </w:p>
        </w:tc>
      </w:tr>
      <w:tr w:rsidR="00CF116F" w:rsidRPr="00503891" w14:paraId="674FBACF" w14:textId="77777777" w:rsidTr="00183923">
        <w:tc>
          <w:tcPr>
            <w:tcW w:w="3617" w:type="dxa"/>
          </w:tcPr>
          <w:p w14:paraId="23AB191B" w14:textId="77777777" w:rsidR="00CF116F" w:rsidRPr="00503891" w:rsidRDefault="00CF116F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75EEDAE0" w14:textId="77777777" w:rsidR="00CF116F" w:rsidRPr="00503891" w:rsidRDefault="00A769FD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7</w:t>
            </w:r>
          </w:p>
        </w:tc>
      </w:tr>
      <w:tr w:rsidR="00CF116F" w:rsidRPr="00503891" w14:paraId="292FD9B3" w14:textId="77777777" w:rsidTr="00183923">
        <w:tc>
          <w:tcPr>
            <w:tcW w:w="3617" w:type="dxa"/>
          </w:tcPr>
          <w:p w14:paraId="78BE85B7" w14:textId="77777777" w:rsidR="00CF116F" w:rsidRPr="00503891" w:rsidRDefault="00CF116F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401CBA9C" w14:textId="77777777" w:rsidR="00CF116F" w:rsidRPr="00503891" w:rsidRDefault="00CF116F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</w:p>
        </w:tc>
      </w:tr>
      <w:tr w:rsidR="00CF116F" w:rsidRPr="00503891" w14:paraId="7452B5D8" w14:textId="77777777" w:rsidTr="00183923">
        <w:tc>
          <w:tcPr>
            <w:tcW w:w="3617" w:type="dxa"/>
          </w:tcPr>
          <w:p w14:paraId="2BBF7880" w14:textId="77777777" w:rsidR="00CF116F" w:rsidRPr="00503891" w:rsidRDefault="00503891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Mësimdhënësi</w:t>
            </w:r>
            <w:r w:rsidR="00CF116F" w:rsidRPr="00503891">
              <w:rPr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5239" w:type="dxa"/>
            <w:gridSpan w:val="3"/>
          </w:tcPr>
          <w:p w14:paraId="6B7EA37C" w14:textId="1BB1411A" w:rsidR="00CF116F" w:rsidRPr="00503891" w:rsidRDefault="00A769FD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 xml:space="preserve">Prof. </w:t>
            </w:r>
            <w:r w:rsidR="00E727AF">
              <w:rPr>
                <w:b/>
                <w:sz w:val="22"/>
                <w:szCs w:val="22"/>
                <w:lang w:val="sq-AL"/>
              </w:rPr>
              <w:t>Dr</w:t>
            </w:r>
            <w:r w:rsidRPr="00503891">
              <w:rPr>
                <w:b/>
                <w:sz w:val="22"/>
                <w:szCs w:val="22"/>
                <w:lang w:val="sq-AL"/>
              </w:rPr>
              <w:t>. Dashnor Nebija</w:t>
            </w:r>
          </w:p>
        </w:tc>
      </w:tr>
      <w:tr w:rsidR="00CF116F" w:rsidRPr="00503891" w14:paraId="49FE6C18" w14:textId="77777777" w:rsidTr="00183923">
        <w:tc>
          <w:tcPr>
            <w:tcW w:w="3617" w:type="dxa"/>
          </w:tcPr>
          <w:p w14:paraId="24170B98" w14:textId="77777777" w:rsidR="00CF116F" w:rsidRPr="00503891" w:rsidRDefault="00CF116F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23247DE4" w14:textId="77777777" w:rsidR="00CF116F" w:rsidRPr="00503891" w:rsidRDefault="00A769FD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+ 37745401585</w:t>
            </w:r>
          </w:p>
        </w:tc>
      </w:tr>
      <w:tr w:rsidR="00FB050B" w:rsidRPr="00503891" w14:paraId="635E376E" w14:textId="77777777" w:rsidTr="00EF57F9">
        <w:tc>
          <w:tcPr>
            <w:tcW w:w="8856" w:type="dxa"/>
            <w:gridSpan w:val="4"/>
            <w:shd w:val="clear" w:color="auto" w:fill="B8CCE4"/>
          </w:tcPr>
          <w:p w14:paraId="4085AD82" w14:textId="77777777" w:rsidR="00FB050B" w:rsidRPr="00503891" w:rsidRDefault="00FB050B" w:rsidP="00951B86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CF116F" w:rsidRPr="00503891" w14:paraId="3B479347" w14:textId="77777777" w:rsidTr="00183923">
        <w:tc>
          <w:tcPr>
            <w:tcW w:w="3617" w:type="dxa"/>
          </w:tcPr>
          <w:p w14:paraId="308163AF" w14:textId="77777777" w:rsidR="00CF116F" w:rsidRPr="00503891" w:rsidRDefault="00CF116F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6ED9F98D" w14:textId="77777777" w:rsidR="007C3132" w:rsidRPr="00503891" w:rsidRDefault="00E34287" w:rsidP="00503891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Subjekt fundamental q</w:t>
            </w:r>
            <w:r w:rsidR="00503891" w:rsidRPr="00503891">
              <w:rPr>
                <w:sz w:val="22"/>
                <w:szCs w:val="22"/>
                <w:lang w:val="sq-AL"/>
              </w:rPr>
              <w:t>ë</w:t>
            </w:r>
            <w:r w:rsidRPr="00503891">
              <w:rPr>
                <w:sz w:val="22"/>
                <w:szCs w:val="22"/>
                <w:lang w:val="sq-AL"/>
              </w:rPr>
              <w:t xml:space="preserve"> merret me studimin e Kimis</w:t>
            </w:r>
            <w:r w:rsidR="00503891" w:rsidRPr="00503891">
              <w:rPr>
                <w:sz w:val="22"/>
                <w:szCs w:val="22"/>
                <w:lang w:val="sq-AL"/>
              </w:rPr>
              <w:t>ë dhe tipareve të barnave si në aspektin teorik ashtu edhe në</w:t>
            </w:r>
            <w:r w:rsidRPr="00503891">
              <w:rPr>
                <w:sz w:val="22"/>
                <w:szCs w:val="22"/>
                <w:lang w:val="sq-AL"/>
              </w:rPr>
              <w:t xml:space="preserve"> </w:t>
            </w:r>
            <w:r w:rsidR="00503891" w:rsidRPr="00503891">
              <w:rPr>
                <w:sz w:val="22"/>
                <w:szCs w:val="22"/>
                <w:lang w:val="sq-AL"/>
              </w:rPr>
              <w:t>atë</w:t>
            </w:r>
            <w:r w:rsidRPr="00503891">
              <w:rPr>
                <w:sz w:val="22"/>
                <w:szCs w:val="22"/>
                <w:lang w:val="sq-AL"/>
              </w:rPr>
              <w:t xml:space="preserve"> praktik.</w:t>
            </w:r>
            <w:r w:rsidR="00503891" w:rsidRPr="00503891">
              <w:rPr>
                <w:sz w:val="22"/>
                <w:szCs w:val="22"/>
                <w:lang w:val="sq-AL"/>
              </w:rPr>
              <w:t xml:space="preserve"> </w:t>
            </w:r>
            <w:r w:rsidRPr="00503891">
              <w:rPr>
                <w:sz w:val="22"/>
                <w:szCs w:val="22"/>
                <w:lang w:val="sq-AL"/>
              </w:rPr>
              <w:t>Studimi i koncepteve dhe aspekteve t</w:t>
            </w:r>
            <w:r w:rsidR="00503891" w:rsidRPr="00503891">
              <w:rPr>
                <w:sz w:val="22"/>
                <w:szCs w:val="22"/>
                <w:lang w:val="sq-AL"/>
              </w:rPr>
              <w:t>ë</w:t>
            </w:r>
            <w:r w:rsidRPr="00503891">
              <w:rPr>
                <w:sz w:val="22"/>
                <w:szCs w:val="22"/>
                <w:lang w:val="sq-AL"/>
              </w:rPr>
              <w:t xml:space="preserve"> </w:t>
            </w:r>
            <w:r w:rsidR="00503891" w:rsidRPr="00503891">
              <w:rPr>
                <w:sz w:val="22"/>
                <w:szCs w:val="22"/>
                <w:lang w:val="sq-AL"/>
              </w:rPr>
              <w:t>përgjithshme</w:t>
            </w:r>
            <w:r w:rsidRPr="00503891">
              <w:rPr>
                <w:sz w:val="22"/>
                <w:szCs w:val="22"/>
                <w:lang w:val="sq-AL"/>
              </w:rPr>
              <w:t xml:space="preserve"> mbi barnat dhe veprimin e tyre, klasifikimin e </w:t>
            </w:r>
            <w:r w:rsidR="00503891" w:rsidRPr="00503891">
              <w:rPr>
                <w:sz w:val="22"/>
                <w:szCs w:val="22"/>
                <w:lang w:val="sq-AL"/>
              </w:rPr>
              <w:t>nomenklaturën</w:t>
            </w:r>
            <w:r w:rsidRPr="00503891">
              <w:rPr>
                <w:sz w:val="22"/>
                <w:szCs w:val="22"/>
                <w:lang w:val="sq-AL"/>
              </w:rPr>
              <w:t xml:space="preserve"> si dhe </w:t>
            </w:r>
            <w:r w:rsidR="00503891" w:rsidRPr="00503891">
              <w:rPr>
                <w:sz w:val="22"/>
                <w:szCs w:val="22"/>
                <w:lang w:val="sq-AL"/>
              </w:rPr>
              <w:t>rrugët</w:t>
            </w:r>
            <w:r w:rsidRPr="00503891">
              <w:rPr>
                <w:sz w:val="22"/>
                <w:szCs w:val="22"/>
                <w:lang w:val="sq-AL"/>
              </w:rPr>
              <w:t xml:space="preserve"> e ndryshme t</w:t>
            </w:r>
            <w:r w:rsidR="00503891" w:rsidRPr="00503891">
              <w:rPr>
                <w:sz w:val="22"/>
                <w:szCs w:val="22"/>
                <w:lang w:val="sq-AL"/>
              </w:rPr>
              <w:t>ë</w:t>
            </w:r>
            <w:r w:rsidRPr="00503891">
              <w:rPr>
                <w:sz w:val="22"/>
                <w:szCs w:val="22"/>
                <w:lang w:val="sq-AL"/>
              </w:rPr>
              <w:t xml:space="preserve"> zbulimit, dizajnit dhe zhvillimit. Gjithashtu n</w:t>
            </w:r>
            <w:r w:rsidR="00503891" w:rsidRPr="00503891">
              <w:rPr>
                <w:sz w:val="22"/>
                <w:szCs w:val="22"/>
                <w:lang w:val="sq-AL"/>
              </w:rPr>
              <w:t>ë</w:t>
            </w:r>
            <w:r w:rsidRPr="00503891">
              <w:rPr>
                <w:sz w:val="22"/>
                <w:szCs w:val="22"/>
                <w:lang w:val="sq-AL"/>
              </w:rPr>
              <w:t xml:space="preserve"> </w:t>
            </w:r>
            <w:r w:rsidR="00503891" w:rsidRPr="00503891">
              <w:rPr>
                <w:sz w:val="22"/>
                <w:szCs w:val="22"/>
                <w:lang w:val="sq-AL"/>
              </w:rPr>
              <w:t>ketë</w:t>
            </w:r>
            <w:r w:rsidRPr="00503891">
              <w:rPr>
                <w:sz w:val="22"/>
                <w:szCs w:val="22"/>
                <w:lang w:val="sq-AL"/>
              </w:rPr>
              <w:t xml:space="preserve"> kurs do te trajtohen edhe disa aspekte te </w:t>
            </w:r>
            <w:r w:rsidR="00503891" w:rsidRPr="00503891">
              <w:rPr>
                <w:sz w:val="22"/>
                <w:szCs w:val="22"/>
                <w:lang w:val="sq-AL"/>
              </w:rPr>
              <w:t>sintezës</w:t>
            </w:r>
            <w:r w:rsidRPr="00503891">
              <w:rPr>
                <w:sz w:val="22"/>
                <w:szCs w:val="22"/>
                <w:lang w:val="sq-AL"/>
              </w:rPr>
              <w:t xml:space="preserve"> dhe </w:t>
            </w:r>
            <w:r w:rsidR="00503891" w:rsidRPr="00503891">
              <w:rPr>
                <w:sz w:val="22"/>
                <w:szCs w:val="22"/>
                <w:lang w:val="sq-AL"/>
              </w:rPr>
              <w:t>analizës</w:t>
            </w:r>
            <w:r w:rsidRPr="00503891">
              <w:rPr>
                <w:sz w:val="22"/>
                <w:szCs w:val="22"/>
                <w:lang w:val="sq-AL"/>
              </w:rPr>
              <w:t xml:space="preserve"> se barnave. Kjo lende rezulton t</w:t>
            </w:r>
            <w:r w:rsidR="00503891" w:rsidRPr="00503891">
              <w:rPr>
                <w:sz w:val="22"/>
                <w:szCs w:val="22"/>
                <w:lang w:val="sq-AL"/>
              </w:rPr>
              <w:t>ë</w:t>
            </w:r>
            <w:r w:rsidRPr="00503891">
              <w:rPr>
                <w:sz w:val="22"/>
                <w:szCs w:val="22"/>
                <w:lang w:val="sq-AL"/>
              </w:rPr>
              <w:t xml:space="preserve"> ket</w:t>
            </w:r>
            <w:r w:rsidR="00503891" w:rsidRPr="00503891">
              <w:rPr>
                <w:sz w:val="22"/>
                <w:szCs w:val="22"/>
                <w:lang w:val="sq-AL"/>
              </w:rPr>
              <w:t>ë</w:t>
            </w:r>
            <w:r w:rsidRPr="00503891">
              <w:rPr>
                <w:sz w:val="22"/>
                <w:szCs w:val="22"/>
                <w:lang w:val="sq-AL"/>
              </w:rPr>
              <w:t xml:space="preserve"> </w:t>
            </w:r>
            <w:r w:rsidR="00503891" w:rsidRPr="00503891">
              <w:rPr>
                <w:sz w:val="22"/>
                <w:szCs w:val="22"/>
                <w:lang w:val="sq-AL"/>
              </w:rPr>
              <w:t>një</w:t>
            </w:r>
            <w:r w:rsidRPr="00503891">
              <w:rPr>
                <w:sz w:val="22"/>
                <w:szCs w:val="22"/>
                <w:lang w:val="sq-AL"/>
              </w:rPr>
              <w:t xml:space="preserve"> rol esencial </w:t>
            </w:r>
            <w:r w:rsidR="00503891" w:rsidRPr="00503891">
              <w:rPr>
                <w:sz w:val="22"/>
                <w:szCs w:val="22"/>
                <w:lang w:val="sq-AL"/>
              </w:rPr>
              <w:t>për</w:t>
            </w:r>
            <w:r w:rsidRPr="00503891">
              <w:rPr>
                <w:sz w:val="22"/>
                <w:szCs w:val="22"/>
                <w:lang w:val="sq-AL"/>
              </w:rPr>
              <w:t xml:space="preserve"> tu kuptuar studimi sistematik i grupeve t</w:t>
            </w:r>
            <w:r w:rsidR="00503891" w:rsidRPr="00503891">
              <w:rPr>
                <w:sz w:val="22"/>
                <w:szCs w:val="22"/>
                <w:lang w:val="sq-AL"/>
              </w:rPr>
              <w:t>ë</w:t>
            </w:r>
            <w:r w:rsidRPr="00503891">
              <w:rPr>
                <w:sz w:val="22"/>
                <w:szCs w:val="22"/>
                <w:lang w:val="sq-AL"/>
              </w:rPr>
              <w:t xml:space="preserve"> ndryshme t</w:t>
            </w:r>
            <w:r w:rsidR="00503891" w:rsidRPr="00503891">
              <w:rPr>
                <w:sz w:val="22"/>
                <w:szCs w:val="22"/>
                <w:lang w:val="sq-AL"/>
              </w:rPr>
              <w:t>ë</w:t>
            </w:r>
            <w:r w:rsidRPr="00503891">
              <w:rPr>
                <w:sz w:val="22"/>
                <w:szCs w:val="22"/>
                <w:lang w:val="sq-AL"/>
              </w:rPr>
              <w:t xml:space="preserve"> barnave n</w:t>
            </w:r>
            <w:r w:rsidR="00503891" w:rsidRPr="00503891">
              <w:rPr>
                <w:sz w:val="22"/>
                <w:szCs w:val="22"/>
                <w:lang w:val="sq-AL"/>
              </w:rPr>
              <w:t>ë</w:t>
            </w:r>
            <w:r w:rsidRPr="00503891">
              <w:rPr>
                <w:sz w:val="22"/>
                <w:szCs w:val="22"/>
                <w:lang w:val="sq-AL"/>
              </w:rPr>
              <w:t xml:space="preserve"> baz</w:t>
            </w:r>
            <w:r w:rsidR="00503891" w:rsidRPr="00503891">
              <w:rPr>
                <w:sz w:val="22"/>
                <w:szCs w:val="22"/>
                <w:lang w:val="sq-AL"/>
              </w:rPr>
              <w:t>ë</w:t>
            </w:r>
            <w:r w:rsidRPr="00503891">
              <w:rPr>
                <w:sz w:val="22"/>
                <w:szCs w:val="22"/>
                <w:lang w:val="sq-AL"/>
              </w:rPr>
              <w:t xml:space="preserve"> t</w:t>
            </w:r>
            <w:r w:rsidR="00503891" w:rsidRPr="00503891">
              <w:rPr>
                <w:sz w:val="22"/>
                <w:szCs w:val="22"/>
                <w:lang w:val="sq-AL"/>
              </w:rPr>
              <w:t>ë</w:t>
            </w:r>
            <w:r w:rsidRPr="00503891">
              <w:rPr>
                <w:sz w:val="22"/>
                <w:szCs w:val="22"/>
                <w:lang w:val="sq-AL"/>
              </w:rPr>
              <w:t xml:space="preserve"> mekanizmit t</w:t>
            </w:r>
            <w:r w:rsidR="00503891" w:rsidRPr="00503891">
              <w:rPr>
                <w:sz w:val="22"/>
                <w:szCs w:val="22"/>
                <w:lang w:val="sq-AL"/>
              </w:rPr>
              <w:t>ë</w:t>
            </w:r>
            <w:r w:rsidRPr="00503891">
              <w:rPr>
                <w:sz w:val="22"/>
                <w:szCs w:val="22"/>
                <w:lang w:val="sq-AL"/>
              </w:rPr>
              <w:t xml:space="preserve"> tyre t</w:t>
            </w:r>
            <w:r w:rsidR="00503891" w:rsidRPr="00503891">
              <w:rPr>
                <w:sz w:val="22"/>
                <w:szCs w:val="22"/>
                <w:lang w:val="sq-AL"/>
              </w:rPr>
              <w:t>ë</w:t>
            </w:r>
            <w:r w:rsidRPr="00503891">
              <w:rPr>
                <w:sz w:val="22"/>
                <w:szCs w:val="22"/>
                <w:lang w:val="sq-AL"/>
              </w:rPr>
              <w:t xml:space="preserve"> veprimit dhe </w:t>
            </w:r>
            <w:r w:rsidR="00503891" w:rsidRPr="00503891">
              <w:rPr>
                <w:sz w:val="22"/>
                <w:szCs w:val="22"/>
                <w:lang w:val="sq-AL"/>
              </w:rPr>
              <w:t>përdorimit</w:t>
            </w:r>
            <w:r w:rsidRPr="00503891">
              <w:rPr>
                <w:sz w:val="22"/>
                <w:szCs w:val="22"/>
                <w:lang w:val="sq-AL"/>
              </w:rPr>
              <w:t xml:space="preserve"> terapeutik</w:t>
            </w:r>
          </w:p>
        </w:tc>
      </w:tr>
      <w:tr w:rsidR="00CF116F" w:rsidRPr="00503891" w14:paraId="67B0951A" w14:textId="77777777" w:rsidTr="00183923">
        <w:tc>
          <w:tcPr>
            <w:tcW w:w="3617" w:type="dxa"/>
          </w:tcPr>
          <w:p w14:paraId="43E9EAC7" w14:textId="77777777" w:rsidR="00CF116F" w:rsidRPr="00503891" w:rsidRDefault="00CF116F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7FE0A1EA" w14:textId="77777777" w:rsidR="007C3132" w:rsidRPr="00503891" w:rsidRDefault="00503891" w:rsidP="00CD0417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Sigurimi i njohurive të</w:t>
            </w:r>
            <w:r w:rsidR="009E1890" w:rsidRPr="00503891">
              <w:rPr>
                <w:sz w:val="22"/>
                <w:szCs w:val="22"/>
                <w:lang w:val="sq-AL"/>
              </w:rPr>
              <w:t xml:space="preserve"> nevojshme mbi parimet themelore të kimisë farmaceutike, duke përfshirë zbulimin, dizajnin dhe zhvillimin e barnave. Kjo lëndë do të përfshijë konceptet fundamentale të lidhura me relacionin ndërmjet strukturës dhe aktivitetit biologjik të barit</w:t>
            </w:r>
            <w:r w:rsidR="009E1890" w:rsidRPr="00503891">
              <w:rPr>
                <w:b/>
                <w:sz w:val="22"/>
                <w:szCs w:val="22"/>
                <w:lang w:val="sq-AL"/>
              </w:rPr>
              <w:t xml:space="preserve">. </w:t>
            </w:r>
            <w:r w:rsidR="00CD0417" w:rsidRPr="00503891">
              <w:rPr>
                <w:sz w:val="22"/>
                <w:szCs w:val="22"/>
                <w:lang w:val="sq-AL"/>
              </w:rPr>
              <w:t xml:space="preserve">Në këtë lëndë studentet do të njihen me vetitë e grupeve të ndryshme farmakoterapeutike të barnave, përfshirë formulën e përgjithshme, vetitë fizikokimike, reaksionet kimike dhe </w:t>
            </w:r>
            <w:r w:rsidRPr="00503891">
              <w:rPr>
                <w:sz w:val="22"/>
                <w:szCs w:val="22"/>
                <w:lang w:val="sq-AL"/>
              </w:rPr>
              <w:t>rrugët</w:t>
            </w:r>
            <w:r w:rsidR="00CD0417" w:rsidRPr="00503891">
              <w:rPr>
                <w:sz w:val="22"/>
                <w:szCs w:val="22"/>
                <w:lang w:val="sq-AL"/>
              </w:rPr>
              <w:t xml:space="preserve"> e </w:t>
            </w:r>
            <w:r w:rsidRPr="00503891">
              <w:rPr>
                <w:sz w:val="22"/>
                <w:szCs w:val="22"/>
                <w:lang w:val="sq-AL"/>
              </w:rPr>
              <w:t>sintezës</w:t>
            </w:r>
            <w:r w:rsidR="00056EE0" w:rsidRPr="00503891">
              <w:rPr>
                <w:sz w:val="22"/>
                <w:szCs w:val="22"/>
                <w:lang w:val="sq-AL"/>
              </w:rPr>
              <w:t xml:space="preserve"> dhe ndikimin e strukturës së barit në profilin farmakologjik, toksikologjik dhe terapeutik të tij. </w:t>
            </w:r>
            <w:r w:rsidR="00CD0417" w:rsidRPr="00503891">
              <w:rPr>
                <w:sz w:val="22"/>
                <w:szCs w:val="22"/>
                <w:lang w:val="sq-AL"/>
              </w:rPr>
              <w:t xml:space="preserve"> G</w:t>
            </w:r>
            <w:r w:rsidR="009E1890" w:rsidRPr="00503891">
              <w:rPr>
                <w:sz w:val="22"/>
                <w:szCs w:val="22"/>
                <w:lang w:val="sq-AL"/>
              </w:rPr>
              <w:t>jithashtu, ky kurs do të sigurojë një njohuri të avancuar mbi zhvillimin dhe prodhimin e barnave, dhe në veçanti zhvillimin dhe aplikimin e analizave bashkëkohore farmaceutike dhe bioanalitike si komponentë esenciale të menaxhimit të kualitetit farmaceutik</w:t>
            </w:r>
            <w:r w:rsidR="00BF024C" w:rsidRPr="00503891">
              <w:rPr>
                <w:sz w:val="22"/>
                <w:szCs w:val="22"/>
                <w:lang w:val="sq-AL"/>
              </w:rPr>
              <w:t xml:space="preserve">. </w:t>
            </w:r>
          </w:p>
        </w:tc>
      </w:tr>
      <w:tr w:rsidR="009E1890" w:rsidRPr="00503891" w14:paraId="27EF6F5A" w14:textId="77777777" w:rsidTr="00183923">
        <w:tc>
          <w:tcPr>
            <w:tcW w:w="3617" w:type="dxa"/>
          </w:tcPr>
          <w:p w14:paraId="7C54F376" w14:textId="77777777" w:rsidR="009E1890" w:rsidRPr="00503891" w:rsidRDefault="009E1890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620D0115" w14:textId="77777777" w:rsidR="009E1890" w:rsidRPr="00503891" w:rsidRDefault="009E1890" w:rsidP="00CD0417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Pas përfundimit të këtij kursi studentët do të jenë në gjendje të kuptojnë marrëdhëniet midis strukturës kimike të barnave, vetive fiziko-kimike, veprimit farmakologjik dhe zbatimit terapeutik të tyre</w:t>
            </w:r>
            <w:r w:rsidR="006F5CCF" w:rsidRPr="00503891">
              <w:rPr>
                <w:sz w:val="22"/>
                <w:szCs w:val="22"/>
                <w:lang w:val="sq-AL"/>
              </w:rPr>
              <w:t>,</w:t>
            </w:r>
            <w:r w:rsidR="00CD0417" w:rsidRPr="00503891">
              <w:rPr>
                <w:sz w:val="22"/>
                <w:szCs w:val="22"/>
                <w:lang w:val="sq-AL"/>
              </w:rPr>
              <w:t xml:space="preserve"> </w:t>
            </w:r>
            <w:r w:rsidR="006F5CCF" w:rsidRPr="00503891">
              <w:rPr>
                <w:sz w:val="22"/>
                <w:szCs w:val="22"/>
                <w:lang w:val="sq-AL"/>
              </w:rPr>
              <w:t>të përcaktojnë se cilat pjesë të molekulës janë të rëndësishme për veprimin e barit.</w:t>
            </w:r>
            <w:r w:rsidRPr="00503891">
              <w:rPr>
                <w:sz w:val="22"/>
                <w:szCs w:val="22"/>
                <w:lang w:val="sq-AL"/>
              </w:rPr>
              <w:t xml:space="preserve"> </w:t>
            </w:r>
            <w:r w:rsidR="006F5CCF" w:rsidRPr="00503891">
              <w:rPr>
                <w:sz w:val="22"/>
                <w:szCs w:val="22"/>
                <w:lang w:val="sq-AL"/>
              </w:rPr>
              <w:t xml:space="preserve">Gjithashtu, duke u bazuar në strukturës e barit, studentet  do të jenë në gjendje të përshkruajnë mekanizmin e veprimit, përdorimin  dhe mënyrën e aplikimit të tij. </w:t>
            </w:r>
            <w:r w:rsidRPr="00503891">
              <w:rPr>
                <w:sz w:val="22"/>
                <w:szCs w:val="22"/>
                <w:lang w:val="sq-AL"/>
              </w:rPr>
              <w:t xml:space="preserve">Për më tepër, </w:t>
            </w:r>
            <w:r w:rsidRPr="00503891">
              <w:rPr>
                <w:sz w:val="22"/>
                <w:szCs w:val="22"/>
                <w:lang w:val="sq-AL"/>
              </w:rPr>
              <w:lastRenderedPageBreak/>
              <w:t>studentët do të fitojnë aftësitë që duke filluar nga struktura kimike e barnave gjatë ret</w:t>
            </w:r>
            <w:r w:rsidR="00503891" w:rsidRPr="00503891">
              <w:rPr>
                <w:sz w:val="22"/>
                <w:szCs w:val="22"/>
                <w:lang w:val="sq-AL"/>
              </w:rPr>
              <w:t>r</w:t>
            </w:r>
            <w:r w:rsidRPr="00503891">
              <w:rPr>
                <w:sz w:val="22"/>
                <w:szCs w:val="22"/>
                <w:lang w:val="sq-AL"/>
              </w:rPr>
              <w:t>o-sintezës për të konkluduar për praninë e materialeve fillestare dhe produkteve anësore në produktin përfundimtar. Në këtë mënyrë studentët do të jenë në gjendje të vlerësojnë me kompetencë cilësinë e barnave</w:t>
            </w:r>
            <w:r w:rsidR="00056EE0" w:rsidRPr="00503891">
              <w:rPr>
                <w:sz w:val="22"/>
                <w:szCs w:val="22"/>
                <w:lang w:val="sq-AL"/>
              </w:rPr>
              <w:t xml:space="preserve"> dhe informimin dhe këshillimin kompetent të pacientëve mbi veprimin e barnave.</w:t>
            </w:r>
          </w:p>
        </w:tc>
      </w:tr>
      <w:tr w:rsidR="00FF7590" w:rsidRPr="00503891" w14:paraId="4AE0FB8A" w14:textId="77777777" w:rsidTr="00004B39">
        <w:tc>
          <w:tcPr>
            <w:tcW w:w="8856" w:type="dxa"/>
            <w:gridSpan w:val="4"/>
            <w:shd w:val="clear" w:color="auto" w:fill="B8CCE4"/>
          </w:tcPr>
          <w:p w14:paraId="278F98AD" w14:textId="77777777" w:rsidR="00FF7590" w:rsidRPr="00503891" w:rsidRDefault="00FF7590" w:rsidP="00951B86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FB050B" w:rsidRPr="00503891" w14:paraId="1A4715A8" w14:textId="77777777" w:rsidTr="00EF57F9">
        <w:tc>
          <w:tcPr>
            <w:tcW w:w="8856" w:type="dxa"/>
            <w:gridSpan w:val="4"/>
            <w:shd w:val="clear" w:color="auto" w:fill="B8CCE4"/>
          </w:tcPr>
          <w:p w14:paraId="341EBD0B" w14:textId="77777777" w:rsidR="00FB050B" w:rsidRPr="00503891" w:rsidRDefault="00183923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 xml:space="preserve">Kontributi nё </w:t>
            </w:r>
            <w:r w:rsidR="00503891" w:rsidRPr="00503891">
              <w:rPr>
                <w:b/>
                <w:sz w:val="22"/>
                <w:szCs w:val="22"/>
                <w:lang w:val="sq-AL"/>
              </w:rPr>
              <w:t>ngarkesën</w:t>
            </w:r>
            <w:r w:rsidRPr="00503891">
              <w:rPr>
                <w:b/>
                <w:sz w:val="22"/>
                <w:szCs w:val="22"/>
                <w:lang w:val="sq-AL"/>
              </w:rPr>
              <w:t xml:space="preserve"> e studentit ( </w:t>
            </w:r>
            <w:r w:rsidR="00076881" w:rsidRPr="00503891">
              <w:rPr>
                <w:b/>
                <w:sz w:val="22"/>
                <w:szCs w:val="22"/>
                <w:lang w:val="sq-AL"/>
              </w:rPr>
              <w:t>gjë</w:t>
            </w:r>
            <w:r w:rsidRPr="00503891">
              <w:rPr>
                <w:b/>
                <w:sz w:val="22"/>
                <w:szCs w:val="22"/>
                <w:lang w:val="sq-AL"/>
              </w:rPr>
              <w:t xml:space="preserve"> </w:t>
            </w:r>
            <w:r w:rsidR="00076881" w:rsidRPr="00503891">
              <w:rPr>
                <w:b/>
                <w:sz w:val="22"/>
                <w:szCs w:val="22"/>
                <w:lang w:val="sq-AL"/>
              </w:rPr>
              <w:t>që</w:t>
            </w:r>
            <w:r w:rsidRPr="00503891">
              <w:rPr>
                <w:b/>
                <w:sz w:val="22"/>
                <w:szCs w:val="22"/>
                <w:lang w:val="sq-AL"/>
              </w:rPr>
              <w:t xml:space="preserve"> duhet </w:t>
            </w:r>
            <w:r w:rsidR="00076881" w:rsidRPr="00503891">
              <w:rPr>
                <w:b/>
                <w:sz w:val="22"/>
                <w:szCs w:val="22"/>
                <w:lang w:val="sq-AL"/>
              </w:rPr>
              <w:t>të</w:t>
            </w:r>
            <w:r w:rsidRPr="00503891">
              <w:rPr>
                <w:b/>
                <w:sz w:val="22"/>
                <w:szCs w:val="22"/>
                <w:lang w:val="sq-AL"/>
              </w:rPr>
              <w:t xml:space="preserve"> korrespondoj</w:t>
            </w:r>
            <w:r w:rsidR="00076881" w:rsidRPr="00503891">
              <w:rPr>
                <w:b/>
                <w:sz w:val="22"/>
                <w:szCs w:val="22"/>
                <w:lang w:val="sq-AL"/>
              </w:rPr>
              <w:t>ё</w:t>
            </w:r>
            <w:r w:rsidRPr="00503891">
              <w:rPr>
                <w:b/>
                <w:sz w:val="22"/>
                <w:szCs w:val="22"/>
                <w:lang w:val="sq-AL"/>
              </w:rPr>
              <w:t xml:space="preserve"> me rezultatet e tё nxёnit tё studentit)</w:t>
            </w:r>
          </w:p>
        </w:tc>
      </w:tr>
      <w:tr w:rsidR="00183923" w:rsidRPr="00503891" w14:paraId="246B0313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34168C86" w14:textId="77777777" w:rsidR="00183923" w:rsidRPr="00503891" w:rsidRDefault="00183923" w:rsidP="00951B86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019B6E3" w14:textId="77777777" w:rsidR="00183923" w:rsidRPr="00503891" w:rsidRDefault="00183923" w:rsidP="00951B86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58A03DF" w14:textId="77777777" w:rsidR="00183923" w:rsidRPr="00503891" w:rsidRDefault="00183923" w:rsidP="00951B86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2AC360F3" w14:textId="77777777" w:rsidR="00183923" w:rsidRPr="00503891" w:rsidRDefault="00183923" w:rsidP="00951B86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Gjithësej</w:t>
            </w:r>
          </w:p>
        </w:tc>
      </w:tr>
      <w:tr w:rsidR="00F92553" w:rsidRPr="00503891" w14:paraId="354D2B0A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861BD9B" w14:textId="77777777" w:rsidR="00F92553" w:rsidRPr="00503891" w:rsidRDefault="00F92553" w:rsidP="00951B86">
            <w:pPr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3A4A6" w14:textId="77777777" w:rsidR="00F92553" w:rsidRPr="00503891" w:rsidRDefault="00F92553" w:rsidP="00DE052D">
            <w:pPr>
              <w:rPr>
                <w:color w:val="000000"/>
                <w:sz w:val="20"/>
                <w:szCs w:val="20"/>
                <w:lang w:val="sq-AL"/>
              </w:rPr>
            </w:pPr>
            <w:r w:rsidRPr="00503891">
              <w:rPr>
                <w:color w:val="000000"/>
                <w:sz w:val="20"/>
                <w:szCs w:val="20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036C4" w14:textId="77777777" w:rsidR="00F92553" w:rsidRPr="00503891" w:rsidRDefault="00F92553" w:rsidP="00DE052D">
            <w:pPr>
              <w:rPr>
                <w:color w:val="000000"/>
                <w:sz w:val="20"/>
                <w:szCs w:val="20"/>
                <w:lang w:val="sq-AL"/>
              </w:rPr>
            </w:pPr>
            <w:r w:rsidRPr="00503891">
              <w:rPr>
                <w:color w:val="000000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F01DB76" w14:textId="77777777" w:rsidR="00F92553" w:rsidRPr="00503891" w:rsidRDefault="00F92553" w:rsidP="00DE052D">
            <w:pPr>
              <w:rPr>
                <w:color w:val="000000"/>
                <w:sz w:val="20"/>
                <w:szCs w:val="20"/>
                <w:lang w:val="sq-AL"/>
              </w:rPr>
            </w:pPr>
            <w:r w:rsidRPr="00503891">
              <w:rPr>
                <w:color w:val="000000"/>
                <w:sz w:val="20"/>
                <w:szCs w:val="20"/>
                <w:lang w:val="sq-AL"/>
              </w:rPr>
              <w:t>45</w:t>
            </w:r>
          </w:p>
        </w:tc>
      </w:tr>
      <w:tr w:rsidR="00F92553" w:rsidRPr="00503891" w14:paraId="62DCF8AC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C78EB22" w14:textId="77777777" w:rsidR="00F92553" w:rsidRPr="00503891" w:rsidRDefault="00F92553" w:rsidP="00951B86">
            <w:pPr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162A5" w14:textId="77777777" w:rsidR="00F92553" w:rsidRPr="00503891" w:rsidRDefault="00F92553" w:rsidP="00DE052D">
            <w:pPr>
              <w:rPr>
                <w:color w:val="000000"/>
                <w:sz w:val="20"/>
                <w:szCs w:val="20"/>
                <w:lang w:val="sq-AL"/>
              </w:rPr>
            </w:pPr>
            <w:r w:rsidRPr="00503891">
              <w:rPr>
                <w:color w:val="000000"/>
                <w:sz w:val="20"/>
                <w:szCs w:val="20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25857" w14:textId="77777777" w:rsidR="00F92553" w:rsidRPr="00503891" w:rsidRDefault="00F92553" w:rsidP="00DE052D">
            <w:pPr>
              <w:rPr>
                <w:color w:val="000000"/>
                <w:sz w:val="20"/>
                <w:szCs w:val="20"/>
                <w:lang w:val="sq-AL"/>
              </w:rPr>
            </w:pPr>
            <w:r w:rsidRPr="00503891">
              <w:rPr>
                <w:color w:val="000000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353D9F3" w14:textId="77777777" w:rsidR="00F92553" w:rsidRPr="00503891" w:rsidRDefault="00F92553" w:rsidP="00DE052D">
            <w:pPr>
              <w:rPr>
                <w:color w:val="000000"/>
                <w:sz w:val="20"/>
                <w:szCs w:val="20"/>
                <w:lang w:val="sq-AL"/>
              </w:rPr>
            </w:pPr>
            <w:r w:rsidRPr="00503891">
              <w:rPr>
                <w:color w:val="000000"/>
                <w:sz w:val="20"/>
                <w:szCs w:val="20"/>
                <w:lang w:val="sq-AL"/>
              </w:rPr>
              <w:t>45</w:t>
            </w:r>
          </w:p>
        </w:tc>
      </w:tr>
      <w:tr w:rsidR="00F92553" w:rsidRPr="00503891" w14:paraId="7DEDF328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23CBD91" w14:textId="77777777" w:rsidR="00F92553" w:rsidRPr="00503891" w:rsidRDefault="00F92553" w:rsidP="00951B86">
            <w:pPr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150C5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48164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8A49B7E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</w:p>
        </w:tc>
      </w:tr>
      <w:tr w:rsidR="00F92553" w:rsidRPr="00503891" w14:paraId="548196D7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C964330" w14:textId="77777777" w:rsidR="00F92553" w:rsidRPr="00503891" w:rsidRDefault="00F92553" w:rsidP="00F92553">
            <w:pPr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C5371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  <w:r w:rsidRPr="00503891">
              <w:rPr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9E912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  <w:r w:rsidRPr="00503891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3AF3B44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  <w:r w:rsidRPr="00503891">
              <w:rPr>
                <w:sz w:val="20"/>
                <w:szCs w:val="20"/>
                <w:lang w:val="sq-AL"/>
              </w:rPr>
              <w:t>8</w:t>
            </w:r>
          </w:p>
        </w:tc>
      </w:tr>
      <w:tr w:rsidR="00F92553" w:rsidRPr="00503891" w14:paraId="2A25BF1C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A84889B" w14:textId="77777777" w:rsidR="00F92553" w:rsidRPr="00503891" w:rsidRDefault="00F92553" w:rsidP="00951B86">
            <w:pPr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95543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8B298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4786774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</w:p>
        </w:tc>
      </w:tr>
      <w:tr w:rsidR="00F92553" w:rsidRPr="00503891" w14:paraId="5312074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5215337" w14:textId="77777777" w:rsidR="00F92553" w:rsidRPr="00503891" w:rsidRDefault="00F92553" w:rsidP="00951B86">
            <w:pPr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227BD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  <w:r w:rsidRPr="00503891">
              <w:rPr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B77CC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  <w:r w:rsidRPr="00503891">
              <w:rPr>
                <w:sz w:val="20"/>
                <w:szCs w:val="20"/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A6F836E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  <w:r w:rsidRPr="00503891">
              <w:rPr>
                <w:sz w:val="20"/>
                <w:szCs w:val="20"/>
                <w:lang w:val="sq-AL"/>
              </w:rPr>
              <w:t>10</w:t>
            </w:r>
          </w:p>
        </w:tc>
      </w:tr>
      <w:tr w:rsidR="00F92553" w:rsidRPr="00503891" w14:paraId="20BFD08C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5ACF87D" w14:textId="77777777" w:rsidR="00F92553" w:rsidRPr="00503891" w:rsidRDefault="00F92553" w:rsidP="00951B86">
            <w:pPr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5D63D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89B54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42BD610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</w:p>
        </w:tc>
      </w:tr>
      <w:tr w:rsidR="00F92553" w:rsidRPr="00503891" w14:paraId="29B260B2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9B04F31" w14:textId="77777777" w:rsidR="00F92553" w:rsidRPr="00503891" w:rsidRDefault="00F92553" w:rsidP="00951B86">
            <w:pPr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AFDD0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  <w:r w:rsidRPr="00503891">
              <w:rPr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80DE0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64900D9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  <w:r w:rsidRPr="00503891">
              <w:rPr>
                <w:sz w:val="20"/>
                <w:szCs w:val="20"/>
                <w:lang w:val="sq-AL"/>
              </w:rPr>
              <w:t>30</w:t>
            </w:r>
          </w:p>
        </w:tc>
      </w:tr>
      <w:tr w:rsidR="00F92553" w:rsidRPr="00503891" w14:paraId="1CB4F8DE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B345AAA" w14:textId="77777777" w:rsidR="00F92553" w:rsidRPr="00503891" w:rsidRDefault="00076881" w:rsidP="00951B86">
            <w:pPr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Përgatitja</w:t>
            </w:r>
            <w:r w:rsidR="00F92553" w:rsidRPr="00503891">
              <w:rPr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708F8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  <w:r w:rsidRPr="00503891">
              <w:rPr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FEA6E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D818415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  <w:r w:rsidRPr="00503891">
              <w:rPr>
                <w:sz w:val="20"/>
                <w:szCs w:val="20"/>
                <w:lang w:val="sq-AL"/>
              </w:rPr>
              <w:t>30</w:t>
            </w:r>
          </w:p>
        </w:tc>
      </w:tr>
      <w:tr w:rsidR="00F92553" w:rsidRPr="00503891" w14:paraId="2AA403AE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5BC0B07" w14:textId="77777777" w:rsidR="00F92553" w:rsidRPr="00503891" w:rsidRDefault="00F92553" w:rsidP="00951B86">
            <w:pPr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Koha e kaluar në vlerësim (teste,</w:t>
            </w:r>
            <w:r w:rsidR="00076881">
              <w:rPr>
                <w:sz w:val="22"/>
                <w:szCs w:val="22"/>
                <w:lang w:val="sq-AL"/>
              </w:rPr>
              <w:t xml:space="preserve"> kuiz</w:t>
            </w:r>
            <w:r w:rsidRPr="00503891">
              <w:rPr>
                <w:sz w:val="22"/>
                <w:szCs w:val="22"/>
                <w:lang w:val="sq-AL"/>
              </w:rPr>
              <w:t>,</w:t>
            </w:r>
            <w:r w:rsidR="00076881">
              <w:rPr>
                <w:sz w:val="22"/>
                <w:szCs w:val="22"/>
                <w:lang w:val="sq-AL"/>
              </w:rPr>
              <w:t xml:space="preserve"> </w:t>
            </w:r>
            <w:r w:rsidRPr="00503891">
              <w:rPr>
                <w:sz w:val="22"/>
                <w:szCs w:val="22"/>
                <w:lang w:val="sq-AL"/>
              </w:rPr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FF616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  <w:r w:rsidRPr="00503891">
              <w:rPr>
                <w:sz w:val="20"/>
                <w:szCs w:val="20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0B56E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98D3E83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  <w:r w:rsidRPr="00503891">
              <w:rPr>
                <w:sz w:val="20"/>
                <w:szCs w:val="20"/>
                <w:lang w:val="sq-AL"/>
              </w:rPr>
              <w:t>3</w:t>
            </w:r>
          </w:p>
        </w:tc>
      </w:tr>
      <w:tr w:rsidR="00F92553" w:rsidRPr="00503891" w14:paraId="6CE160D2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12DE6C0" w14:textId="77777777" w:rsidR="00F92553" w:rsidRPr="00503891" w:rsidRDefault="00F92553" w:rsidP="00951B86">
            <w:pPr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Projektet,</w:t>
            </w:r>
            <w:r w:rsidR="00076881">
              <w:rPr>
                <w:sz w:val="22"/>
                <w:szCs w:val="22"/>
                <w:lang w:val="sq-AL"/>
              </w:rPr>
              <w:t xml:space="preserve"> </w:t>
            </w:r>
            <w:r w:rsidR="00076881" w:rsidRPr="00503891">
              <w:rPr>
                <w:sz w:val="22"/>
                <w:szCs w:val="22"/>
                <w:lang w:val="sq-AL"/>
              </w:rPr>
              <w:t>prezantimet</w:t>
            </w:r>
            <w:r w:rsidRPr="00503891">
              <w:rPr>
                <w:sz w:val="22"/>
                <w:szCs w:val="22"/>
                <w:lang w:val="sq-AL"/>
              </w:rPr>
              <w:t xml:space="preserve"> ,etj</w:t>
            </w:r>
          </w:p>
          <w:p w14:paraId="08FA4AF7" w14:textId="77777777" w:rsidR="00F92553" w:rsidRPr="00503891" w:rsidRDefault="00F92553" w:rsidP="00951B86">
            <w:pPr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A98E9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  <w:r w:rsidRPr="00503891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8D871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94450ED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  <w:r w:rsidRPr="00503891">
              <w:rPr>
                <w:sz w:val="20"/>
                <w:szCs w:val="20"/>
                <w:lang w:val="sq-AL"/>
              </w:rPr>
              <w:t>4</w:t>
            </w:r>
          </w:p>
        </w:tc>
      </w:tr>
      <w:tr w:rsidR="00F92553" w:rsidRPr="00503891" w14:paraId="384B4106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1D4C587E" w14:textId="77777777" w:rsidR="00F92553" w:rsidRPr="00503891" w:rsidRDefault="00F92553" w:rsidP="00951B86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 xml:space="preserve">Totali </w:t>
            </w:r>
          </w:p>
          <w:p w14:paraId="14EBAB86" w14:textId="77777777" w:rsidR="00F92553" w:rsidRPr="00503891" w:rsidRDefault="00F92553" w:rsidP="00951B86">
            <w:pPr>
              <w:jc w:val="both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01FEDAD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3EDCFF3" w14:textId="77777777" w:rsidR="00F92553" w:rsidRPr="00503891" w:rsidRDefault="00F92553" w:rsidP="00DE052D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654F8FC4" w14:textId="77777777" w:rsidR="00F92553" w:rsidRPr="00076881" w:rsidRDefault="00F92553" w:rsidP="00DE052D">
            <w:pPr>
              <w:rPr>
                <w:b/>
                <w:sz w:val="20"/>
                <w:szCs w:val="20"/>
                <w:lang w:val="sq-AL"/>
              </w:rPr>
            </w:pPr>
            <w:r w:rsidRPr="00076881">
              <w:rPr>
                <w:b/>
                <w:sz w:val="20"/>
                <w:szCs w:val="20"/>
                <w:lang w:val="sq-AL"/>
              </w:rPr>
              <w:t>175/7ECTS</w:t>
            </w:r>
          </w:p>
        </w:tc>
      </w:tr>
      <w:tr w:rsidR="00FF7590" w:rsidRPr="00503891" w14:paraId="389711E6" w14:textId="77777777" w:rsidTr="00004B39">
        <w:tc>
          <w:tcPr>
            <w:tcW w:w="8856" w:type="dxa"/>
            <w:gridSpan w:val="4"/>
            <w:shd w:val="clear" w:color="auto" w:fill="B8CCE4"/>
          </w:tcPr>
          <w:p w14:paraId="3A0A4F75" w14:textId="77777777" w:rsidR="00FF7590" w:rsidRPr="00503891" w:rsidRDefault="00076881" w:rsidP="00951B86">
            <w:pPr>
              <w:jc w:val="both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 xml:space="preserve">ECTS                                                                                                               </w:t>
            </w:r>
            <w:r w:rsidRPr="00076881">
              <w:rPr>
                <w:b/>
                <w:sz w:val="20"/>
                <w:szCs w:val="20"/>
                <w:lang w:val="sq-AL"/>
              </w:rPr>
              <w:t>7  ECTS</w:t>
            </w:r>
          </w:p>
        </w:tc>
      </w:tr>
      <w:tr w:rsidR="00183923" w:rsidRPr="00503891" w14:paraId="035C7092" w14:textId="77777777" w:rsidTr="00183923">
        <w:tc>
          <w:tcPr>
            <w:tcW w:w="3617" w:type="dxa"/>
          </w:tcPr>
          <w:p w14:paraId="16966898" w14:textId="77777777" w:rsidR="00183923" w:rsidRPr="00503891" w:rsidRDefault="00183923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076881" w:rsidRPr="00503891">
              <w:rPr>
                <w:b/>
                <w:sz w:val="22"/>
                <w:szCs w:val="22"/>
                <w:lang w:val="sq-AL"/>
              </w:rPr>
              <w:t>mësimdhënies</w:t>
            </w:r>
            <w:r w:rsidRPr="00503891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23374000" w14:textId="77777777" w:rsidR="00183923" w:rsidRPr="00503891" w:rsidRDefault="00B179E6" w:rsidP="00951B86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Aktivitetet teorike dhe te mbik</w:t>
            </w:r>
            <w:r w:rsidR="00F92553" w:rsidRPr="00503891">
              <w:rPr>
                <w:sz w:val="22"/>
                <w:szCs w:val="22"/>
                <w:lang w:val="sq-AL"/>
              </w:rPr>
              <w:t>ë</w:t>
            </w:r>
            <w:r w:rsidRPr="00503891">
              <w:rPr>
                <w:sz w:val="22"/>
                <w:szCs w:val="22"/>
                <w:lang w:val="sq-AL"/>
              </w:rPr>
              <w:t xml:space="preserve">qyrura: </w:t>
            </w:r>
            <w:r w:rsidR="00F92553" w:rsidRPr="00503891">
              <w:rPr>
                <w:sz w:val="22"/>
                <w:szCs w:val="22"/>
                <w:lang w:val="sq-AL"/>
              </w:rPr>
              <w:t>ligjërata</w:t>
            </w:r>
            <w:r w:rsidRPr="00503891">
              <w:rPr>
                <w:sz w:val="22"/>
                <w:szCs w:val="22"/>
                <w:lang w:val="sq-AL"/>
              </w:rPr>
              <w:t xml:space="preserve">, aktivitetet praktike te mentoruara (tutoruara): praktikat laboratorike, seminaret, </w:t>
            </w:r>
            <w:r w:rsidR="00F92553" w:rsidRPr="00503891">
              <w:rPr>
                <w:sz w:val="22"/>
                <w:szCs w:val="22"/>
                <w:lang w:val="sq-AL"/>
              </w:rPr>
              <w:t>vëmendje</w:t>
            </w:r>
            <w:r w:rsidRPr="00503891">
              <w:rPr>
                <w:sz w:val="22"/>
                <w:szCs w:val="22"/>
                <w:lang w:val="sq-AL"/>
              </w:rPr>
              <w:t xml:space="preserve"> personale (individuale), </w:t>
            </w:r>
            <w:r w:rsidR="00F92553" w:rsidRPr="00503891">
              <w:rPr>
                <w:sz w:val="22"/>
                <w:szCs w:val="22"/>
                <w:lang w:val="sq-AL"/>
              </w:rPr>
              <w:t>mësim</w:t>
            </w:r>
            <w:r w:rsidRPr="00503891">
              <w:rPr>
                <w:sz w:val="22"/>
                <w:szCs w:val="22"/>
                <w:lang w:val="sq-AL"/>
              </w:rPr>
              <w:t xml:space="preserve"> i tutoruar, aktivitetet praktike te pavarura, zgjidhja e problemeve</w:t>
            </w:r>
          </w:p>
          <w:p w14:paraId="199EFCFF" w14:textId="77777777" w:rsidR="00B179E6" w:rsidRPr="00503891" w:rsidRDefault="00B179E6" w:rsidP="00951B86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 xml:space="preserve">Platformat virtual. Praktikat ne </w:t>
            </w:r>
            <w:r w:rsidR="00F92553" w:rsidRPr="00503891">
              <w:rPr>
                <w:sz w:val="22"/>
                <w:szCs w:val="22"/>
                <w:lang w:val="sq-AL"/>
              </w:rPr>
              <w:t>sallën</w:t>
            </w:r>
            <w:r w:rsidRPr="00503891">
              <w:rPr>
                <w:sz w:val="22"/>
                <w:szCs w:val="22"/>
                <w:lang w:val="sq-AL"/>
              </w:rPr>
              <w:t xml:space="preserve"> e  </w:t>
            </w:r>
            <w:r w:rsidR="00F92553" w:rsidRPr="00503891">
              <w:rPr>
                <w:sz w:val="22"/>
                <w:szCs w:val="22"/>
                <w:lang w:val="sq-AL"/>
              </w:rPr>
              <w:t>informatikës</w:t>
            </w:r>
          </w:p>
        </w:tc>
      </w:tr>
      <w:tr w:rsidR="00183923" w:rsidRPr="00503891" w14:paraId="651A0329" w14:textId="77777777" w:rsidTr="00183923">
        <w:tc>
          <w:tcPr>
            <w:tcW w:w="3617" w:type="dxa"/>
          </w:tcPr>
          <w:p w14:paraId="0C5751C8" w14:textId="77777777" w:rsidR="00183923" w:rsidRPr="00503891" w:rsidRDefault="00183923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5239" w:type="dxa"/>
            <w:gridSpan w:val="3"/>
          </w:tcPr>
          <w:p w14:paraId="0CE916BD" w14:textId="77777777" w:rsidR="00183923" w:rsidRPr="00503891" w:rsidRDefault="00183923" w:rsidP="00951B86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183923" w:rsidRPr="00503891" w14:paraId="78DB1DA7" w14:textId="77777777" w:rsidTr="00183923">
        <w:tc>
          <w:tcPr>
            <w:tcW w:w="3617" w:type="dxa"/>
          </w:tcPr>
          <w:p w14:paraId="31F82612" w14:textId="77777777" w:rsidR="00183923" w:rsidRPr="00503891" w:rsidRDefault="00183923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17D942C7" w14:textId="77777777" w:rsidR="00B179E6" w:rsidRPr="00503891" w:rsidRDefault="00F92553" w:rsidP="00951B86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Vlerësimi i vazhdueshëm</w:t>
            </w:r>
            <w:r w:rsidR="00B179E6" w:rsidRPr="00503891">
              <w:rPr>
                <w:sz w:val="22"/>
                <w:szCs w:val="22"/>
                <w:lang w:val="sq-AL"/>
              </w:rPr>
              <w:t xml:space="preserve">: </w:t>
            </w:r>
            <w:r w:rsidRPr="00503891">
              <w:rPr>
                <w:sz w:val="22"/>
                <w:szCs w:val="22"/>
                <w:lang w:val="sq-AL"/>
              </w:rPr>
              <w:t>pjesëmarrja</w:t>
            </w:r>
            <w:r w:rsidR="00B179E6" w:rsidRPr="00503891">
              <w:rPr>
                <w:sz w:val="22"/>
                <w:szCs w:val="22"/>
                <w:lang w:val="sq-AL"/>
              </w:rPr>
              <w:t xml:space="preserve"> ne seminare dhe </w:t>
            </w:r>
            <w:r w:rsidRPr="00503891">
              <w:rPr>
                <w:sz w:val="22"/>
                <w:szCs w:val="22"/>
                <w:lang w:val="sq-AL"/>
              </w:rPr>
              <w:t>mësim</w:t>
            </w:r>
            <w:r w:rsidR="00B179E6" w:rsidRPr="00503891">
              <w:rPr>
                <w:sz w:val="22"/>
                <w:szCs w:val="22"/>
                <w:lang w:val="sq-AL"/>
              </w:rPr>
              <w:t xml:space="preserve"> te </w:t>
            </w:r>
            <w:r w:rsidRPr="00503891">
              <w:rPr>
                <w:sz w:val="22"/>
                <w:szCs w:val="22"/>
                <w:lang w:val="sq-AL"/>
              </w:rPr>
              <w:t>mbikëqyrur</w:t>
            </w:r>
            <w:r w:rsidR="00B179E6" w:rsidRPr="00503891">
              <w:rPr>
                <w:sz w:val="22"/>
                <w:szCs w:val="22"/>
                <w:lang w:val="sq-AL"/>
              </w:rPr>
              <w:t xml:space="preserve"> kolektiv apo individual, realizimi i se paku tre testeve kontrolluese</w:t>
            </w:r>
          </w:p>
          <w:p w14:paraId="04E395A7" w14:textId="77777777" w:rsidR="00B179E6" w:rsidRPr="00503891" w:rsidRDefault="00B179E6" w:rsidP="00951B86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Praktikat laboratorike dhe kompjuter</w:t>
            </w:r>
          </w:p>
          <w:p w14:paraId="29F0D47A" w14:textId="77777777" w:rsidR="00B179E6" w:rsidRPr="00503891" w:rsidRDefault="00B179E6" w:rsidP="00951B86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503891">
              <w:rPr>
                <w:sz w:val="22"/>
                <w:szCs w:val="22"/>
                <w:lang w:val="sq-AL"/>
              </w:rPr>
              <w:t>Provimi me shkrim</w:t>
            </w:r>
          </w:p>
          <w:p w14:paraId="171417A0" w14:textId="77777777" w:rsidR="00183923" w:rsidRPr="00503891" w:rsidRDefault="00183923" w:rsidP="00951B86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183923" w:rsidRPr="00503891" w14:paraId="67583B23" w14:textId="77777777" w:rsidTr="00EF57F9">
        <w:tc>
          <w:tcPr>
            <w:tcW w:w="8856" w:type="dxa"/>
            <w:gridSpan w:val="4"/>
            <w:shd w:val="clear" w:color="auto" w:fill="B8CCE4"/>
          </w:tcPr>
          <w:p w14:paraId="090D8948" w14:textId="77777777" w:rsidR="00183923" w:rsidRPr="00503891" w:rsidRDefault="00183923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 xml:space="preserve">Literatura </w:t>
            </w:r>
          </w:p>
        </w:tc>
      </w:tr>
      <w:tr w:rsidR="00183923" w:rsidRPr="00503891" w14:paraId="7F2A7A55" w14:textId="77777777" w:rsidTr="00183923">
        <w:tc>
          <w:tcPr>
            <w:tcW w:w="3617" w:type="dxa"/>
          </w:tcPr>
          <w:p w14:paraId="3EE19F75" w14:textId="77777777" w:rsidR="00183923" w:rsidRPr="00503891" w:rsidRDefault="00183923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70AF1B00" w14:textId="77777777" w:rsidR="00B179E6" w:rsidRPr="00503891" w:rsidRDefault="00B179E6" w:rsidP="00951B86">
            <w:pPr>
              <w:numPr>
                <w:ilvl w:val="0"/>
                <w:numId w:val="1"/>
              </w:num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503891">
              <w:rPr>
                <w:color w:val="000000"/>
                <w:sz w:val="22"/>
                <w:szCs w:val="22"/>
                <w:lang w:val="sq-AL"/>
              </w:rPr>
              <w:t>J.M. Beale; J.Block. Wilson and Gisold’s Textbook of Organic Medicinal and Pharmaceutical Chemistry; Lippincott Williams &amp; Wilkins; 12-th Edition (March 2, 2010)</w:t>
            </w:r>
          </w:p>
          <w:p w14:paraId="08ABC47E" w14:textId="77777777" w:rsidR="00B179E6" w:rsidRPr="00503891" w:rsidRDefault="00B179E6" w:rsidP="00951B86">
            <w:pPr>
              <w:numPr>
                <w:ilvl w:val="0"/>
                <w:numId w:val="1"/>
              </w:num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503891">
              <w:rPr>
                <w:color w:val="000000"/>
                <w:sz w:val="22"/>
                <w:szCs w:val="22"/>
                <w:lang w:val="sq-AL"/>
              </w:rPr>
              <w:t xml:space="preserve">Richard, B. Silverman. The organic Chemistry of Drug Design and Drug Action. 2-nd edition. </w:t>
            </w:r>
            <w:r w:rsidRPr="00503891">
              <w:rPr>
                <w:color w:val="000000"/>
                <w:sz w:val="22"/>
                <w:szCs w:val="22"/>
                <w:lang w:val="sq-AL"/>
              </w:rPr>
              <w:lastRenderedPageBreak/>
              <w:t xml:space="preserve">Academic Press. 2004. </w:t>
            </w:r>
          </w:p>
          <w:p w14:paraId="409DC20E" w14:textId="77777777" w:rsidR="00183923" w:rsidRPr="00503891" w:rsidRDefault="00B179E6" w:rsidP="00951B86">
            <w:pPr>
              <w:numPr>
                <w:ilvl w:val="0"/>
                <w:numId w:val="1"/>
              </w:num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503891">
              <w:rPr>
                <w:color w:val="000000"/>
                <w:sz w:val="22"/>
                <w:szCs w:val="22"/>
                <w:lang w:val="sq-AL"/>
              </w:rPr>
              <w:t>Dashnor Nebija. Kapituj te zgjedhur nga Kimia farmaceutike - terapeutike. Permbledhje Leksionesh. Prishtine 2010.</w:t>
            </w:r>
          </w:p>
        </w:tc>
      </w:tr>
      <w:tr w:rsidR="00183923" w:rsidRPr="00503891" w14:paraId="60A79820" w14:textId="77777777" w:rsidTr="00183923">
        <w:tc>
          <w:tcPr>
            <w:tcW w:w="3617" w:type="dxa"/>
          </w:tcPr>
          <w:p w14:paraId="1BA41A9F" w14:textId="77777777" w:rsidR="00183923" w:rsidRPr="00503891" w:rsidRDefault="00183923" w:rsidP="00951B86">
            <w:pPr>
              <w:pStyle w:val="NoSpacing"/>
              <w:jc w:val="both"/>
              <w:rPr>
                <w:b/>
                <w:sz w:val="22"/>
                <w:szCs w:val="22"/>
                <w:lang w:val="sq-AL"/>
              </w:rPr>
            </w:pPr>
            <w:r w:rsidRPr="00503891">
              <w:rPr>
                <w:b/>
                <w:sz w:val="22"/>
                <w:szCs w:val="22"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019E1677" w14:textId="77777777" w:rsidR="00B179E6" w:rsidRPr="00503891" w:rsidRDefault="00B179E6" w:rsidP="00951B86">
            <w:pPr>
              <w:numPr>
                <w:ilvl w:val="0"/>
                <w:numId w:val="2"/>
              </w:num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503891">
              <w:rPr>
                <w:color w:val="000000"/>
                <w:sz w:val="22"/>
                <w:szCs w:val="22"/>
                <w:lang w:val="sq-AL"/>
              </w:rPr>
              <w:t>Dashnor Nebija. Analiza farmaceutike farmakopeale. Kapituj te zgjedhur. Universiteti i Prishtines. 2005.</w:t>
            </w:r>
          </w:p>
          <w:p w14:paraId="28D07866" w14:textId="77777777" w:rsidR="00183923" w:rsidRPr="00503891" w:rsidRDefault="00B179E6" w:rsidP="00951B86">
            <w:pPr>
              <w:numPr>
                <w:ilvl w:val="0"/>
                <w:numId w:val="2"/>
              </w:num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503891">
              <w:rPr>
                <w:color w:val="000000"/>
                <w:sz w:val="22"/>
                <w:szCs w:val="22"/>
                <w:lang w:val="sq-AL"/>
              </w:rPr>
              <w:t>European Pharmacopoeia 5.0; British Pharmacopeia; USP/NF; other national Pharmacopoeias and Compendiums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F92553" w14:paraId="2F1B7A46" w14:textId="77777777" w:rsidTr="00EF57F9">
        <w:tc>
          <w:tcPr>
            <w:tcW w:w="8856" w:type="dxa"/>
            <w:gridSpan w:val="2"/>
            <w:shd w:val="clear" w:color="auto" w:fill="B8CCE4"/>
          </w:tcPr>
          <w:p w14:paraId="1883FC60" w14:textId="77777777" w:rsidR="00D67209" w:rsidRPr="00F92553" w:rsidRDefault="00D67209" w:rsidP="00951B86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  <w:p w14:paraId="1A75AA85" w14:textId="77777777" w:rsidR="00D67209" w:rsidRPr="00F92553" w:rsidRDefault="00D67209" w:rsidP="00951B86">
            <w:pPr>
              <w:jc w:val="both"/>
              <w:rPr>
                <w:b/>
                <w:sz w:val="22"/>
                <w:szCs w:val="22"/>
                <w:lang w:val="sq-AL"/>
              </w:rPr>
            </w:pPr>
          </w:p>
        </w:tc>
      </w:tr>
      <w:tr w:rsidR="00D67209" w:rsidRPr="00F92553" w14:paraId="496BC365" w14:textId="77777777" w:rsidTr="00EF57F9">
        <w:tc>
          <w:tcPr>
            <w:tcW w:w="2718" w:type="dxa"/>
            <w:shd w:val="clear" w:color="auto" w:fill="B8CCE4"/>
          </w:tcPr>
          <w:p w14:paraId="4C2E8D9F" w14:textId="77777777" w:rsidR="00D67209" w:rsidRPr="00F92553" w:rsidRDefault="00D67209" w:rsidP="00951B86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30FBDD76" w14:textId="77777777" w:rsidR="00D67209" w:rsidRPr="00F92553" w:rsidRDefault="00D67209" w:rsidP="00951B86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>Ligjerata që do të zhvillohet</w:t>
            </w:r>
          </w:p>
        </w:tc>
      </w:tr>
      <w:tr w:rsidR="00A769FD" w:rsidRPr="00F92553" w14:paraId="09D9A6FE" w14:textId="77777777" w:rsidTr="00D67209">
        <w:tc>
          <w:tcPr>
            <w:tcW w:w="2718" w:type="dxa"/>
          </w:tcPr>
          <w:p w14:paraId="4633D720" w14:textId="77777777" w:rsidR="00A769FD" w:rsidRPr="00F92553" w:rsidRDefault="00A769FD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1</w:t>
            </w:r>
            <w:r w:rsidRPr="00F92553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14:paraId="4DD0D3DF" w14:textId="77777777" w:rsidR="00D857F2" w:rsidRPr="00F92553" w:rsidRDefault="00DB2861" w:rsidP="00D857F2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>Hyrje. Barnat dhe produktet medicinale. Kriteret e klasifikimit te barnave. Hyrje n</w:t>
            </w:r>
            <w:r w:rsidR="00076881" w:rsidRPr="00076881">
              <w:rPr>
                <w:color w:val="000000"/>
                <w:sz w:val="22"/>
                <w:szCs w:val="22"/>
                <w:lang w:val="sq-AL"/>
              </w:rPr>
              <w:t>ë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 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nomenklaturën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 e barnave</w:t>
            </w:r>
            <w:r w:rsidR="00A769FD" w:rsidRPr="00F92553">
              <w:rPr>
                <w:color w:val="000000"/>
                <w:sz w:val="22"/>
                <w:szCs w:val="22"/>
                <w:lang w:val="sq-AL"/>
              </w:rPr>
              <w:t xml:space="preserve">. </w:t>
            </w:r>
          </w:p>
          <w:p w14:paraId="5F5CE568" w14:textId="77777777" w:rsidR="00A769FD" w:rsidRPr="00F92553" w:rsidRDefault="00D857F2" w:rsidP="00D857F2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Antibiotiket. Klasifikimi i AB  i bazuar ne mekanizmin e veprimit dhe 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biosintezën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 e tyre. Kloramfenikoli dhe derivatet e tij. β-laktam antibiotiket. </w:t>
            </w:r>
          </w:p>
        </w:tc>
      </w:tr>
      <w:tr w:rsidR="00A769FD" w:rsidRPr="00F92553" w14:paraId="7C4D3816" w14:textId="77777777" w:rsidTr="00D67209">
        <w:tc>
          <w:tcPr>
            <w:tcW w:w="2718" w:type="dxa"/>
          </w:tcPr>
          <w:p w14:paraId="7DE81A70" w14:textId="77777777" w:rsidR="00A769FD" w:rsidRPr="00F92553" w:rsidRDefault="00A769FD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2</w:t>
            </w:r>
            <w:r w:rsidRPr="00F92553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14:paraId="4C4B356B" w14:textId="77777777" w:rsidR="00A769FD" w:rsidRPr="00F92553" w:rsidRDefault="00076881" w:rsidP="00951B86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Penicilinat. Amidin</w:t>
            </w:r>
            <w:r w:rsidRPr="00076881">
              <w:rPr>
                <w:color w:val="000000"/>
                <w:sz w:val="22"/>
                <w:szCs w:val="22"/>
                <w:lang w:val="sq-AL"/>
              </w:rPr>
              <w:t>ë</w:t>
            </w:r>
            <w:r w:rsidR="00D857F2" w:rsidRPr="00F92553">
              <w:rPr>
                <w:color w:val="000000"/>
                <w:sz w:val="22"/>
                <w:szCs w:val="22"/>
                <w:lang w:val="sq-AL"/>
              </w:rPr>
              <w:t xml:space="preserve"> penicilinat. Karbapenemet dhe klavamet. Derivatet cefem: cefalosporinat, klasifikimi. Cefamicinat, karbacefemet. Monobaktamet.</w:t>
            </w:r>
          </w:p>
        </w:tc>
      </w:tr>
      <w:tr w:rsidR="00622B97" w:rsidRPr="00F92553" w14:paraId="7FB2150C" w14:textId="77777777" w:rsidTr="00D67209">
        <w:tc>
          <w:tcPr>
            <w:tcW w:w="2718" w:type="dxa"/>
          </w:tcPr>
          <w:p w14:paraId="396DAB9D" w14:textId="77777777" w:rsidR="00622B97" w:rsidRPr="00F92553" w:rsidRDefault="00622B97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3</w:t>
            </w:r>
            <w:r w:rsidRPr="00F92553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14:paraId="3F5D772F" w14:textId="77777777" w:rsidR="00622B97" w:rsidRPr="00F92553" w:rsidRDefault="00622B97" w:rsidP="00622B9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Aminoglikosidet. Streptomicina, neomicina, spektinomicina, kanamicina, amikacina, gentamicina. Linkomicinat: klindamicina, linkomicina. </w:t>
            </w:r>
          </w:p>
        </w:tc>
      </w:tr>
      <w:tr w:rsidR="00622B97" w:rsidRPr="00F92553" w14:paraId="653E1DB7" w14:textId="77777777" w:rsidTr="00D67209">
        <w:tc>
          <w:tcPr>
            <w:tcW w:w="2718" w:type="dxa"/>
          </w:tcPr>
          <w:p w14:paraId="6DDE586E" w14:textId="77777777" w:rsidR="00622B97" w:rsidRPr="00F92553" w:rsidRDefault="00622B97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4</w:t>
            </w:r>
            <w:r w:rsidRPr="00F92553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14:paraId="05F36388" w14:textId="77777777" w:rsidR="00622B97" w:rsidRPr="00F92553" w:rsidRDefault="00622B97" w:rsidP="00622B97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>Tetraciklinat. Antibiotiket makrolide: eritromicina dhe derivatet e saj, azitromicina, makrolidet tjera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 xml:space="preserve"> </w:t>
            </w:r>
          </w:p>
        </w:tc>
      </w:tr>
      <w:tr w:rsidR="00622B97" w:rsidRPr="00F92553" w14:paraId="3DE49746" w14:textId="77777777" w:rsidTr="00D67209">
        <w:tc>
          <w:tcPr>
            <w:tcW w:w="2718" w:type="dxa"/>
          </w:tcPr>
          <w:p w14:paraId="1B06CFFF" w14:textId="77777777" w:rsidR="00622B97" w:rsidRPr="00F92553" w:rsidRDefault="00622B97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5</w:t>
            </w:r>
            <w:r w:rsidRPr="00F92553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6F662D4B" w14:textId="77777777" w:rsidR="00622B97" w:rsidRPr="00F92553" w:rsidRDefault="00622B97" w:rsidP="00076881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>Agj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entet antivirale. Antimetabolit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t nukleoside. Inhibitor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t e ADN polimera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z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s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. Ba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rnat antiretrovirale: inhibitor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t e transkriptaz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s reverse (NRTI, NNRTI). Inhibitor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t e HIV-proteaz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s. Inhibitor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 xml:space="preserve">t 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e e fusionit. </w:t>
            </w:r>
            <w:r w:rsidRPr="00076881">
              <w:rPr>
                <w:i/>
                <w:color w:val="000000"/>
                <w:sz w:val="22"/>
                <w:szCs w:val="22"/>
                <w:lang w:val="sq-AL"/>
              </w:rPr>
              <w:t>Entry inhibitors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, CCR5-antagonist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t, inhibitor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t e integraz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s. </w:t>
            </w:r>
          </w:p>
        </w:tc>
      </w:tr>
      <w:tr w:rsidR="00622B97" w:rsidRPr="00F92553" w14:paraId="06CB49DD" w14:textId="77777777" w:rsidTr="00D67209">
        <w:tc>
          <w:tcPr>
            <w:tcW w:w="2718" w:type="dxa"/>
          </w:tcPr>
          <w:p w14:paraId="058C2A2E" w14:textId="77777777" w:rsidR="00622B97" w:rsidRPr="00F92553" w:rsidRDefault="00622B97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6</w:t>
            </w:r>
            <w:r w:rsidRPr="00F92553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14:paraId="6D3AE0B4" w14:textId="77777777" w:rsidR="00622B97" w:rsidRPr="00F92553" w:rsidRDefault="00076881" w:rsidP="00076881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Antiviralet tjere: inhibitor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622B97" w:rsidRPr="00F92553">
              <w:rPr>
                <w:color w:val="000000"/>
                <w:sz w:val="22"/>
                <w:szCs w:val="22"/>
                <w:lang w:val="sq-AL"/>
              </w:rPr>
              <w:t>t</w:t>
            </w:r>
            <w:r>
              <w:rPr>
                <w:color w:val="000000"/>
                <w:sz w:val="22"/>
                <w:szCs w:val="22"/>
                <w:lang w:val="sq-AL"/>
              </w:rPr>
              <w:t xml:space="preserve"> e e neuraminidaz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>
              <w:rPr>
                <w:color w:val="000000"/>
                <w:sz w:val="22"/>
                <w:szCs w:val="22"/>
                <w:lang w:val="sq-AL"/>
              </w:rPr>
              <w:t>s, oligonukleotidet antisens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622B97" w:rsidRPr="00F92553">
              <w:rPr>
                <w:color w:val="000000"/>
                <w:sz w:val="22"/>
                <w:szCs w:val="22"/>
                <w:lang w:val="sq-AL"/>
              </w:rPr>
              <w:t xml:space="preserve">. </w:t>
            </w:r>
          </w:p>
        </w:tc>
      </w:tr>
      <w:tr w:rsidR="006E42CB" w:rsidRPr="00F92553" w14:paraId="08195AE2" w14:textId="77777777" w:rsidTr="00D67209">
        <w:tc>
          <w:tcPr>
            <w:tcW w:w="2718" w:type="dxa"/>
          </w:tcPr>
          <w:p w14:paraId="3FDD4920" w14:textId="77777777" w:rsidR="006E42CB" w:rsidRPr="00F92553" w:rsidRDefault="006E42CB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7</w:t>
            </w:r>
            <w:r w:rsidRPr="00F92553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274B200D" w14:textId="77777777" w:rsidR="006E42CB" w:rsidRPr="00F92553" w:rsidRDefault="006E42CB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>Agjentet antineoplastike. Mjetet alkilue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se bifunksionale. Antimetabolit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t. Alkaloidet citosta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tike. Citostatiket, interkalant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t e ADN-s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  </w:t>
            </w:r>
          </w:p>
        </w:tc>
      </w:tr>
      <w:tr w:rsidR="006E42CB" w:rsidRPr="00F92553" w14:paraId="0BD2EA90" w14:textId="77777777" w:rsidTr="00D67209">
        <w:tc>
          <w:tcPr>
            <w:tcW w:w="2718" w:type="dxa"/>
          </w:tcPr>
          <w:p w14:paraId="4FC04081" w14:textId="77777777" w:rsidR="006E42CB" w:rsidRPr="00F92553" w:rsidRDefault="006E42CB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8:</w:t>
            </w:r>
          </w:p>
        </w:tc>
        <w:tc>
          <w:tcPr>
            <w:tcW w:w="6138" w:type="dxa"/>
          </w:tcPr>
          <w:p w14:paraId="1D777BBE" w14:textId="77777777" w:rsidR="006E42CB" w:rsidRPr="00F92553" w:rsidRDefault="006E42CB" w:rsidP="00076881">
            <w:pPr>
              <w:jc w:val="both"/>
              <w:rPr>
                <w:b/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>Taksanet. Inhibitoret e topoisomera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z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s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 I dhe II. Inhibitor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t e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 tiro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zin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 xml:space="preserve"> kinaz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s. Antitrupat monoklonale. Inhibitor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t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 xml:space="preserve"> 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e proteasomit. Komponimet e ndryshme</w:t>
            </w:r>
          </w:p>
        </w:tc>
      </w:tr>
      <w:tr w:rsidR="006E42CB" w:rsidRPr="00F92553" w14:paraId="4E327DDB" w14:textId="77777777" w:rsidTr="00D67209">
        <w:tc>
          <w:tcPr>
            <w:tcW w:w="2718" w:type="dxa"/>
          </w:tcPr>
          <w:p w14:paraId="357D552E" w14:textId="77777777" w:rsidR="006E42CB" w:rsidRPr="00F92553" w:rsidRDefault="006E42CB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9:</w:t>
            </w:r>
          </w:p>
        </w:tc>
        <w:tc>
          <w:tcPr>
            <w:tcW w:w="6138" w:type="dxa"/>
          </w:tcPr>
          <w:p w14:paraId="24398866" w14:textId="77777777" w:rsidR="006E42CB" w:rsidRPr="00F92553" w:rsidRDefault="006E42CB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>Barnat antiepileptike</w:t>
            </w:r>
          </w:p>
        </w:tc>
      </w:tr>
      <w:tr w:rsidR="006E42CB" w:rsidRPr="00F92553" w14:paraId="528D56CB" w14:textId="77777777" w:rsidTr="00D67209">
        <w:tc>
          <w:tcPr>
            <w:tcW w:w="2718" w:type="dxa"/>
          </w:tcPr>
          <w:p w14:paraId="02131B5F" w14:textId="77777777" w:rsidR="006E42CB" w:rsidRPr="00F92553" w:rsidRDefault="006E42CB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10</w:t>
            </w:r>
            <w:r w:rsidRPr="00F92553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14:paraId="320DB2B3" w14:textId="77777777" w:rsidR="006E42CB" w:rsidRPr="00F92553" w:rsidRDefault="00076881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Anestetiket lokal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6E42CB" w:rsidRPr="00F92553">
              <w:rPr>
                <w:color w:val="000000"/>
                <w:sz w:val="22"/>
                <w:szCs w:val="22"/>
                <w:lang w:val="sq-AL"/>
              </w:rPr>
              <w:t xml:space="preserve">, anestetiket e 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përgjithshëm</w:t>
            </w:r>
            <w:r w:rsidR="006E42CB" w:rsidRPr="00F92553">
              <w:rPr>
                <w:color w:val="000000"/>
                <w:sz w:val="22"/>
                <w:szCs w:val="22"/>
                <w:lang w:val="sq-AL"/>
              </w:rPr>
              <w:t xml:space="preserve"> </w:t>
            </w:r>
          </w:p>
        </w:tc>
      </w:tr>
      <w:tr w:rsidR="006E42CB" w:rsidRPr="00F92553" w14:paraId="1AEC0A2B" w14:textId="77777777" w:rsidTr="00D67209">
        <w:tc>
          <w:tcPr>
            <w:tcW w:w="2718" w:type="dxa"/>
          </w:tcPr>
          <w:p w14:paraId="13478B75" w14:textId="77777777" w:rsidR="006E42CB" w:rsidRPr="00F92553" w:rsidRDefault="006E42CB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11</w:t>
            </w:r>
            <w:r w:rsidRPr="00F92553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3ABDB596" w14:textId="77777777" w:rsidR="006E42CB" w:rsidRPr="00F92553" w:rsidRDefault="006E42CB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>Psikofarmaket. Barnat antipsikotike. Barnat anksiolitike.</w:t>
            </w:r>
            <w:r>
              <w:rPr>
                <w:color w:val="000000"/>
                <w:sz w:val="22"/>
                <w:szCs w:val="22"/>
                <w:lang w:val="sq-AL"/>
              </w:rPr>
              <w:t xml:space="preserve"> 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Hipnotiket dhe sedativet.</w:t>
            </w:r>
          </w:p>
        </w:tc>
      </w:tr>
      <w:tr w:rsidR="006E42CB" w:rsidRPr="00F92553" w14:paraId="7318600C" w14:textId="77777777" w:rsidTr="00D67209">
        <w:tc>
          <w:tcPr>
            <w:tcW w:w="2718" w:type="dxa"/>
          </w:tcPr>
          <w:p w14:paraId="6C4EE2D1" w14:textId="77777777" w:rsidR="006E42CB" w:rsidRPr="00F92553" w:rsidRDefault="006E42CB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 </w:t>
            </w:r>
            <w:r w:rsidR="001A0E6B">
              <w:rPr>
                <w:b/>
                <w:sz w:val="22"/>
                <w:szCs w:val="22"/>
                <w:lang w:val="sq-AL"/>
              </w:rPr>
              <w:t>12</w:t>
            </w:r>
            <w:r w:rsidRPr="00F92553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138" w:type="dxa"/>
          </w:tcPr>
          <w:p w14:paraId="29606BE8" w14:textId="77777777" w:rsidR="006E42CB" w:rsidRPr="00F92553" w:rsidRDefault="006E42CB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Barnat antidepresive. Nootropiket. Terapia e 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sëmundjes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 Alzheimer Barnat antiparkinsonike.</w:t>
            </w:r>
          </w:p>
        </w:tc>
      </w:tr>
      <w:tr w:rsidR="006E42CB" w:rsidRPr="00F92553" w14:paraId="4C511646" w14:textId="77777777" w:rsidTr="00D67209">
        <w:tc>
          <w:tcPr>
            <w:tcW w:w="2718" w:type="dxa"/>
          </w:tcPr>
          <w:p w14:paraId="0929921E" w14:textId="77777777" w:rsidR="006E42CB" w:rsidRPr="00F92553" w:rsidRDefault="006E42CB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 </w:t>
            </w:r>
            <w:r w:rsidR="001A0E6B">
              <w:rPr>
                <w:b/>
                <w:sz w:val="22"/>
                <w:szCs w:val="22"/>
                <w:lang w:val="sq-AL"/>
              </w:rPr>
              <w:t>13</w:t>
            </w:r>
            <w:r w:rsidRPr="00F92553">
              <w:rPr>
                <w:b/>
                <w:sz w:val="22"/>
                <w:szCs w:val="22"/>
                <w:lang w:val="sq-AL"/>
              </w:rPr>
              <w:t xml:space="preserve"> :  </w:t>
            </w:r>
          </w:p>
        </w:tc>
        <w:tc>
          <w:tcPr>
            <w:tcW w:w="6138" w:type="dxa"/>
          </w:tcPr>
          <w:p w14:paraId="1AD72FCA" w14:textId="77777777" w:rsidR="006E42CB" w:rsidRPr="00F92553" w:rsidRDefault="006E42CB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Agjenset analgjezike: morfina dhe komponimet e 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ngjashme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. </w:t>
            </w:r>
          </w:p>
        </w:tc>
      </w:tr>
      <w:tr w:rsidR="006E42CB" w:rsidRPr="00F92553" w14:paraId="05C9E316" w14:textId="77777777" w:rsidTr="00D67209">
        <w:tc>
          <w:tcPr>
            <w:tcW w:w="2718" w:type="dxa"/>
          </w:tcPr>
          <w:p w14:paraId="5DD0569E" w14:textId="77777777" w:rsidR="006E42CB" w:rsidRPr="00F92553" w:rsidRDefault="006E42CB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14</w:t>
            </w:r>
            <w:r w:rsidRPr="00F92553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1C97C76A" w14:textId="77777777" w:rsidR="006E42CB" w:rsidRPr="00F92553" w:rsidRDefault="006E42CB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Analgjeziket anti-inflamatore. Barnat antiinflamatore josteroidale, NSAIDs.  </w:t>
            </w:r>
          </w:p>
        </w:tc>
      </w:tr>
      <w:tr w:rsidR="006E42CB" w:rsidRPr="00F92553" w14:paraId="46F04633" w14:textId="77777777" w:rsidTr="00D67209">
        <w:tc>
          <w:tcPr>
            <w:tcW w:w="2718" w:type="dxa"/>
          </w:tcPr>
          <w:p w14:paraId="2D197199" w14:textId="77777777" w:rsidR="006E42CB" w:rsidRPr="00F92553" w:rsidRDefault="006E42CB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15</w:t>
            </w:r>
            <w:r w:rsidRPr="00F92553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4427D3AC" w14:textId="77777777" w:rsidR="006E42CB" w:rsidRPr="00F92553" w:rsidRDefault="006E42CB" w:rsidP="00076881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>Disease modifying antir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heumatic drugs, DMARD, Induktor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t e remisionit. COX-2 inhibitor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t selektiv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</w:p>
        </w:tc>
      </w:tr>
      <w:tr w:rsidR="006E42CB" w:rsidRPr="00F92553" w14:paraId="6C87C52D" w14:textId="77777777" w:rsidTr="00D67209">
        <w:tc>
          <w:tcPr>
            <w:tcW w:w="2718" w:type="dxa"/>
          </w:tcPr>
          <w:p w14:paraId="0AC1EEC5" w14:textId="77777777" w:rsidR="006E42CB" w:rsidRPr="00F92553" w:rsidRDefault="006E42CB" w:rsidP="001A0E6B">
            <w:pPr>
              <w:jc w:val="both"/>
              <w:rPr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lastRenderedPageBreak/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16:</w:t>
            </w:r>
          </w:p>
        </w:tc>
        <w:tc>
          <w:tcPr>
            <w:tcW w:w="6138" w:type="dxa"/>
          </w:tcPr>
          <w:p w14:paraId="4CF19FAE" w14:textId="77777777" w:rsidR="006E42CB" w:rsidRPr="00F92553" w:rsidRDefault="006E42CB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>Eikosanoidet, prostaglandinat, prostaciklinat, tromboksanet.</w:t>
            </w:r>
          </w:p>
        </w:tc>
      </w:tr>
      <w:tr w:rsidR="006E42CB" w:rsidRPr="00F92553" w14:paraId="4F252D09" w14:textId="77777777" w:rsidTr="00D67209">
        <w:tc>
          <w:tcPr>
            <w:tcW w:w="2718" w:type="dxa"/>
          </w:tcPr>
          <w:p w14:paraId="2FA44FED" w14:textId="77777777" w:rsidR="006E42CB" w:rsidRPr="00F92553" w:rsidRDefault="006E42CB" w:rsidP="001A0E6B">
            <w:pPr>
              <w:jc w:val="both"/>
              <w:rPr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17</w:t>
            </w:r>
            <w:r w:rsidRPr="00F92553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4D9B053F" w14:textId="77777777" w:rsidR="006E42CB" w:rsidRPr="00F92553" w:rsidRDefault="00076881" w:rsidP="00076881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Barnat q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>
              <w:rPr>
                <w:color w:val="000000"/>
                <w:sz w:val="22"/>
                <w:szCs w:val="22"/>
                <w:lang w:val="sq-AL"/>
              </w:rPr>
              <w:t xml:space="preserve"> ndikojn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>
              <w:rPr>
                <w:color w:val="000000"/>
                <w:sz w:val="22"/>
                <w:szCs w:val="22"/>
                <w:lang w:val="sq-AL"/>
              </w:rPr>
              <w:t xml:space="preserve"> n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6E42CB" w:rsidRPr="00F92553">
              <w:rPr>
                <w:color w:val="000000"/>
                <w:sz w:val="22"/>
                <w:szCs w:val="22"/>
                <w:lang w:val="sq-AL"/>
              </w:rPr>
              <w:t xml:space="preserve"> sistemin nervor vegjetativ. Alfa simpatomimetiket.  Anorektiket.  Beta agonistet. </w:t>
            </w:r>
          </w:p>
        </w:tc>
      </w:tr>
      <w:tr w:rsidR="006E42CB" w:rsidRPr="00F92553" w14:paraId="6BBA7512" w14:textId="77777777" w:rsidTr="00D67209">
        <w:tc>
          <w:tcPr>
            <w:tcW w:w="2718" w:type="dxa"/>
          </w:tcPr>
          <w:p w14:paraId="603D825E" w14:textId="77777777" w:rsidR="006E42CB" w:rsidRPr="00F92553" w:rsidRDefault="006E42CB" w:rsidP="001A0E6B">
            <w:pPr>
              <w:jc w:val="both"/>
              <w:rPr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18</w:t>
            </w:r>
            <w:r w:rsidRPr="00F92553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32BF30A8" w14:textId="77777777" w:rsidR="006E42CB" w:rsidRPr="00F92553" w:rsidRDefault="006E42CB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>Simpatolitik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et. Bllokatoret e alfa receptor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ve,  beta- bllokatoret, barnat antihipertensive </w:t>
            </w:r>
          </w:p>
        </w:tc>
      </w:tr>
      <w:tr w:rsidR="006E42CB" w:rsidRPr="00F92553" w14:paraId="3C5B00E8" w14:textId="77777777" w:rsidTr="00D67209">
        <w:tc>
          <w:tcPr>
            <w:tcW w:w="2718" w:type="dxa"/>
          </w:tcPr>
          <w:p w14:paraId="6B2A1DC9" w14:textId="77777777" w:rsidR="006E42CB" w:rsidRPr="00F92553" w:rsidRDefault="006E42CB" w:rsidP="001A0E6B">
            <w:pPr>
              <w:jc w:val="both"/>
              <w:rPr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</w:t>
            </w:r>
            <w:r w:rsidR="001A0E6B">
              <w:rPr>
                <w:b/>
                <w:sz w:val="22"/>
                <w:szCs w:val="22"/>
                <w:lang w:val="sq-AL"/>
              </w:rPr>
              <w:t>e 19:</w:t>
            </w:r>
            <w:r w:rsidRPr="00F92553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49C597BD" w14:textId="77777777" w:rsidR="006E42CB" w:rsidRPr="00F92553" w:rsidRDefault="006E42CB" w:rsidP="00076881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>Parasimpatomimetiket, parasimpathomimetiket direkte, inhibitor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t e acetilkolinesteraz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s. </w:t>
            </w:r>
          </w:p>
        </w:tc>
      </w:tr>
      <w:tr w:rsidR="006E42CB" w:rsidRPr="00F92553" w14:paraId="2E14CF42" w14:textId="77777777" w:rsidTr="00D67209">
        <w:tc>
          <w:tcPr>
            <w:tcW w:w="2718" w:type="dxa"/>
          </w:tcPr>
          <w:p w14:paraId="0A3E968E" w14:textId="77777777" w:rsidR="006E42CB" w:rsidRPr="00F92553" w:rsidRDefault="006E42CB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</w:t>
            </w:r>
            <w:r w:rsidR="001A0E6B">
              <w:rPr>
                <w:b/>
                <w:sz w:val="22"/>
                <w:szCs w:val="22"/>
                <w:lang w:val="sq-AL"/>
              </w:rPr>
              <w:t>e 20:</w:t>
            </w:r>
            <w:r w:rsidRPr="00F92553">
              <w:rPr>
                <w:b/>
                <w:sz w:val="22"/>
                <w:szCs w:val="22"/>
                <w:lang w:val="sq-AL"/>
              </w:rPr>
              <w:t xml:space="preserve">    </w:t>
            </w:r>
          </w:p>
        </w:tc>
        <w:tc>
          <w:tcPr>
            <w:tcW w:w="6138" w:type="dxa"/>
          </w:tcPr>
          <w:p w14:paraId="1E2289FF" w14:textId="77777777" w:rsidR="006E42CB" w:rsidRPr="00F92553" w:rsidRDefault="006E42CB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>Barnat parasimpatolitike. Bllokuesit e lidhjeve neuromuskulore</w:t>
            </w:r>
          </w:p>
        </w:tc>
      </w:tr>
      <w:tr w:rsidR="006E42CB" w:rsidRPr="00F92553" w14:paraId="1D2CB64E" w14:textId="77777777" w:rsidTr="008120F6">
        <w:trPr>
          <w:trHeight w:val="666"/>
        </w:trPr>
        <w:tc>
          <w:tcPr>
            <w:tcW w:w="2718" w:type="dxa"/>
          </w:tcPr>
          <w:p w14:paraId="6F5FE5B9" w14:textId="77777777" w:rsidR="006E42CB" w:rsidRPr="00F92553" w:rsidRDefault="006E42CB" w:rsidP="001A0E6B">
            <w:pPr>
              <w:jc w:val="both"/>
              <w:rPr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>Java e</w:t>
            </w:r>
            <w:r w:rsidR="001A0E6B">
              <w:rPr>
                <w:b/>
                <w:sz w:val="22"/>
                <w:szCs w:val="22"/>
                <w:lang w:val="sq-AL"/>
              </w:rPr>
              <w:t xml:space="preserve"> 21:</w:t>
            </w:r>
          </w:p>
        </w:tc>
        <w:tc>
          <w:tcPr>
            <w:tcW w:w="6138" w:type="dxa"/>
          </w:tcPr>
          <w:p w14:paraId="4CFCE6BD" w14:textId="77777777" w:rsidR="006E42CB" w:rsidRPr="00F92553" w:rsidRDefault="006E42CB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>Hormonet seksuale, estrogjenet, antiestrogjenet dhe barnat e ngjashme</w:t>
            </w:r>
          </w:p>
        </w:tc>
      </w:tr>
      <w:tr w:rsidR="006E42CB" w:rsidRPr="00F92553" w14:paraId="588F54BE" w14:textId="77777777" w:rsidTr="008120F6">
        <w:trPr>
          <w:trHeight w:val="448"/>
        </w:trPr>
        <w:tc>
          <w:tcPr>
            <w:tcW w:w="2718" w:type="dxa"/>
          </w:tcPr>
          <w:p w14:paraId="575A996A" w14:textId="77777777" w:rsidR="006E42CB" w:rsidRPr="00F92553" w:rsidRDefault="006E42CB" w:rsidP="001A0E6B">
            <w:pPr>
              <w:jc w:val="both"/>
              <w:rPr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22</w:t>
            </w:r>
          </w:p>
        </w:tc>
        <w:tc>
          <w:tcPr>
            <w:tcW w:w="6138" w:type="dxa"/>
          </w:tcPr>
          <w:p w14:paraId="49BC517F" w14:textId="77777777" w:rsidR="006E42CB" w:rsidRPr="00F92553" w:rsidRDefault="006E42CB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Gestagjenet, antigestagjenet </w:t>
            </w:r>
          </w:p>
        </w:tc>
      </w:tr>
      <w:tr w:rsidR="006E42CB" w:rsidRPr="00F92553" w14:paraId="54AF3618" w14:textId="77777777" w:rsidTr="00D67209">
        <w:tc>
          <w:tcPr>
            <w:tcW w:w="2718" w:type="dxa"/>
          </w:tcPr>
          <w:p w14:paraId="0DB2F48A" w14:textId="77777777" w:rsidR="006E42CB" w:rsidRPr="00F92553" w:rsidRDefault="006E42CB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23</w:t>
            </w:r>
          </w:p>
        </w:tc>
        <w:tc>
          <w:tcPr>
            <w:tcW w:w="6138" w:type="dxa"/>
          </w:tcPr>
          <w:p w14:paraId="255BFABF" w14:textId="77777777" w:rsidR="006E42CB" w:rsidRPr="00F92553" w:rsidRDefault="006E42CB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Androgjenet dhe agjentet anabolike, antiandrogjenet </w:t>
            </w:r>
          </w:p>
        </w:tc>
      </w:tr>
      <w:tr w:rsidR="006E42CB" w:rsidRPr="00F92553" w14:paraId="071CAA8E" w14:textId="77777777" w:rsidTr="00D67209">
        <w:tc>
          <w:tcPr>
            <w:tcW w:w="2718" w:type="dxa"/>
          </w:tcPr>
          <w:p w14:paraId="60BB2636" w14:textId="77777777" w:rsidR="006E42CB" w:rsidRPr="00F92553" w:rsidRDefault="006E42CB" w:rsidP="001A0E6B">
            <w:pPr>
              <w:jc w:val="both"/>
              <w:rPr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24</w:t>
            </w:r>
          </w:p>
        </w:tc>
        <w:tc>
          <w:tcPr>
            <w:tcW w:w="6138" w:type="dxa"/>
          </w:tcPr>
          <w:p w14:paraId="06B5CA40" w14:textId="77777777" w:rsidR="006E42CB" w:rsidRPr="00F92553" w:rsidRDefault="00076881" w:rsidP="00076881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>Hormonet e kores se gj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>
              <w:rPr>
                <w:color w:val="000000"/>
                <w:sz w:val="22"/>
                <w:szCs w:val="22"/>
                <w:lang w:val="sq-AL"/>
              </w:rPr>
              <w:t>ndr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6E42CB" w:rsidRPr="00F92553">
              <w:rPr>
                <w:color w:val="000000"/>
                <w:sz w:val="22"/>
                <w:szCs w:val="22"/>
                <w:lang w:val="sq-AL"/>
              </w:rPr>
              <w:t xml:space="preserve">s mbiveshkore, glikozidet steroide, prodhimi i steroideve me 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rendësi</w:t>
            </w:r>
            <w:r w:rsidR="006E42CB" w:rsidRPr="00F92553">
              <w:rPr>
                <w:color w:val="000000"/>
                <w:sz w:val="22"/>
                <w:szCs w:val="22"/>
                <w:lang w:val="sq-AL"/>
              </w:rPr>
              <w:t xml:space="preserve"> farmaceutike</w:t>
            </w:r>
          </w:p>
        </w:tc>
      </w:tr>
      <w:tr w:rsidR="006E42CB" w:rsidRPr="00F92553" w14:paraId="1656D55B" w14:textId="77777777" w:rsidTr="00D67209">
        <w:tc>
          <w:tcPr>
            <w:tcW w:w="2718" w:type="dxa"/>
          </w:tcPr>
          <w:p w14:paraId="71C7D0FD" w14:textId="77777777" w:rsidR="006E42CB" w:rsidRPr="00F92553" w:rsidRDefault="006E42CB" w:rsidP="001A0E6B">
            <w:pPr>
              <w:jc w:val="both"/>
              <w:rPr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25</w:t>
            </w:r>
          </w:p>
        </w:tc>
        <w:tc>
          <w:tcPr>
            <w:tcW w:w="6138" w:type="dxa"/>
          </w:tcPr>
          <w:p w14:paraId="19A97E16" w14:textId="77777777" w:rsidR="006E42CB" w:rsidRPr="00F92553" w:rsidRDefault="001A0E6B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>Frenuesit e fosfodieserazave</w:t>
            </w:r>
            <w:r>
              <w:rPr>
                <w:color w:val="000000"/>
                <w:sz w:val="22"/>
                <w:szCs w:val="22"/>
                <w:lang w:val="sq-AL"/>
              </w:rPr>
              <w:t xml:space="preserve"> 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 </w:t>
            </w:r>
          </w:p>
        </w:tc>
      </w:tr>
      <w:tr w:rsidR="006E42CB" w:rsidRPr="00F92553" w14:paraId="2D3F41EF" w14:textId="77777777" w:rsidTr="00D67209">
        <w:tc>
          <w:tcPr>
            <w:tcW w:w="2718" w:type="dxa"/>
          </w:tcPr>
          <w:p w14:paraId="1C43C2DA" w14:textId="77777777" w:rsidR="006E42CB" w:rsidRPr="00F92553" w:rsidRDefault="006E42CB" w:rsidP="001A0E6B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26</w:t>
            </w:r>
          </w:p>
        </w:tc>
        <w:tc>
          <w:tcPr>
            <w:tcW w:w="6138" w:type="dxa"/>
          </w:tcPr>
          <w:p w14:paraId="6E96E0E9" w14:textId="77777777" w:rsidR="006E42CB" w:rsidRPr="00F92553" w:rsidRDefault="006E42CB" w:rsidP="001A0E6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Barnat te cilat 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influencojnë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 qarkullimin koron</w:t>
            </w:r>
            <w:r>
              <w:rPr>
                <w:color w:val="000000"/>
                <w:sz w:val="22"/>
                <w:szCs w:val="22"/>
                <w:lang w:val="sq-AL"/>
              </w:rPr>
              <w:t>ar te gjakut-koronarterapeutike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. Barnat NO formuese.</w:t>
            </w:r>
          </w:p>
        </w:tc>
      </w:tr>
      <w:tr w:rsidR="006E42CB" w:rsidRPr="00F92553" w14:paraId="7F44F1DB" w14:textId="77777777" w:rsidTr="00D67209">
        <w:tc>
          <w:tcPr>
            <w:tcW w:w="2718" w:type="dxa"/>
          </w:tcPr>
          <w:p w14:paraId="6ED127E4" w14:textId="77777777" w:rsidR="006E42CB" w:rsidRPr="00F92553" w:rsidRDefault="006E42CB" w:rsidP="001A0E6B">
            <w:pPr>
              <w:jc w:val="both"/>
              <w:rPr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27</w:t>
            </w:r>
          </w:p>
        </w:tc>
        <w:tc>
          <w:tcPr>
            <w:tcW w:w="6138" w:type="dxa"/>
          </w:tcPr>
          <w:p w14:paraId="68F44D43" w14:textId="77777777" w:rsidR="006E42CB" w:rsidRPr="00F92553" w:rsidRDefault="006E42CB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Barnat qe 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veprojnë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 xml:space="preserve"> ne sistemin renin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- angiotenzin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>
              <w:rPr>
                <w:color w:val="000000"/>
                <w:sz w:val="22"/>
                <w:szCs w:val="22"/>
                <w:lang w:val="sq-AL"/>
              </w:rPr>
              <w:t>. Diuretiket</w:t>
            </w:r>
          </w:p>
        </w:tc>
      </w:tr>
      <w:tr w:rsidR="006E42CB" w:rsidRPr="00F92553" w14:paraId="2287B535" w14:textId="77777777" w:rsidTr="00D67209">
        <w:tc>
          <w:tcPr>
            <w:tcW w:w="2718" w:type="dxa"/>
          </w:tcPr>
          <w:p w14:paraId="12FF5BB1" w14:textId="77777777" w:rsidR="006E42CB" w:rsidRPr="00F92553" w:rsidRDefault="006E42CB" w:rsidP="001A0E6B">
            <w:pPr>
              <w:jc w:val="both"/>
              <w:rPr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 xml:space="preserve">Java e </w:t>
            </w:r>
            <w:r w:rsidR="001A0E6B">
              <w:rPr>
                <w:b/>
                <w:sz w:val="22"/>
                <w:szCs w:val="22"/>
                <w:lang w:val="sq-AL"/>
              </w:rPr>
              <w:t>28</w:t>
            </w:r>
          </w:p>
        </w:tc>
        <w:tc>
          <w:tcPr>
            <w:tcW w:w="6138" w:type="dxa"/>
          </w:tcPr>
          <w:p w14:paraId="696D55F6" w14:textId="77777777" w:rsidR="006E42CB" w:rsidRPr="00F92553" w:rsidRDefault="006E42CB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>
              <w:rPr>
                <w:color w:val="000000"/>
                <w:sz w:val="22"/>
                <w:szCs w:val="22"/>
                <w:lang w:val="sq-AL"/>
              </w:rPr>
              <w:t xml:space="preserve">Hormonet e pankreasit. 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>Insul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>ina dhe analoget e saj. Terapit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="00076881">
              <w:rPr>
                <w:color w:val="000000"/>
                <w:sz w:val="22"/>
                <w:szCs w:val="22"/>
                <w:lang w:val="sq-AL"/>
              </w:rPr>
              <w:t xml:space="preserve"> bashk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ë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kohore 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për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 mjekimin e diabetit.</w:t>
            </w:r>
          </w:p>
        </w:tc>
      </w:tr>
      <w:tr w:rsidR="006E42CB" w:rsidRPr="00F92553" w14:paraId="5DC8DB1B" w14:textId="77777777" w:rsidTr="00D67209">
        <w:tc>
          <w:tcPr>
            <w:tcW w:w="2718" w:type="dxa"/>
          </w:tcPr>
          <w:p w14:paraId="4B3F68E0" w14:textId="77777777" w:rsidR="006E42CB" w:rsidRPr="00F92553" w:rsidRDefault="006E42CB" w:rsidP="006E42CB">
            <w:pPr>
              <w:jc w:val="both"/>
              <w:rPr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>Java e</w:t>
            </w:r>
            <w:r>
              <w:rPr>
                <w:b/>
                <w:sz w:val="22"/>
                <w:szCs w:val="22"/>
                <w:lang w:val="sq-AL"/>
              </w:rPr>
              <w:t xml:space="preserve"> 29</w:t>
            </w:r>
          </w:p>
        </w:tc>
        <w:tc>
          <w:tcPr>
            <w:tcW w:w="6138" w:type="dxa"/>
          </w:tcPr>
          <w:p w14:paraId="5AA7432C" w14:textId="77777777" w:rsidR="006E42CB" w:rsidRPr="00F92553" w:rsidRDefault="001A0E6B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Antikoagulantet. Heparinat, heparinoidet, LMWH, inhibitoret direkte te trombines. Frenuesit e agregimit te trombociteve. Antagonistet e </w:t>
            </w:r>
            <w:r w:rsidR="00076881" w:rsidRPr="00F92553">
              <w:rPr>
                <w:color w:val="000000"/>
                <w:sz w:val="22"/>
                <w:szCs w:val="22"/>
                <w:lang w:val="sq-AL"/>
              </w:rPr>
              <w:t>vitaminës</w:t>
            </w:r>
            <w:r w:rsidRPr="00F92553">
              <w:rPr>
                <w:color w:val="000000"/>
                <w:sz w:val="22"/>
                <w:szCs w:val="22"/>
                <w:lang w:val="sq-AL"/>
              </w:rPr>
              <w:t xml:space="preserve"> K.</w:t>
            </w:r>
          </w:p>
        </w:tc>
      </w:tr>
      <w:tr w:rsidR="006E42CB" w:rsidRPr="00F92553" w14:paraId="16A37146" w14:textId="77777777" w:rsidTr="00D67209">
        <w:tc>
          <w:tcPr>
            <w:tcW w:w="2718" w:type="dxa"/>
          </w:tcPr>
          <w:p w14:paraId="7D8A78C4" w14:textId="77777777" w:rsidR="006E42CB" w:rsidRPr="00F92553" w:rsidRDefault="001A0E6B" w:rsidP="006E42CB">
            <w:pPr>
              <w:jc w:val="both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Java e 30</w:t>
            </w:r>
          </w:p>
        </w:tc>
        <w:tc>
          <w:tcPr>
            <w:tcW w:w="6138" w:type="dxa"/>
          </w:tcPr>
          <w:p w14:paraId="4447EEDD" w14:textId="77777777" w:rsidR="006E42CB" w:rsidRPr="00F92553" w:rsidRDefault="001A0E6B" w:rsidP="006E42CB">
            <w:pPr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F92553">
              <w:rPr>
                <w:color w:val="000000"/>
                <w:sz w:val="22"/>
                <w:szCs w:val="22"/>
                <w:lang w:val="sq-AL"/>
              </w:rPr>
              <w:t>Vitaminat  e tretshme ne uje</w:t>
            </w:r>
          </w:p>
        </w:tc>
      </w:tr>
    </w:tbl>
    <w:p w14:paraId="173D4DDE" w14:textId="77777777" w:rsidR="00CF116F" w:rsidRPr="00F92553" w:rsidRDefault="00CF116F" w:rsidP="00951B86">
      <w:pPr>
        <w:pStyle w:val="NoSpacing"/>
        <w:jc w:val="both"/>
        <w:rPr>
          <w:sz w:val="22"/>
          <w:szCs w:val="22"/>
          <w:lang w:val="sq-AL"/>
        </w:rPr>
      </w:pPr>
    </w:p>
    <w:p w14:paraId="25E10369" w14:textId="77777777" w:rsidR="006F116D" w:rsidRPr="00F92553" w:rsidRDefault="006F116D" w:rsidP="00951B86">
      <w:pPr>
        <w:jc w:val="both"/>
        <w:rPr>
          <w:b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F92553" w14:paraId="47736C52" w14:textId="77777777" w:rsidTr="00EF57F9">
        <w:tc>
          <w:tcPr>
            <w:tcW w:w="8856" w:type="dxa"/>
            <w:shd w:val="clear" w:color="auto" w:fill="B8CCE4"/>
          </w:tcPr>
          <w:p w14:paraId="444C8ABE" w14:textId="77777777" w:rsidR="00CF116F" w:rsidRPr="00F92553" w:rsidRDefault="00CF116F" w:rsidP="00951B86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b/>
                <w:sz w:val="22"/>
                <w:szCs w:val="22"/>
                <w:lang w:val="sq-AL"/>
              </w:rPr>
              <w:t>Politikat akademike dhe rregullat e mirësjelljes:</w:t>
            </w:r>
          </w:p>
        </w:tc>
      </w:tr>
      <w:tr w:rsidR="00CF116F" w:rsidRPr="00F92553" w14:paraId="134A4FDC" w14:textId="77777777" w:rsidTr="00951B86">
        <w:trPr>
          <w:trHeight w:val="593"/>
        </w:trPr>
        <w:tc>
          <w:tcPr>
            <w:tcW w:w="8856" w:type="dxa"/>
          </w:tcPr>
          <w:p w14:paraId="320F62B4" w14:textId="77777777" w:rsidR="006F116D" w:rsidRPr="00F92553" w:rsidRDefault="005263E3" w:rsidP="00951B86">
            <w:pPr>
              <w:jc w:val="both"/>
              <w:rPr>
                <w:b/>
                <w:sz w:val="22"/>
                <w:szCs w:val="22"/>
                <w:lang w:val="sq-AL"/>
              </w:rPr>
            </w:pPr>
            <w:r w:rsidRPr="00F92553">
              <w:rPr>
                <w:sz w:val="22"/>
                <w:szCs w:val="22"/>
                <w:lang w:val="sq-AL"/>
              </w:rPr>
              <w:t xml:space="preserve">Vijimi i rregullt i </w:t>
            </w:r>
            <w:r w:rsidR="00076881" w:rsidRPr="00F92553">
              <w:rPr>
                <w:sz w:val="22"/>
                <w:szCs w:val="22"/>
                <w:lang w:val="sq-AL"/>
              </w:rPr>
              <w:t>ligjëratave</w:t>
            </w:r>
            <w:r w:rsidRPr="00F92553">
              <w:rPr>
                <w:sz w:val="22"/>
                <w:szCs w:val="22"/>
                <w:lang w:val="sq-AL"/>
              </w:rPr>
              <w:t xml:space="preserve">, ushtrimeve dhe te gjitha obligimeve te parapara me programin studimor; respektimi i konsideratave etike, </w:t>
            </w:r>
            <w:r w:rsidR="00076881" w:rsidRPr="00F92553">
              <w:rPr>
                <w:sz w:val="22"/>
                <w:szCs w:val="22"/>
                <w:lang w:val="sq-AL"/>
              </w:rPr>
              <w:t>barazisë</w:t>
            </w:r>
            <w:r w:rsidRPr="00F92553">
              <w:rPr>
                <w:sz w:val="22"/>
                <w:szCs w:val="22"/>
                <w:lang w:val="sq-AL"/>
              </w:rPr>
              <w:t xml:space="preserve"> gjinore.</w:t>
            </w:r>
          </w:p>
        </w:tc>
      </w:tr>
    </w:tbl>
    <w:p w14:paraId="24E674CE" w14:textId="77777777" w:rsidR="00CF116F" w:rsidRPr="00F92553" w:rsidRDefault="00CF116F" w:rsidP="00951B86">
      <w:pPr>
        <w:jc w:val="both"/>
        <w:rPr>
          <w:b/>
          <w:sz w:val="22"/>
          <w:szCs w:val="22"/>
          <w:lang w:val="sq-AL"/>
        </w:rPr>
      </w:pPr>
    </w:p>
    <w:sectPr w:rsidR="00CF116F" w:rsidRPr="00F92553" w:rsidSect="00D03E76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EC5AF" w14:textId="77777777" w:rsidR="00517AC5" w:rsidRDefault="00517AC5">
      <w:r>
        <w:separator/>
      </w:r>
    </w:p>
  </w:endnote>
  <w:endnote w:type="continuationSeparator" w:id="0">
    <w:p w14:paraId="4969C166" w14:textId="77777777" w:rsidR="00517AC5" w:rsidRDefault="0051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27D5D" w14:textId="77777777" w:rsidR="002D3069" w:rsidRDefault="00386AA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104F52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A9870" w14:textId="77777777" w:rsidR="002D3069" w:rsidRDefault="00386AA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688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A6EA09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750C4" w14:textId="77777777" w:rsidR="00517AC5" w:rsidRDefault="00517AC5">
      <w:r>
        <w:separator/>
      </w:r>
    </w:p>
  </w:footnote>
  <w:footnote w:type="continuationSeparator" w:id="0">
    <w:p w14:paraId="7AA1A26E" w14:textId="77777777" w:rsidR="00517AC5" w:rsidRDefault="00517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82749"/>
    <w:multiLevelType w:val="hybridMultilevel"/>
    <w:tmpl w:val="70E6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763B76"/>
    <w:multiLevelType w:val="hybridMultilevel"/>
    <w:tmpl w:val="BB789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4B39"/>
    <w:rsid w:val="00012981"/>
    <w:rsid w:val="00031020"/>
    <w:rsid w:val="00043592"/>
    <w:rsid w:val="0005547D"/>
    <w:rsid w:val="00056EE0"/>
    <w:rsid w:val="00060E9F"/>
    <w:rsid w:val="00071480"/>
    <w:rsid w:val="00076881"/>
    <w:rsid w:val="00102557"/>
    <w:rsid w:val="00105C2D"/>
    <w:rsid w:val="00132604"/>
    <w:rsid w:val="0014469D"/>
    <w:rsid w:val="00183923"/>
    <w:rsid w:val="001A0E6B"/>
    <w:rsid w:val="001A36A6"/>
    <w:rsid w:val="001E409D"/>
    <w:rsid w:val="0021580C"/>
    <w:rsid w:val="002177ED"/>
    <w:rsid w:val="002466FE"/>
    <w:rsid w:val="002610A3"/>
    <w:rsid w:val="002C00FA"/>
    <w:rsid w:val="002D3069"/>
    <w:rsid w:val="0030354C"/>
    <w:rsid w:val="0038171E"/>
    <w:rsid w:val="00381B41"/>
    <w:rsid w:val="00386AA5"/>
    <w:rsid w:val="003B625C"/>
    <w:rsid w:val="003E3193"/>
    <w:rsid w:val="004C0CCA"/>
    <w:rsid w:val="00503891"/>
    <w:rsid w:val="00517AC5"/>
    <w:rsid w:val="005263E3"/>
    <w:rsid w:val="00526749"/>
    <w:rsid w:val="00556705"/>
    <w:rsid w:val="00603DD2"/>
    <w:rsid w:val="00622B97"/>
    <w:rsid w:val="00655C44"/>
    <w:rsid w:val="006562C2"/>
    <w:rsid w:val="00683A9C"/>
    <w:rsid w:val="006A06DE"/>
    <w:rsid w:val="006C7F03"/>
    <w:rsid w:val="006D7FB4"/>
    <w:rsid w:val="006E42CB"/>
    <w:rsid w:val="006F116D"/>
    <w:rsid w:val="006F5CCF"/>
    <w:rsid w:val="007038CC"/>
    <w:rsid w:val="00746D8D"/>
    <w:rsid w:val="00770666"/>
    <w:rsid w:val="00777D28"/>
    <w:rsid w:val="00781805"/>
    <w:rsid w:val="007B1510"/>
    <w:rsid w:val="007B68A2"/>
    <w:rsid w:val="007C2B9B"/>
    <w:rsid w:val="007C3132"/>
    <w:rsid w:val="007D1E9D"/>
    <w:rsid w:val="007E6202"/>
    <w:rsid w:val="007F46C5"/>
    <w:rsid w:val="008120F6"/>
    <w:rsid w:val="00867FA9"/>
    <w:rsid w:val="0088311F"/>
    <w:rsid w:val="008A439B"/>
    <w:rsid w:val="008A716D"/>
    <w:rsid w:val="008D0608"/>
    <w:rsid w:val="00900DD6"/>
    <w:rsid w:val="00903474"/>
    <w:rsid w:val="00951B86"/>
    <w:rsid w:val="009A63FA"/>
    <w:rsid w:val="009A7573"/>
    <w:rsid w:val="009B3F0A"/>
    <w:rsid w:val="009E1890"/>
    <w:rsid w:val="009E2AF8"/>
    <w:rsid w:val="00A156C4"/>
    <w:rsid w:val="00A206F2"/>
    <w:rsid w:val="00A545BA"/>
    <w:rsid w:val="00A57003"/>
    <w:rsid w:val="00A57B9E"/>
    <w:rsid w:val="00A662A0"/>
    <w:rsid w:val="00A769FD"/>
    <w:rsid w:val="00A9202E"/>
    <w:rsid w:val="00AA2C57"/>
    <w:rsid w:val="00AA3C2B"/>
    <w:rsid w:val="00AC08ED"/>
    <w:rsid w:val="00AE539C"/>
    <w:rsid w:val="00B179E6"/>
    <w:rsid w:val="00B35215"/>
    <w:rsid w:val="00B474AB"/>
    <w:rsid w:val="00B815D1"/>
    <w:rsid w:val="00BA6E9C"/>
    <w:rsid w:val="00BB1A1A"/>
    <w:rsid w:val="00BE4BCF"/>
    <w:rsid w:val="00BF024C"/>
    <w:rsid w:val="00C6155B"/>
    <w:rsid w:val="00C633A6"/>
    <w:rsid w:val="00CD0417"/>
    <w:rsid w:val="00CF116F"/>
    <w:rsid w:val="00CF793C"/>
    <w:rsid w:val="00D03E76"/>
    <w:rsid w:val="00D10BC6"/>
    <w:rsid w:val="00D41FEF"/>
    <w:rsid w:val="00D67209"/>
    <w:rsid w:val="00D857F2"/>
    <w:rsid w:val="00D94865"/>
    <w:rsid w:val="00DB2823"/>
    <w:rsid w:val="00DB2861"/>
    <w:rsid w:val="00DE052D"/>
    <w:rsid w:val="00DF0428"/>
    <w:rsid w:val="00DF1056"/>
    <w:rsid w:val="00DF6543"/>
    <w:rsid w:val="00E17989"/>
    <w:rsid w:val="00E34287"/>
    <w:rsid w:val="00E5561E"/>
    <w:rsid w:val="00E64FDE"/>
    <w:rsid w:val="00E727AF"/>
    <w:rsid w:val="00EC5D29"/>
    <w:rsid w:val="00EF57F9"/>
    <w:rsid w:val="00F04222"/>
    <w:rsid w:val="00F34158"/>
    <w:rsid w:val="00F47480"/>
    <w:rsid w:val="00F5660C"/>
    <w:rsid w:val="00F92553"/>
    <w:rsid w:val="00FB050B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72D4B"/>
  <w15:docId w15:val="{8EFA4A3F-57CD-4982-A376-1595A876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E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Dashnor Nebija</cp:lastModifiedBy>
  <cp:revision>6</cp:revision>
  <cp:lastPrinted>2011-03-07T09:39:00Z</cp:lastPrinted>
  <dcterms:created xsi:type="dcterms:W3CDTF">2021-02-20T23:09:00Z</dcterms:created>
  <dcterms:modified xsi:type="dcterms:W3CDTF">2023-10-17T13:16:00Z</dcterms:modified>
</cp:coreProperties>
</file>