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93" w:rsidRPr="00393D83" w:rsidRDefault="00781805" w:rsidP="00393D83">
      <w:pPr>
        <w:jc w:val="both"/>
        <w:rPr>
          <w:b/>
          <w:sz w:val="22"/>
          <w:szCs w:val="22"/>
          <w:u w:val="single"/>
        </w:rPr>
      </w:pPr>
      <w:r w:rsidRPr="00393D83">
        <w:rPr>
          <w:b/>
          <w:sz w:val="22"/>
          <w:szCs w:val="22"/>
          <w:u w:val="single"/>
        </w:rPr>
        <w:t>Formular p</w:t>
      </w:r>
      <w:r w:rsidR="00D67209" w:rsidRPr="00393D83">
        <w:rPr>
          <w:b/>
          <w:sz w:val="22"/>
          <w:szCs w:val="22"/>
          <w:u w:val="single"/>
        </w:rPr>
        <w:t>ë</w:t>
      </w:r>
      <w:r w:rsidRPr="00393D83">
        <w:rPr>
          <w:b/>
          <w:sz w:val="22"/>
          <w:szCs w:val="22"/>
          <w:u w:val="single"/>
        </w:rPr>
        <w:t xml:space="preserve">r </w:t>
      </w:r>
      <w:r w:rsidR="002D3069" w:rsidRPr="00393D83">
        <w:rPr>
          <w:b/>
          <w:sz w:val="22"/>
          <w:szCs w:val="22"/>
          <w:u w:val="single"/>
        </w:rPr>
        <w:t>SYL</w:t>
      </w:r>
      <w:r w:rsidRPr="00393D83">
        <w:rPr>
          <w:b/>
          <w:sz w:val="22"/>
          <w:szCs w:val="22"/>
          <w:u w:val="single"/>
        </w:rPr>
        <w:t>L</w:t>
      </w:r>
      <w:r w:rsidR="004C0CCA" w:rsidRPr="00393D83">
        <w:rPr>
          <w:b/>
          <w:sz w:val="22"/>
          <w:szCs w:val="22"/>
          <w:u w:val="single"/>
        </w:rPr>
        <w:t>ABUS</w:t>
      </w:r>
      <w:r w:rsidRPr="00393D83">
        <w:rPr>
          <w:b/>
          <w:sz w:val="22"/>
          <w:szCs w:val="22"/>
          <w:u w:val="single"/>
        </w:rPr>
        <w:t xml:space="preserve"> t</w:t>
      </w:r>
      <w:r w:rsidR="00D67209" w:rsidRPr="00393D83">
        <w:rPr>
          <w:b/>
          <w:sz w:val="22"/>
          <w:szCs w:val="22"/>
          <w:u w:val="single"/>
        </w:rPr>
        <w:t>ë</w:t>
      </w:r>
      <w:r w:rsidRPr="00393D83">
        <w:rPr>
          <w:b/>
          <w:sz w:val="22"/>
          <w:szCs w:val="22"/>
          <w:u w:val="single"/>
        </w:rPr>
        <w:t xml:space="preserve"> L</w:t>
      </w:r>
      <w:r w:rsidR="00D67209" w:rsidRPr="00393D83">
        <w:rPr>
          <w:b/>
          <w:sz w:val="22"/>
          <w:szCs w:val="22"/>
          <w:u w:val="single"/>
        </w:rPr>
        <w:t>ë</w:t>
      </w:r>
      <w:r w:rsidRPr="00393D83">
        <w:rPr>
          <w:b/>
          <w:sz w:val="22"/>
          <w:szCs w:val="22"/>
          <w:u w:val="single"/>
        </w:rPr>
        <w:t>nd</w:t>
      </w:r>
      <w:r w:rsidR="00D67209" w:rsidRPr="00393D83">
        <w:rPr>
          <w:b/>
          <w:sz w:val="22"/>
          <w:szCs w:val="22"/>
          <w:u w:val="single"/>
        </w:rPr>
        <w:t>ë</w:t>
      </w:r>
      <w:r w:rsidRPr="00393D83">
        <w:rPr>
          <w:b/>
          <w:sz w:val="22"/>
          <w:szCs w:val="22"/>
          <w:u w:val="single"/>
        </w:rPr>
        <w:t xml:space="preserve">s </w:t>
      </w:r>
    </w:p>
    <w:p w:rsidR="00CF116F" w:rsidRPr="00393D83" w:rsidRDefault="00CF116F" w:rsidP="00393D83">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7"/>
        <w:gridCol w:w="1425"/>
        <w:gridCol w:w="1770"/>
        <w:gridCol w:w="2044"/>
      </w:tblGrid>
      <w:tr w:rsidR="00726DE6" w:rsidRPr="00393D83" w:rsidTr="00EF57F9">
        <w:tc>
          <w:tcPr>
            <w:tcW w:w="8856" w:type="dxa"/>
            <w:gridSpan w:val="4"/>
            <w:shd w:val="clear" w:color="auto" w:fill="B8CCE4"/>
          </w:tcPr>
          <w:p w:rsidR="00726DE6" w:rsidRPr="00393D83" w:rsidRDefault="00726DE6" w:rsidP="00393D83">
            <w:pPr>
              <w:pStyle w:val="NoSpacing"/>
              <w:jc w:val="both"/>
              <w:rPr>
                <w:b/>
                <w:sz w:val="22"/>
                <w:szCs w:val="22"/>
              </w:rPr>
            </w:pPr>
            <w:r w:rsidRPr="00393D83">
              <w:rPr>
                <w:b/>
                <w:sz w:val="22"/>
                <w:szCs w:val="22"/>
              </w:rPr>
              <w:t>Basic information about course (subject)</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 xml:space="preserve">Academic unit: </w:t>
            </w:r>
          </w:p>
        </w:tc>
        <w:tc>
          <w:tcPr>
            <w:tcW w:w="5239" w:type="dxa"/>
            <w:gridSpan w:val="3"/>
          </w:tcPr>
          <w:p w:rsidR="00726DE6" w:rsidRPr="00393D83" w:rsidRDefault="00726DE6" w:rsidP="00393D83">
            <w:pPr>
              <w:pStyle w:val="NoSpacing"/>
              <w:jc w:val="both"/>
              <w:rPr>
                <w:b/>
                <w:sz w:val="22"/>
                <w:szCs w:val="22"/>
              </w:rPr>
            </w:pPr>
            <w:r w:rsidRPr="00393D83">
              <w:rPr>
                <w:b/>
                <w:sz w:val="22"/>
                <w:szCs w:val="22"/>
              </w:rPr>
              <w:t>PHARMACY</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Title of subject:</w:t>
            </w:r>
          </w:p>
        </w:tc>
        <w:tc>
          <w:tcPr>
            <w:tcW w:w="5239" w:type="dxa"/>
            <w:gridSpan w:val="3"/>
          </w:tcPr>
          <w:p w:rsidR="00726DE6" w:rsidRPr="00393D83" w:rsidRDefault="00726DE6" w:rsidP="00393D83">
            <w:pPr>
              <w:pStyle w:val="NoSpacing"/>
              <w:jc w:val="both"/>
              <w:rPr>
                <w:b/>
                <w:sz w:val="22"/>
                <w:szCs w:val="22"/>
              </w:rPr>
            </w:pPr>
            <w:r w:rsidRPr="00393D83">
              <w:rPr>
                <w:b/>
                <w:sz w:val="22"/>
                <w:szCs w:val="22"/>
              </w:rPr>
              <w:t>PHARMACEUTICAL CHEMISTRY II</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Level:</w:t>
            </w:r>
          </w:p>
        </w:tc>
        <w:tc>
          <w:tcPr>
            <w:tcW w:w="5239" w:type="dxa"/>
            <w:gridSpan w:val="3"/>
          </w:tcPr>
          <w:p w:rsidR="00726DE6" w:rsidRPr="00393D83" w:rsidRDefault="00726DE6" w:rsidP="00393D83">
            <w:pPr>
              <w:pStyle w:val="NoSpacing"/>
              <w:jc w:val="both"/>
              <w:rPr>
                <w:b/>
                <w:sz w:val="22"/>
                <w:szCs w:val="22"/>
              </w:rPr>
            </w:pPr>
            <w:r w:rsidRPr="00393D83">
              <w:rPr>
                <w:b/>
                <w:sz w:val="22"/>
                <w:szCs w:val="22"/>
              </w:rPr>
              <w:t>DIPLOM.</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Status of subject:</w:t>
            </w:r>
          </w:p>
        </w:tc>
        <w:tc>
          <w:tcPr>
            <w:tcW w:w="5239" w:type="dxa"/>
            <w:gridSpan w:val="3"/>
          </w:tcPr>
          <w:p w:rsidR="00726DE6" w:rsidRPr="00393D83" w:rsidRDefault="00726DE6" w:rsidP="00393D83">
            <w:pPr>
              <w:pStyle w:val="NoSpacing"/>
              <w:jc w:val="both"/>
              <w:rPr>
                <w:b/>
                <w:sz w:val="22"/>
                <w:szCs w:val="22"/>
              </w:rPr>
            </w:pPr>
            <w:r w:rsidRPr="00393D83">
              <w:rPr>
                <w:b/>
                <w:sz w:val="22"/>
                <w:szCs w:val="22"/>
              </w:rPr>
              <w:t>OBLIGATORY SUBJECT</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Year of study:</w:t>
            </w:r>
          </w:p>
        </w:tc>
        <w:tc>
          <w:tcPr>
            <w:tcW w:w="5239" w:type="dxa"/>
            <w:gridSpan w:val="3"/>
          </w:tcPr>
          <w:p w:rsidR="00726DE6" w:rsidRPr="00393D83" w:rsidRDefault="00726DE6" w:rsidP="00393D83">
            <w:pPr>
              <w:pStyle w:val="NoSpacing"/>
              <w:jc w:val="both"/>
              <w:rPr>
                <w:b/>
                <w:sz w:val="22"/>
                <w:szCs w:val="22"/>
              </w:rPr>
            </w:pPr>
            <w:r w:rsidRPr="00393D83">
              <w:rPr>
                <w:b/>
                <w:sz w:val="22"/>
                <w:szCs w:val="22"/>
              </w:rPr>
              <w:t>IV</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Number of hours per week:</w:t>
            </w:r>
          </w:p>
        </w:tc>
        <w:tc>
          <w:tcPr>
            <w:tcW w:w="5239" w:type="dxa"/>
            <w:gridSpan w:val="3"/>
          </w:tcPr>
          <w:p w:rsidR="00726DE6" w:rsidRPr="00393D83" w:rsidRDefault="00726DE6" w:rsidP="00393D83">
            <w:pPr>
              <w:pStyle w:val="NoSpacing"/>
              <w:jc w:val="both"/>
              <w:rPr>
                <w:b/>
                <w:sz w:val="22"/>
                <w:szCs w:val="22"/>
              </w:rPr>
            </w:pPr>
            <w:r w:rsidRPr="00393D83">
              <w:rPr>
                <w:b/>
                <w:sz w:val="22"/>
                <w:szCs w:val="22"/>
              </w:rPr>
              <w:t>3+3</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The value of credits – ECTS:</w:t>
            </w:r>
          </w:p>
        </w:tc>
        <w:tc>
          <w:tcPr>
            <w:tcW w:w="5239" w:type="dxa"/>
            <w:gridSpan w:val="3"/>
          </w:tcPr>
          <w:p w:rsidR="00726DE6" w:rsidRPr="00393D83" w:rsidRDefault="000A5F11" w:rsidP="00393D83">
            <w:pPr>
              <w:pStyle w:val="NoSpacing"/>
              <w:jc w:val="both"/>
              <w:rPr>
                <w:b/>
                <w:sz w:val="22"/>
                <w:szCs w:val="22"/>
              </w:rPr>
            </w:pPr>
            <w:r>
              <w:rPr>
                <w:b/>
                <w:sz w:val="22"/>
                <w:szCs w:val="22"/>
              </w:rPr>
              <w:t>7</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Time / location:</w:t>
            </w:r>
          </w:p>
        </w:tc>
        <w:tc>
          <w:tcPr>
            <w:tcW w:w="5239" w:type="dxa"/>
            <w:gridSpan w:val="3"/>
          </w:tcPr>
          <w:p w:rsidR="00726DE6" w:rsidRPr="00393D83" w:rsidRDefault="00726DE6" w:rsidP="00393D83">
            <w:pPr>
              <w:pStyle w:val="NoSpacing"/>
              <w:jc w:val="both"/>
              <w:rPr>
                <w:b/>
                <w:sz w:val="22"/>
                <w:szCs w:val="22"/>
              </w:rPr>
            </w:pP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The professor of subject:</w:t>
            </w:r>
          </w:p>
        </w:tc>
        <w:tc>
          <w:tcPr>
            <w:tcW w:w="5239" w:type="dxa"/>
            <w:gridSpan w:val="3"/>
          </w:tcPr>
          <w:p w:rsidR="00726DE6" w:rsidRPr="00393D83" w:rsidRDefault="00726DE6" w:rsidP="000A5F11">
            <w:pPr>
              <w:pStyle w:val="NoSpacing"/>
              <w:jc w:val="both"/>
              <w:rPr>
                <w:b/>
                <w:sz w:val="22"/>
                <w:szCs w:val="22"/>
              </w:rPr>
            </w:pPr>
            <w:r w:rsidRPr="00393D83">
              <w:rPr>
                <w:b/>
                <w:sz w:val="22"/>
                <w:szCs w:val="22"/>
              </w:rPr>
              <w:t>Prof. As</w:t>
            </w:r>
            <w:r w:rsidR="000A5F11">
              <w:rPr>
                <w:b/>
                <w:sz w:val="22"/>
                <w:szCs w:val="22"/>
              </w:rPr>
              <w:t>oc</w:t>
            </w:r>
            <w:r w:rsidRPr="00393D83">
              <w:rPr>
                <w:b/>
                <w:sz w:val="22"/>
                <w:szCs w:val="22"/>
              </w:rPr>
              <w:t>. Dr. Dashnor Nebija</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 xml:space="preserve">Contact details: </w:t>
            </w:r>
          </w:p>
        </w:tc>
        <w:tc>
          <w:tcPr>
            <w:tcW w:w="5239" w:type="dxa"/>
            <w:gridSpan w:val="3"/>
          </w:tcPr>
          <w:p w:rsidR="00726DE6" w:rsidRPr="00393D83" w:rsidRDefault="00726DE6" w:rsidP="00393D83">
            <w:pPr>
              <w:pStyle w:val="NoSpacing"/>
              <w:jc w:val="both"/>
              <w:rPr>
                <w:b/>
                <w:sz w:val="22"/>
                <w:szCs w:val="22"/>
              </w:rPr>
            </w:pPr>
            <w:r w:rsidRPr="00393D83">
              <w:rPr>
                <w:b/>
                <w:sz w:val="22"/>
                <w:szCs w:val="22"/>
              </w:rPr>
              <w:t>dashnor.nebija@uni-pr.edu;  + 37745401585</w:t>
            </w:r>
          </w:p>
        </w:tc>
      </w:tr>
      <w:tr w:rsidR="00FB050B" w:rsidRPr="00393D83" w:rsidTr="00EF57F9">
        <w:tc>
          <w:tcPr>
            <w:tcW w:w="8856" w:type="dxa"/>
            <w:gridSpan w:val="4"/>
            <w:shd w:val="clear" w:color="auto" w:fill="B8CCE4"/>
          </w:tcPr>
          <w:p w:rsidR="00FB050B" w:rsidRPr="00393D83" w:rsidRDefault="00FB050B" w:rsidP="00393D83">
            <w:pPr>
              <w:pStyle w:val="NoSpacing"/>
              <w:jc w:val="both"/>
              <w:rPr>
                <w:sz w:val="22"/>
                <w:szCs w:val="22"/>
              </w:rPr>
            </w:pPr>
          </w:p>
        </w:tc>
      </w:tr>
      <w:tr w:rsidR="00CF116F" w:rsidRPr="00393D83" w:rsidTr="00183923">
        <w:tc>
          <w:tcPr>
            <w:tcW w:w="3617" w:type="dxa"/>
          </w:tcPr>
          <w:p w:rsidR="00CF116F" w:rsidRPr="00393D83" w:rsidRDefault="00726DE6" w:rsidP="00393D83">
            <w:pPr>
              <w:pStyle w:val="NoSpacing"/>
              <w:jc w:val="both"/>
              <w:rPr>
                <w:b/>
                <w:sz w:val="22"/>
                <w:szCs w:val="22"/>
              </w:rPr>
            </w:pPr>
            <w:r w:rsidRPr="00393D83">
              <w:rPr>
                <w:b/>
                <w:sz w:val="22"/>
                <w:szCs w:val="22"/>
              </w:rPr>
              <w:t>The description of subject</w:t>
            </w:r>
          </w:p>
        </w:tc>
        <w:tc>
          <w:tcPr>
            <w:tcW w:w="5239" w:type="dxa"/>
            <w:gridSpan w:val="3"/>
          </w:tcPr>
          <w:p w:rsidR="007C3132" w:rsidRPr="00393D83" w:rsidRDefault="00E901B4" w:rsidP="00393D83">
            <w:pPr>
              <w:pStyle w:val="NoSpacing"/>
              <w:jc w:val="both"/>
              <w:rPr>
                <w:sz w:val="22"/>
                <w:szCs w:val="22"/>
              </w:rPr>
            </w:pPr>
            <w:r w:rsidRPr="00393D83">
              <w:rPr>
                <w:sz w:val="22"/>
                <w:szCs w:val="22"/>
              </w:rPr>
              <w:t>Pharmaceutical Chemistry is a core subject which studies drug chemistry and properties from theoretic</w:t>
            </w:r>
            <w:r w:rsidR="000A5F11">
              <w:rPr>
                <w:sz w:val="22"/>
                <w:szCs w:val="22"/>
              </w:rPr>
              <w:t>al and practical part of view.</w:t>
            </w:r>
            <w:r w:rsidRPr="00393D83">
              <w:rPr>
                <w:sz w:val="22"/>
                <w:szCs w:val="22"/>
              </w:rPr>
              <w:t xml:space="preserve"> It studies general concepts related to the drug substances and their activity, drug classification, nomenclature and drug disc</w:t>
            </w:r>
            <w:r w:rsidR="007B4C75">
              <w:rPr>
                <w:sz w:val="22"/>
                <w:szCs w:val="22"/>
              </w:rPr>
              <w:t xml:space="preserve">overy, design and development. </w:t>
            </w:r>
            <w:r w:rsidRPr="00393D83">
              <w:rPr>
                <w:sz w:val="22"/>
                <w:szCs w:val="22"/>
              </w:rPr>
              <w:t>In addition this course will address general aspects of drug synthesis and analysis. This subject plays a</w:t>
            </w:r>
            <w:r w:rsidR="000A5F11">
              <w:rPr>
                <w:sz w:val="22"/>
                <w:szCs w:val="22"/>
              </w:rPr>
              <w:t>n</w:t>
            </w:r>
            <w:r w:rsidRPr="00393D83">
              <w:rPr>
                <w:sz w:val="22"/>
                <w:szCs w:val="22"/>
              </w:rPr>
              <w:t xml:space="preserve"> essential role in the understanding of the systematic study of different classes of drugs on the basis of their mechanism of action and therapeutic application.   </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Objective</w:t>
            </w:r>
            <w:r w:rsidR="000A5F11">
              <w:rPr>
                <w:b/>
                <w:sz w:val="22"/>
                <w:szCs w:val="22"/>
              </w:rPr>
              <w:t>s</w:t>
            </w:r>
            <w:r w:rsidRPr="00393D83">
              <w:rPr>
                <w:b/>
                <w:sz w:val="22"/>
                <w:szCs w:val="22"/>
              </w:rPr>
              <w:t xml:space="preserve"> of subject</w:t>
            </w:r>
          </w:p>
        </w:tc>
        <w:tc>
          <w:tcPr>
            <w:tcW w:w="5239" w:type="dxa"/>
            <w:gridSpan w:val="3"/>
          </w:tcPr>
          <w:p w:rsidR="00726DE6" w:rsidRPr="007B4C75" w:rsidRDefault="00726DE6" w:rsidP="007B4C75">
            <w:pPr>
              <w:rPr>
                <w:sz w:val="22"/>
                <w:szCs w:val="22"/>
              </w:rPr>
            </w:pPr>
            <w:r w:rsidRPr="007B4C75">
              <w:rPr>
                <w:sz w:val="22"/>
                <w:szCs w:val="22"/>
              </w:rPr>
              <w:t xml:space="preserve">To provide knowledge related to the basic principles of pharmaceutical chemistry, including drug discovery, design and development. This course will include fundamental concepts related to relationships between the structure of drug and its biological activity. </w:t>
            </w:r>
            <w:r w:rsidR="007B4C75" w:rsidRPr="007B4C75">
              <w:rPr>
                <w:sz w:val="22"/>
                <w:szCs w:val="22"/>
              </w:rPr>
              <w:t>In this subject the student will learn about the properties of of different pharmacotherapeutic groups of drugs</w:t>
            </w:r>
            <w:r w:rsidR="007B4C75" w:rsidRPr="007B4C75">
              <w:rPr>
                <w:sz w:val="22"/>
                <w:szCs w:val="22"/>
                <w:lang w:val="sq-AL"/>
              </w:rPr>
              <w:t xml:space="preserve">, including their gjeneral formula,  </w:t>
            </w:r>
            <w:r w:rsidR="007B4C75" w:rsidRPr="007B4C75">
              <w:t xml:space="preserve">physico-chemical properties, chemical reactions and synthetic routes for selected drugs and the nfluence of drug structure on pharmacological, toxicological  and therapeutic profile of drug. </w:t>
            </w:r>
            <w:r w:rsidR="007B4C75" w:rsidRPr="007B4C75">
              <w:rPr>
                <w:sz w:val="22"/>
                <w:szCs w:val="22"/>
                <w:lang w:val="sq-AL"/>
              </w:rPr>
              <w:t xml:space="preserve"> </w:t>
            </w:r>
            <w:r w:rsidRPr="007B4C75">
              <w:rPr>
                <w:sz w:val="22"/>
                <w:szCs w:val="22"/>
              </w:rPr>
              <w:t xml:space="preserve">In addition, this course will provide advanced knowledge related to drug development and drug production, in particular the development and application of new Pharmaceutical and </w:t>
            </w:r>
            <w:r w:rsidR="007B4C75" w:rsidRPr="007B4C75">
              <w:rPr>
                <w:sz w:val="22"/>
                <w:szCs w:val="22"/>
              </w:rPr>
              <w:t xml:space="preserve"> </w:t>
            </w:r>
            <w:r w:rsidRPr="007B4C75">
              <w:rPr>
                <w:sz w:val="22"/>
                <w:szCs w:val="22"/>
              </w:rPr>
              <w:t>iopharmaceutical Analysis as essential parts of Pharmaceutical quality management.</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Expected results of learning</w:t>
            </w:r>
          </w:p>
        </w:tc>
        <w:tc>
          <w:tcPr>
            <w:tcW w:w="5239" w:type="dxa"/>
            <w:gridSpan w:val="3"/>
          </w:tcPr>
          <w:p w:rsidR="00726DE6" w:rsidRPr="00393D83" w:rsidRDefault="00726DE6" w:rsidP="007B4C75">
            <w:pPr>
              <w:pStyle w:val="NoSpacing"/>
              <w:jc w:val="both"/>
              <w:rPr>
                <w:sz w:val="22"/>
                <w:szCs w:val="22"/>
              </w:rPr>
            </w:pPr>
            <w:r w:rsidRPr="00393D83">
              <w:rPr>
                <w:sz w:val="22"/>
                <w:szCs w:val="22"/>
              </w:rPr>
              <w:t>After completing this course students will be able to understand the relationships between the drug chemical structure, physico-chemical properties, pharmacological action and drug therapeutic application</w:t>
            </w:r>
            <w:r w:rsidR="007B4C75">
              <w:rPr>
                <w:sz w:val="22"/>
                <w:szCs w:val="22"/>
              </w:rPr>
              <w:t xml:space="preserve">, </w:t>
            </w:r>
            <w:r w:rsidR="007B4C75" w:rsidRPr="007B4C75">
              <w:rPr>
                <w:sz w:val="22"/>
                <w:szCs w:val="22"/>
              </w:rPr>
              <w:t>to determine which parts of the molecule are important for the drug action and on the basis of the drug structur to describe the mechanism of action, application and method of their administration</w:t>
            </w:r>
            <w:r w:rsidR="007B4C75" w:rsidRPr="007B4C75">
              <w:rPr>
                <w:b/>
                <w:sz w:val="22"/>
                <w:szCs w:val="22"/>
              </w:rPr>
              <w:t>.</w:t>
            </w:r>
            <w:r w:rsidR="007B4C75">
              <w:rPr>
                <w:sz w:val="22"/>
                <w:szCs w:val="22"/>
              </w:rPr>
              <w:t xml:space="preserve"> </w:t>
            </w:r>
            <w:r w:rsidRPr="00393D83">
              <w:rPr>
                <w:sz w:val="22"/>
                <w:szCs w:val="22"/>
              </w:rPr>
              <w:t xml:space="preserve">In addition students will gain the </w:t>
            </w:r>
            <w:r w:rsidRPr="00393D83">
              <w:rPr>
                <w:sz w:val="22"/>
                <w:szCs w:val="22"/>
              </w:rPr>
              <w:lastRenderedPageBreak/>
              <w:t>skills that starting from the drug chemical structure throughout reto-synthesis to conclude for the presen</w:t>
            </w:r>
            <w:r w:rsidR="00867DF2">
              <w:rPr>
                <w:sz w:val="22"/>
                <w:szCs w:val="22"/>
              </w:rPr>
              <w:t>ce of starting materials and by-</w:t>
            </w:r>
            <w:r w:rsidRPr="00393D83">
              <w:rPr>
                <w:sz w:val="22"/>
                <w:szCs w:val="22"/>
              </w:rPr>
              <w:t>products in the final product. By this way students will be able to competently evaluate the quality of drugs</w:t>
            </w:r>
            <w:r w:rsidR="00EC2F85">
              <w:rPr>
                <w:sz w:val="22"/>
                <w:szCs w:val="22"/>
              </w:rPr>
              <w:t xml:space="preserve"> and i</w:t>
            </w:r>
            <w:r w:rsidR="00EC2F85" w:rsidRPr="00EC2F85">
              <w:rPr>
                <w:sz w:val="22"/>
                <w:szCs w:val="22"/>
              </w:rPr>
              <w:t>nforming and advising patients about the effects of drugs.</w:t>
            </w:r>
          </w:p>
        </w:tc>
      </w:tr>
      <w:tr w:rsidR="00FF7590" w:rsidRPr="00393D83" w:rsidTr="00004B39">
        <w:tc>
          <w:tcPr>
            <w:tcW w:w="8856" w:type="dxa"/>
            <w:gridSpan w:val="4"/>
            <w:shd w:val="clear" w:color="auto" w:fill="B8CCE4"/>
          </w:tcPr>
          <w:p w:rsidR="00FF7590" w:rsidRPr="00393D83" w:rsidRDefault="00FF7590" w:rsidP="00393D83">
            <w:pPr>
              <w:pStyle w:val="NoSpacing"/>
              <w:jc w:val="both"/>
              <w:rPr>
                <w:sz w:val="22"/>
                <w:szCs w:val="22"/>
              </w:rPr>
            </w:pPr>
          </w:p>
        </w:tc>
      </w:tr>
      <w:tr w:rsidR="00FB050B" w:rsidRPr="00393D83" w:rsidTr="00EF57F9">
        <w:tc>
          <w:tcPr>
            <w:tcW w:w="8856" w:type="dxa"/>
            <w:gridSpan w:val="4"/>
            <w:shd w:val="clear" w:color="auto" w:fill="B8CCE4"/>
          </w:tcPr>
          <w:p w:rsidR="00FB050B" w:rsidRPr="00393D83" w:rsidRDefault="00726DE6" w:rsidP="00393D83">
            <w:pPr>
              <w:pStyle w:val="NoSpacing"/>
              <w:jc w:val="both"/>
              <w:rPr>
                <w:b/>
                <w:sz w:val="22"/>
                <w:szCs w:val="22"/>
              </w:rPr>
            </w:pPr>
            <w:r w:rsidRPr="00393D83">
              <w:rPr>
                <w:b/>
                <w:sz w:val="22"/>
                <w:szCs w:val="22"/>
              </w:rPr>
              <w:t>The contribution in student loading time (should correspond with results of students learning)</w:t>
            </w:r>
          </w:p>
        </w:tc>
      </w:tr>
      <w:tr w:rsidR="00726DE6" w:rsidRPr="00393D83" w:rsidTr="00183923">
        <w:tc>
          <w:tcPr>
            <w:tcW w:w="3617" w:type="dxa"/>
            <w:tcBorders>
              <w:right w:val="single" w:sz="4" w:space="0" w:color="auto"/>
            </w:tcBorders>
            <w:shd w:val="clear" w:color="auto" w:fill="B8CCE4"/>
          </w:tcPr>
          <w:p w:rsidR="00726DE6" w:rsidRPr="00393D83" w:rsidRDefault="00726DE6" w:rsidP="00393D83">
            <w:pPr>
              <w:jc w:val="both"/>
              <w:rPr>
                <w:b/>
                <w:sz w:val="22"/>
                <w:szCs w:val="22"/>
              </w:rPr>
            </w:pPr>
            <w:r w:rsidRPr="00393D83">
              <w:rPr>
                <w:b/>
                <w:sz w:val="22"/>
                <w:szCs w:val="22"/>
              </w:rPr>
              <w:t xml:space="preserve">Activity </w:t>
            </w:r>
          </w:p>
        </w:tc>
        <w:tc>
          <w:tcPr>
            <w:tcW w:w="1425" w:type="dxa"/>
            <w:tcBorders>
              <w:left w:val="single" w:sz="4" w:space="0" w:color="auto"/>
              <w:right w:val="single" w:sz="4" w:space="0" w:color="auto"/>
            </w:tcBorders>
            <w:shd w:val="clear" w:color="auto" w:fill="B8CCE4"/>
          </w:tcPr>
          <w:p w:rsidR="00726DE6" w:rsidRPr="00393D83" w:rsidRDefault="00726DE6" w:rsidP="00393D83">
            <w:pPr>
              <w:jc w:val="both"/>
              <w:rPr>
                <w:b/>
                <w:sz w:val="22"/>
                <w:szCs w:val="22"/>
              </w:rPr>
            </w:pPr>
            <w:r w:rsidRPr="00393D83">
              <w:rPr>
                <w:b/>
                <w:sz w:val="22"/>
                <w:szCs w:val="22"/>
              </w:rPr>
              <w:t>Hours</w:t>
            </w:r>
          </w:p>
        </w:tc>
        <w:tc>
          <w:tcPr>
            <w:tcW w:w="1770" w:type="dxa"/>
            <w:tcBorders>
              <w:left w:val="single" w:sz="4" w:space="0" w:color="auto"/>
              <w:right w:val="single" w:sz="4" w:space="0" w:color="auto"/>
            </w:tcBorders>
            <w:shd w:val="clear" w:color="auto" w:fill="B8CCE4"/>
          </w:tcPr>
          <w:p w:rsidR="00726DE6" w:rsidRPr="00393D83" w:rsidRDefault="00726DE6" w:rsidP="00393D83">
            <w:pPr>
              <w:jc w:val="both"/>
              <w:rPr>
                <w:b/>
                <w:sz w:val="22"/>
                <w:szCs w:val="22"/>
              </w:rPr>
            </w:pPr>
            <w:r w:rsidRPr="00393D83">
              <w:rPr>
                <w:b/>
                <w:sz w:val="22"/>
                <w:szCs w:val="22"/>
              </w:rPr>
              <w:t xml:space="preserve"> Days/week  </w:t>
            </w:r>
          </w:p>
        </w:tc>
        <w:tc>
          <w:tcPr>
            <w:tcW w:w="2044" w:type="dxa"/>
            <w:tcBorders>
              <w:left w:val="single" w:sz="4" w:space="0" w:color="auto"/>
            </w:tcBorders>
            <w:shd w:val="clear" w:color="auto" w:fill="B8CCE4"/>
          </w:tcPr>
          <w:p w:rsidR="00726DE6" w:rsidRPr="00393D83" w:rsidRDefault="00726DE6" w:rsidP="00393D83">
            <w:pPr>
              <w:jc w:val="both"/>
              <w:rPr>
                <w:b/>
                <w:sz w:val="22"/>
                <w:szCs w:val="22"/>
              </w:rPr>
            </w:pPr>
            <w:r w:rsidRPr="00393D83">
              <w:rPr>
                <w:b/>
                <w:sz w:val="22"/>
                <w:szCs w:val="22"/>
              </w:rPr>
              <w:t>Total</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Lectures</w:t>
            </w:r>
          </w:p>
        </w:tc>
        <w:tc>
          <w:tcPr>
            <w:tcW w:w="1425" w:type="dxa"/>
            <w:tcBorders>
              <w:left w:val="single" w:sz="4" w:space="0" w:color="auto"/>
              <w:right w:val="single" w:sz="4" w:space="0" w:color="auto"/>
            </w:tcBorders>
            <w:shd w:val="clear" w:color="auto" w:fill="FFFFFF"/>
          </w:tcPr>
          <w:p w:rsidR="001E7B4D" w:rsidRPr="00F944EB" w:rsidRDefault="001E7B4D" w:rsidP="00C55320">
            <w:pPr>
              <w:rPr>
                <w:color w:val="000000"/>
                <w:sz w:val="20"/>
                <w:szCs w:val="20"/>
              </w:rPr>
            </w:pPr>
            <w:r w:rsidRPr="00F944EB">
              <w:rPr>
                <w:color w:val="000000"/>
                <w:sz w:val="20"/>
                <w:szCs w:val="20"/>
              </w:rPr>
              <w:t>3</w:t>
            </w:r>
          </w:p>
        </w:tc>
        <w:tc>
          <w:tcPr>
            <w:tcW w:w="1770" w:type="dxa"/>
            <w:tcBorders>
              <w:left w:val="single" w:sz="4" w:space="0" w:color="auto"/>
              <w:right w:val="single" w:sz="4" w:space="0" w:color="auto"/>
            </w:tcBorders>
            <w:shd w:val="clear" w:color="auto" w:fill="FFFFFF"/>
          </w:tcPr>
          <w:p w:rsidR="001E7B4D" w:rsidRPr="00F944EB" w:rsidRDefault="001E7B4D" w:rsidP="00C55320">
            <w:pPr>
              <w:rPr>
                <w:color w:val="000000"/>
                <w:sz w:val="20"/>
                <w:szCs w:val="20"/>
              </w:rPr>
            </w:pPr>
            <w:r w:rsidRPr="00F944EB">
              <w:rPr>
                <w:color w:val="000000"/>
                <w:sz w:val="20"/>
                <w:szCs w:val="20"/>
              </w:rPr>
              <w:t>15</w:t>
            </w:r>
          </w:p>
        </w:tc>
        <w:tc>
          <w:tcPr>
            <w:tcW w:w="2044" w:type="dxa"/>
            <w:tcBorders>
              <w:left w:val="single" w:sz="4" w:space="0" w:color="auto"/>
            </w:tcBorders>
            <w:shd w:val="clear" w:color="auto" w:fill="FFFFFF"/>
          </w:tcPr>
          <w:p w:rsidR="001E7B4D" w:rsidRPr="00F944EB" w:rsidRDefault="001E7B4D" w:rsidP="00C55320">
            <w:pPr>
              <w:rPr>
                <w:color w:val="000000"/>
                <w:sz w:val="20"/>
                <w:szCs w:val="20"/>
              </w:rPr>
            </w:pPr>
            <w:r w:rsidRPr="00F944EB">
              <w:rPr>
                <w:color w:val="000000"/>
                <w:sz w:val="20"/>
                <w:szCs w:val="20"/>
              </w:rPr>
              <w:t>45</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Practical /lab exercise</w:t>
            </w:r>
          </w:p>
        </w:tc>
        <w:tc>
          <w:tcPr>
            <w:tcW w:w="1425" w:type="dxa"/>
            <w:tcBorders>
              <w:left w:val="single" w:sz="4" w:space="0" w:color="auto"/>
              <w:right w:val="single" w:sz="4" w:space="0" w:color="auto"/>
            </w:tcBorders>
            <w:shd w:val="clear" w:color="auto" w:fill="FFFFFF"/>
          </w:tcPr>
          <w:p w:rsidR="001E7B4D" w:rsidRPr="00F944EB" w:rsidRDefault="001E7B4D" w:rsidP="00C55320">
            <w:pPr>
              <w:rPr>
                <w:color w:val="000000"/>
                <w:sz w:val="20"/>
                <w:szCs w:val="20"/>
              </w:rPr>
            </w:pPr>
            <w:r w:rsidRPr="00F944EB">
              <w:rPr>
                <w:color w:val="000000"/>
                <w:sz w:val="20"/>
                <w:szCs w:val="20"/>
              </w:rPr>
              <w:t>3</w:t>
            </w:r>
          </w:p>
        </w:tc>
        <w:tc>
          <w:tcPr>
            <w:tcW w:w="1770" w:type="dxa"/>
            <w:tcBorders>
              <w:left w:val="single" w:sz="4" w:space="0" w:color="auto"/>
              <w:right w:val="single" w:sz="4" w:space="0" w:color="auto"/>
            </w:tcBorders>
            <w:shd w:val="clear" w:color="auto" w:fill="FFFFFF"/>
          </w:tcPr>
          <w:p w:rsidR="001E7B4D" w:rsidRPr="00F944EB" w:rsidRDefault="001E7B4D" w:rsidP="00C55320">
            <w:pPr>
              <w:rPr>
                <w:color w:val="000000"/>
                <w:sz w:val="20"/>
                <w:szCs w:val="20"/>
              </w:rPr>
            </w:pPr>
            <w:r w:rsidRPr="00F944EB">
              <w:rPr>
                <w:color w:val="000000"/>
                <w:sz w:val="20"/>
                <w:szCs w:val="20"/>
              </w:rPr>
              <w:t>15</w:t>
            </w:r>
          </w:p>
        </w:tc>
        <w:tc>
          <w:tcPr>
            <w:tcW w:w="2044" w:type="dxa"/>
            <w:tcBorders>
              <w:left w:val="single" w:sz="4" w:space="0" w:color="auto"/>
            </w:tcBorders>
            <w:shd w:val="clear" w:color="auto" w:fill="FFFFFF"/>
          </w:tcPr>
          <w:p w:rsidR="001E7B4D" w:rsidRPr="00F944EB" w:rsidRDefault="001E7B4D" w:rsidP="00C55320">
            <w:pPr>
              <w:rPr>
                <w:color w:val="000000"/>
                <w:sz w:val="20"/>
                <w:szCs w:val="20"/>
              </w:rPr>
            </w:pPr>
            <w:r w:rsidRPr="00F944EB">
              <w:rPr>
                <w:color w:val="000000"/>
                <w:sz w:val="20"/>
                <w:szCs w:val="20"/>
              </w:rPr>
              <w:t>45</w:t>
            </w:r>
          </w:p>
        </w:tc>
      </w:tr>
      <w:tr w:rsidR="00726DE6" w:rsidRPr="00393D83" w:rsidTr="00183923">
        <w:tc>
          <w:tcPr>
            <w:tcW w:w="3617" w:type="dxa"/>
            <w:tcBorders>
              <w:right w:val="single" w:sz="4" w:space="0" w:color="auto"/>
            </w:tcBorders>
            <w:shd w:val="clear" w:color="auto" w:fill="FFFFFF"/>
          </w:tcPr>
          <w:p w:rsidR="00726DE6" w:rsidRPr="00393D83" w:rsidRDefault="00726DE6" w:rsidP="00393D83">
            <w:pPr>
              <w:jc w:val="both"/>
              <w:rPr>
                <w:sz w:val="22"/>
                <w:szCs w:val="22"/>
              </w:rPr>
            </w:pPr>
            <w:r w:rsidRPr="00393D83">
              <w:rPr>
                <w:sz w:val="22"/>
                <w:szCs w:val="22"/>
              </w:rPr>
              <w:t>Practical work</w:t>
            </w:r>
          </w:p>
        </w:tc>
        <w:tc>
          <w:tcPr>
            <w:tcW w:w="1425" w:type="dxa"/>
            <w:tcBorders>
              <w:left w:val="single" w:sz="4" w:space="0" w:color="auto"/>
              <w:right w:val="single" w:sz="4" w:space="0" w:color="auto"/>
            </w:tcBorders>
            <w:shd w:val="clear" w:color="auto" w:fill="FFFFFF"/>
          </w:tcPr>
          <w:p w:rsidR="00726DE6" w:rsidRPr="00393D83" w:rsidRDefault="00726DE6" w:rsidP="00393D83">
            <w:pPr>
              <w:jc w:val="both"/>
              <w:rPr>
                <w:sz w:val="22"/>
                <w:szCs w:val="22"/>
              </w:rPr>
            </w:pPr>
          </w:p>
        </w:tc>
        <w:tc>
          <w:tcPr>
            <w:tcW w:w="1770" w:type="dxa"/>
            <w:tcBorders>
              <w:left w:val="single" w:sz="4" w:space="0" w:color="auto"/>
              <w:right w:val="single" w:sz="4" w:space="0" w:color="auto"/>
            </w:tcBorders>
            <w:shd w:val="clear" w:color="auto" w:fill="FFFFFF"/>
          </w:tcPr>
          <w:p w:rsidR="00726DE6" w:rsidRPr="00393D83" w:rsidRDefault="00726DE6" w:rsidP="00393D83">
            <w:pPr>
              <w:jc w:val="both"/>
              <w:rPr>
                <w:sz w:val="22"/>
                <w:szCs w:val="22"/>
              </w:rPr>
            </w:pPr>
          </w:p>
        </w:tc>
        <w:tc>
          <w:tcPr>
            <w:tcW w:w="2044" w:type="dxa"/>
            <w:tcBorders>
              <w:left w:val="single" w:sz="4" w:space="0" w:color="auto"/>
            </w:tcBorders>
            <w:shd w:val="clear" w:color="auto" w:fill="FFFFFF"/>
          </w:tcPr>
          <w:p w:rsidR="00726DE6" w:rsidRPr="00393D83" w:rsidRDefault="00726DE6" w:rsidP="00393D83">
            <w:pPr>
              <w:jc w:val="both"/>
              <w:rPr>
                <w:sz w:val="22"/>
                <w:szCs w:val="22"/>
              </w:rPr>
            </w:pP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lang w:val="nb-NO"/>
              </w:rPr>
              <w:t>The contact with lecturer/consults</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2</w:t>
            </w: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4</w:t>
            </w:r>
          </w:p>
        </w:tc>
        <w:tc>
          <w:tcPr>
            <w:tcW w:w="2044" w:type="dxa"/>
            <w:tcBorders>
              <w:left w:val="single" w:sz="4" w:space="0" w:color="auto"/>
            </w:tcBorders>
            <w:shd w:val="clear" w:color="auto" w:fill="FFFFFF"/>
          </w:tcPr>
          <w:p w:rsidR="001E7B4D" w:rsidRPr="0049404D" w:rsidRDefault="001E7B4D" w:rsidP="00C55320">
            <w:pPr>
              <w:rPr>
                <w:sz w:val="20"/>
                <w:szCs w:val="20"/>
              </w:rPr>
            </w:pPr>
            <w:r>
              <w:rPr>
                <w:sz w:val="20"/>
                <w:szCs w:val="20"/>
              </w:rPr>
              <w:t>8</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Field exercise</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2044" w:type="dxa"/>
            <w:tcBorders>
              <w:left w:val="single" w:sz="4" w:space="0" w:color="auto"/>
            </w:tcBorders>
            <w:shd w:val="clear" w:color="auto" w:fill="FFFFFF"/>
          </w:tcPr>
          <w:p w:rsidR="001E7B4D" w:rsidRPr="0049404D" w:rsidRDefault="001E7B4D" w:rsidP="00C55320">
            <w:pPr>
              <w:rPr>
                <w:sz w:val="20"/>
                <w:szCs w:val="20"/>
              </w:rPr>
            </w:pP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Colloquium, seminars</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2</w:t>
            </w: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5</w:t>
            </w:r>
          </w:p>
        </w:tc>
        <w:tc>
          <w:tcPr>
            <w:tcW w:w="2044" w:type="dxa"/>
            <w:tcBorders>
              <w:left w:val="single" w:sz="4" w:space="0" w:color="auto"/>
            </w:tcBorders>
            <w:shd w:val="clear" w:color="auto" w:fill="FFFFFF"/>
          </w:tcPr>
          <w:p w:rsidR="001E7B4D" w:rsidRPr="0049404D" w:rsidRDefault="001E7B4D" w:rsidP="00C55320">
            <w:pPr>
              <w:rPr>
                <w:sz w:val="20"/>
                <w:szCs w:val="20"/>
              </w:rPr>
            </w:pPr>
            <w:r>
              <w:rPr>
                <w:sz w:val="20"/>
                <w:szCs w:val="20"/>
              </w:rPr>
              <w:t>10</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Home work</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2044" w:type="dxa"/>
            <w:tcBorders>
              <w:left w:val="single" w:sz="4" w:space="0" w:color="auto"/>
            </w:tcBorders>
            <w:shd w:val="clear" w:color="auto" w:fill="FFFFFF"/>
          </w:tcPr>
          <w:p w:rsidR="001E7B4D" w:rsidRPr="0049404D" w:rsidRDefault="001E7B4D" w:rsidP="00C55320">
            <w:pPr>
              <w:rPr>
                <w:sz w:val="20"/>
                <w:szCs w:val="20"/>
              </w:rPr>
            </w:pP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Time of self learning of student (library or home)</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2</w:t>
            </w: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2044" w:type="dxa"/>
            <w:tcBorders>
              <w:left w:val="single" w:sz="4" w:space="0" w:color="auto"/>
            </w:tcBorders>
            <w:shd w:val="clear" w:color="auto" w:fill="FFFFFF"/>
          </w:tcPr>
          <w:p w:rsidR="001E7B4D" w:rsidRPr="0049404D" w:rsidRDefault="001E7B4D" w:rsidP="00C55320">
            <w:pPr>
              <w:rPr>
                <w:sz w:val="20"/>
                <w:szCs w:val="20"/>
              </w:rPr>
            </w:pPr>
            <w:r>
              <w:rPr>
                <w:sz w:val="20"/>
                <w:szCs w:val="20"/>
              </w:rPr>
              <w:t>30</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The final preparation for exam</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2</w:t>
            </w: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2044" w:type="dxa"/>
            <w:tcBorders>
              <w:left w:val="single" w:sz="4" w:space="0" w:color="auto"/>
            </w:tcBorders>
            <w:shd w:val="clear" w:color="auto" w:fill="FFFFFF"/>
          </w:tcPr>
          <w:p w:rsidR="001E7B4D" w:rsidRPr="0049404D" w:rsidRDefault="001E7B4D" w:rsidP="00C55320">
            <w:pPr>
              <w:rPr>
                <w:sz w:val="20"/>
                <w:szCs w:val="20"/>
              </w:rPr>
            </w:pPr>
            <w:r w:rsidRPr="0049404D">
              <w:rPr>
                <w:sz w:val="20"/>
                <w:szCs w:val="20"/>
              </w:rPr>
              <w:t>3</w:t>
            </w:r>
            <w:r>
              <w:rPr>
                <w:sz w:val="20"/>
                <w:szCs w:val="20"/>
              </w:rPr>
              <w:t>0</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Time for student  evaluation (tests, quiz, final exam)</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3</w:t>
            </w: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2044" w:type="dxa"/>
            <w:tcBorders>
              <w:left w:val="single" w:sz="4" w:space="0" w:color="auto"/>
            </w:tcBorders>
            <w:shd w:val="clear" w:color="auto" w:fill="FFFFFF"/>
          </w:tcPr>
          <w:p w:rsidR="001E7B4D" w:rsidRPr="0049404D" w:rsidRDefault="001E7B4D" w:rsidP="00C55320">
            <w:pPr>
              <w:rPr>
                <w:sz w:val="20"/>
                <w:szCs w:val="20"/>
              </w:rPr>
            </w:pPr>
            <w:r>
              <w:rPr>
                <w:sz w:val="20"/>
                <w:szCs w:val="20"/>
              </w:rPr>
              <w:t>3</w:t>
            </w:r>
          </w:p>
        </w:tc>
      </w:tr>
      <w:tr w:rsidR="001E7B4D" w:rsidRPr="00393D83" w:rsidTr="00183923">
        <w:tc>
          <w:tcPr>
            <w:tcW w:w="3617" w:type="dxa"/>
            <w:tcBorders>
              <w:right w:val="single" w:sz="4" w:space="0" w:color="auto"/>
            </w:tcBorders>
            <w:shd w:val="clear" w:color="auto" w:fill="FFFFFF"/>
          </w:tcPr>
          <w:p w:rsidR="001E7B4D" w:rsidRPr="00393D83" w:rsidRDefault="001E7B4D" w:rsidP="00393D83">
            <w:pPr>
              <w:jc w:val="both"/>
              <w:rPr>
                <w:sz w:val="22"/>
                <w:szCs w:val="22"/>
              </w:rPr>
            </w:pPr>
            <w:r w:rsidRPr="00393D83">
              <w:rPr>
                <w:sz w:val="22"/>
                <w:szCs w:val="22"/>
              </w:rPr>
              <w:t>Projects, presentations ,ect</w:t>
            </w:r>
          </w:p>
          <w:p w:rsidR="001E7B4D" w:rsidRPr="00393D83" w:rsidRDefault="001E7B4D" w:rsidP="00393D83">
            <w:pPr>
              <w:jc w:val="both"/>
              <w:rPr>
                <w:sz w:val="22"/>
                <w:szCs w:val="22"/>
              </w:rPr>
            </w:pPr>
            <w:r w:rsidRPr="00393D83">
              <w:rPr>
                <w:sz w:val="22"/>
                <w:szCs w:val="22"/>
              </w:rPr>
              <w:t xml:space="preserve"> </w:t>
            </w:r>
          </w:p>
        </w:tc>
        <w:tc>
          <w:tcPr>
            <w:tcW w:w="1425" w:type="dxa"/>
            <w:tcBorders>
              <w:left w:val="single" w:sz="4" w:space="0" w:color="auto"/>
              <w:right w:val="single" w:sz="4" w:space="0" w:color="auto"/>
            </w:tcBorders>
            <w:shd w:val="clear" w:color="auto" w:fill="FFFFFF"/>
          </w:tcPr>
          <w:p w:rsidR="001E7B4D" w:rsidRPr="0049404D" w:rsidRDefault="001E7B4D" w:rsidP="00C55320">
            <w:pPr>
              <w:rPr>
                <w:sz w:val="20"/>
                <w:szCs w:val="20"/>
              </w:rPr>
            </w:pPr>
            <w:r>
              <w:rPr>
                <w:sz w:val="20"/>
                <w:szCs w:val="20"/>
              </w:rPr>
              <w:t>4</w:t>
            </w:r>
          </w:p>
        </w:tc>
        <w:tc>
          <w:tcPr>
            <w:tcW w:w="1770" w:type="dxa"/>
            <w:tcBorders>
              <w:left w:val="single" w:sz="4" w:space="0" w:color="auto"/>
              <w:right w:val="single" w:sz="4" w:space="0" w:color="auto"/>
            </w:tcBorders>
            <w:shd w:val="clear" w:color="auto" w:fill="FFFFFF"/>
          </w:tcPr>
          <w:p w:rsidR="001E7B4D" w:rsidRPr="0049404D" w:rsidRDefault="001E7B4D" w:rsidP="00C55320">
            <w:pPr>
              <w:rPr>
                <w:sz w:val="20"/>
                <w:szCs w:val="20"/>
              </w:rPr>
            </w:pPr>
          </w:p>
        </w:tc>
        <w:tc>
          <w:tcPr>
            <w:tcW w:w="2044" w:type="dxa"/>
            <w:tcBorders>
              <w:left w:val="single" w:sz="4" w:space="0" w:color="auto"/>
            </w:tcBorders>
            <w:shd w:val="clear" w:color="auto" w:fill="FFFFFF"/>
          </w:tcPr>
          <w:p w:rsidR="001E7B4D" w:rsidRPr="0049404D" w:rsidRDefault="001E7B4D" w:rsidP="00C55320">
            <w:pPr>
              <w:rPr>
                <w:sz w:val="20"/>
                <w:szCs w:val="20"/>
              </w:rPr>
            </w:pPr>
            <w:r>
              <w:rPr>
                <w:sz w:val="20"/>
                <w:szCs w:val="20"/>
              </w:rPr>
              <w:t>4</w:t>
            </w:r>
          </w:p>
        </w:tc>
      </w:tr>
      <w:tr w:rsidR="001E7B4D" w:rsidRPr="00393D83" w:rsidTr="00183923">
        <w:tc>
          <w:tcPr>
            <w:tcW w:w="3617" w:type="dxa"/>
            <w:tcBorders>
              <w:right w:val="single" w:sz="4" w:space="0" w:color="auto"/>
            </w:tcBorders>
            <w:shd w:val="clear" w:color="auto" w:fill="B8CCE4"/>
          </w:tcPr>
          <w:p w:rsidR="001E7B4D" w:rsidRPr="00393D83" w:rsidRDefault="001E7B4D" w:rsidP="00393D83">
            <w:pPr>
              <w:jc w:val="both"/>
              <w:rPr>
                <w:b/>
                <w:sz w:val="22"/>
                <w:szCs w:val="22"/>
              </w:rPr>
            </w:pPr>
            <w:r w:rsidRPr="00393D83">
              <w:rPr>
                <w:b/>
                <w:sz w:val="22"/>
                <w:szCs w:val="22"/>
              </w:rPr>
              <w:t>Total</w:t>
            </w:r>
          </w:p>
          <w:p w:rsidR="001E7B4D" w:rsidRPr="00393D83" w:rsidRDefault="001E7B4D" w:rsidP="00393D83">
            <w:pPr>
              <w:jc w:val="both"/>
              <w:rPr>
                <w:b/>
                <w:sz w:val="22"/>
                <w:szCs w:val="22"/>
              </w:rPr>
            </w:pPr>
          </w:p>
        </w:tc>
        <w:tc>
          <w:tcPr>
            <w:tcW w:w="1425" w:type="dxa"/>
            <w:tcBorders>
              <w:left w:val="single" w:sz="4" w:space="0" w:color="auto"/>
              <w:right w:val="single" w:sz="4" w:space="0" w:color="auto"/>
            </w:tcBorders>
            <w:shd w:val="clear" w:color="auto" w:fill="B8CCE4"/>
          </w:tcPr>
          <w:p w:rsidR="001E7B4D" w:rsidRPr="0049404D" w:rsidRDefault="001E7B4D" w:rsidP="00C55320">
            <w:pPr>
              <w:rPr>
                <w:sz w:val="20"/>
                <w:szCs w:val="20"/>
              </w:rPr>
            </w:pPr>
          </w:p>
        </w:tc>
        <w:tc>
          <w:tcPr>
            <w:tcW w:w="1770" w:type="dxa"/>
            <w:tcBorders>
              <w:left w:val="single" w:sz="4" w:space="0" w:color="auto"/>
              <w:right w:val="single" w:sz="4" w:space="0" w:color="auto"/>
            </w:tcBorders>
            <w:shd w:val="clear" w:color="auto" w:fill="B8CCE4"/>
          </w:tcPr>
          <w:p w:rsidR="001E7B4D" w:rsidRPr="0049404D" w:rsidRDefault="001E7B4D" w:rsidP="00C55320">
            <w:pPr>
              <w:rPr>
                <w:sz w:val="20"/>
                <w:szCs w:val="20"/>
              </w:rPr>
            </w:pPr>
          </w:p>
        </w:tc>
        <w:tc>
          <w:tcPr>
            <w:tcW w:w="2044" w:type="dxa"/>
            <w:tcBorders>
              <w:left w:val="single" w:sz="4" w:space="0" w:color="auto"/>
            </w:tcBorders>
            <w:shd w:val="clear" w:color="auto" w:fill="B8CCE4"/>
          </w:tcPr>
          <w:p w:rsidR="001E7B4D" w:rsidRPr="0049404D" w:rsidRDefault="001E7B4D" w:rsidP="00C55320">
            <w:pPr>
              <w:rPr>
                <w:sz w:val="20"/>
                <w:szCs w:val="20"/>
              </w:rPr>
            </w:pPr>
            <w:r>
              <w:rPr>
                <w:sz w:val="20"/>
                <w:szCs w:val="20"/>
              </w:rPr>
              <w:t>175</w:t>
            </w:r>
            <w:r w:rsidRPr="0049404D">
              <w:rPr>
                <w:sz w:val="20"/>
                <w:szCs w:val="20"/>
              </w:rPr>
              <w:t>/7ECTS</w:t>
            </w:r>
          </w:p>
        </w:tc>
      </w:tr>
      <w:tr w:rsidR="00FF7590" w:rsidRPr="00393D83" w:rsidTr="00004B39">
        <w:tc>
          <w:tcPr>
            <w:tcW w:w="8856" w:type="dxa"/>
            <w:gridSpan w:val="4"/>
            <w:shd w:val="clear" w:color="auto" w:fill="B8CCE4"/>
          </w:tcPr>
          <w:p w:rsidR="00FF7590" w:rsidRPr="00393D83" w:rsidRDefault="00FF7590" w:rsidP="00393D83">
            <w:pPr>
              <w:jc w:val="both"/>
              <w:rPr>
                <w:b/>
                <w:sz w:val="22"/>
                <w:szCs w:val="22"/>
              </w:rPr>
            </w:pP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 xml:space="preserve">The methodology of learning:  </w:t>
            </w:r>
          </w:p>
        </w:tc>
        <w:tc>
          <w:tcPr>
            <w:tcW w:w="5239" w:type="dxa"/>
            <w:gridSpan w:val="3"/>
          </w:tcPr>
          <w:p w:rsidR="00726DE6" w:rsidRPr="00393D83" w:rsidRDefault="00726DE6" w:rsidP="00393D83">
            <w:pPr>
              <w:pStyle w:val="NoSpacing"/>
              <w:jc w:val="both"/>
              <w:rPr>
                <w:sz w:val="22"/>
                <w:szCs w:val="22"/>
              </w:rPr>
            </w:pPr>
            <w:r w:rsidRPr="00393D83">
              <w:rPr>
                <w:sz w:val="22"/>
                <w:szCs w:val="22"/>
              </w:rPr>
              <w:t xml:space="preserve">Theoretical and supervised learning activities: lectures, supervised practical activities: laboratory practices, seminars, individual learning, mentored learning, independent practical activities, problem solving, virtual platforms, practices in the informatics classroom. </w:t>
            </w:r>
          </w:p>
        </w:tc>
      </w:tr>
      <w:tr w:rsidR="00183923" w:rsidRPr="00393D83" w:rsidTr="00183923">
        <w:tc>
          <w:tcPr>
            <w:tcW w:w="3617" w:type="dxa"/>
          </w:tcPr>
          <w:p w:rsidR="00183923" w:rsidRPr="00393D83" w:rsidRDefault="00183923" w:rsidP="00393D83">
            <w:pPr>
              <w:pStyle w:val="NoSpacing"/>
              <w:jc w:val="both"/>
              <w:rPr>
                <w:b/>
                <w:sz w:val="22"/>
                <w:szCs w:val="22"/>
              </w:rPr>
            </w:pPr>
          </w:p>
        </w:tc>
        <w:tc>
          <w:tcPr>
            <w:tcW w:w="5239" w:type="dxa"/>
            <w:gridSpan w:val="3"/>
          </w:tcPr>
          <w:p w:rsidR="00183923" w:rsidRPr="00393D83" w:rsidRDefault="00183923" w:rsidP="00393D83">
            <w:pPr>
              <w:pStyle w:val="NoSpacing"/>
              <w:jc w:val="both"/>
              <w:rPr>
                <w:sz w:val="22"/>
                <w:szCs w:val="22"/>
              </w:rPr>
            </w:pP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The methodology of evaluation:</w:t>
            </w:r>
          </w:p>
        </w:tc>
        <w:tc>
          <w:tcPr>
            <w:tcW w:w="5239" w:type="dxa"/>
            <w:gridSpan w:val="3"/>
          </w:tcPr>
          <w:p w:rsidR="00726DE6" w:rsidRPr="00393D83" w:rsidRDefault="00726DE6" w:rsidP="00393D83">
            <w:pPr>
              <w:pStyle w:val="NoSpacing"/>
              <w:jc w:val="both"/>
              <w:rPr>
                <w:i/>
                <w:sz w:val="22"/>
                <w:szCs w:val="22"/>
              </w:rPr>
            </w:pPr>
            <w:r w:rsidRPr="00393D83">
              <w:rPr>
                <w:sz w:val="22"/>
                <w:szCs w:val="22"/>
              </w:rPr>
              <w:t xml:space="preserve">Continual evaluation: participation in seminars, and collective and personal supervised learning, at least three control tests, practical and oral exam. </w:t>
            </w:r>
          </w:p>
        </w:tc>
      </w:tr>
      <w:tr w:rsidR="00183923" w:rsidRPr="00393D83" w:rsidTr="00EF57F9">
        <w:tc>
          <w:tcPr>
            <w:tcW w:w="8856" w:type="dxa"/>
            <w:gridSpan w:val="4"/>
            <w:shd w:val="clear" w:color="auto" w:fill="B8CCE4"/>
          </w:tcPr>
          <w:p w:rsidR="00183923" w:rsidRPr="00393D83" w:rsidRDefault="00726DE6" w:rsidP="00393D83">
            <w:pPr>
              <w:pStyle w:val="NoSpacing"/>
              <w:jc w:val="both"/>
              <w:rPr>
                <w:b/>
                <w:sz w:val="22"/>
                <w:szCs w:val="22"/>
              </w:rPr>
            </w:pPr>
            <w:r w:rsidRPr="00393D83">
              <w:rPr>
                <w:b/>
                <w:sz w:val="22"/>
                <w:szCs w:val="22"/>
              </w:rPr>
              <w:t>Literature</w:t>
            </w:r>
            <w:r w:rsidR="00183923" w:rsidRPr="00393D83">
              <w:rPr>
                <w:b/>
                <w:sz w:val="22"/>
                <w:szCs w:val="22"/>
              </w:rPr>
              <w:t xml:space="preserve"> </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 xml:space="preserve">Basic Literature  </w:t>
            </w:r>
          </w:p>
        </w:tc>
        <w:tc>
          <w:tcPr>
            <w:tcW w:w="5239" w:type="dxa"/>
            <w:gridSpan w:val="3"/>
          </w:tcPr>
          <w:p w:rsidR="00726DE6" w:rsidRPr="00393D83" w:rsidRDefault="00726DE6" w:rsidP="00393D83">
            <w:pPr>
              <w:numPr>
                <w:ilvl w:val="0"/>
                <w:numId w:val="1"/>
              </w:numPr>
              <w:jc w:val="both"/>
              <w:rPr>
                <w:color w:val="000000"/>
                <w:sz w:val="22"/>
                <w:szCs w:val="22"/>
                <w:lang w:val="sq-AL"/>
              </w:rPr>
            </w:pPr>
            <w:r w:rsidRPr="00393D83">
              <w:rPr>
                <w:color w:val="000000"/>
                <w:sz w:val="22"/>
                <w:szCs w:val="22"/>
                <w:lang w:val="sq-AL"/>
              </w:rPr>
              <w:t>J.M. Beale; J.Block. Wilson and Gisold’s Textbook of Organic Medicinal and Pharmaceutical Chemistry; Lippincott Williams &amp; Wilkins; 12-th Edition (March 2, 2010)</w:t>
            </w:r>
          </w:p>
          <w:p w:rsidR="00726DE6" w:rsidRPr="00393D83" w:rsidRDefault="00726DE6" w:rsidP="00393D83">
            <w:pPr>
              <w:numPr>
                <w:ilvl w:val="0"/>
                <w:numId w:val="1"/>
              </w:numPr>
              <w:jc w:val="both"/>
              <w:rPr>
                <w:color w:val="000000"/>
                <w:sz w:val="22"/>
                <w:szCs w:val="22"/>
                <w:lang w:val="sq-AL"/>
              </w:rPr>
            </w:pPr>
            <w:r w:rsidRPr="00393D83">
              <w:rPr>
                <w:color w:val="000000"/>
                <w:sz w:val="22"/>
                <w:szCs w:val="22"/>
                <w:lang w:val="sq-AL"/>
              </w:rPr>
              <w:t xml:space="preserve">Richard, B. Silverman. The organic Chemistry of Drug Design and Drug Action. 2-nd edition. Academic Press. 2004. </w:t>
            </w:r>
          </w:p>
          <w:p w:rsidR="00726DE6" w:rsidRPr="00393D83" w:rsidRDefault="00726DE6" w:rsidP="00393D83">
            <w:pPr>
              <w:numPr>
                <w:ilvl w:val="0"/>
                <w:numId w:val="1"/>
              </w:numPr>
              <w:jc w:val="both"/>
              <w:rPr>
                <w:color w:val="000000"/>
                <w:sz w:val="22"/>
                <w:szCs w:val="22"/>
                <w:lang w:val="sq-AL"/>
              </w:rPr>
            </w:pPr>
            <w:r w:rsidRPr="00393D83">
              <w:rPr>
                <w:color w:val="000000"/>
                <w:sz w:val="22"/>
                <w:szCs w:val="22"/>
                <w:lang w:val="sq-AL"/>
              </w:rPr>
              <w:t>Dashnor Nebija. Kapituj te zgjedhur nga Kimia farmaceutike - terapeutike. Permbledhje Leksionesh. Prishtine 2010.</w:t>
            </w:r>
          </w:p>
        </w:tc>
      </w:tr>
      <w:tr w:rsidR="00726DE6" w:rsidRPr="00393D83" w:rsidTr="00183923">
        <w:tc>
          <w:tcPr>
            <w:tcW w:w="3617" w:type="dxa"/>
          </w:tcPr>
          <w:p w:rsidR="00726DE6" w:rsidRPr="00393D83" w:rsidRDefault="00726DE6" w:rsidP="00393D83">
            <w:pPr>
              <w:pStyle w:val="NoSpacing"/>
              <w:jc w:val="both"/>
              <w:rPr>
                <w:b/>
                <w:sz w:val="22"/>
                <w:szCs w:val="22"/>
              </w:rPr>
            </w:pPr>
            <w:r w:rsidRPr="00393D83">
              <w:rPr>
                <w:b/>
                <w:sz w:val="22"/>
                <w:szCs w:val="22"/>
              </w:rPr>
              <w:t xml:space="preserve">Additional literature:  </w:t>
            </w:r>
          </w:p>
        </w:tc>
        <w:tc>
          <w:tcPr>
            <w:tcW w:w="5239" w:type="dxa"/>
            <w:gridSpan w:val="3"/>
          </w:tcPr>
          <w:p w:rsidR="00726DE6" w:rsidRPr="00393D83" w:rsidRDefault="00726DE6" w:rsidP="00393D83">
            <w:pPr>
              <w:numPr>
                <w:ilvl w:val="0"/>
                <w:numId w:val="2"/>
              </w:numPr>
              <w:jc w:val="both"/>
              <w:rPr>
                <w:color w:val="000000"/>
                <w:sz w:val="22"/>
                <w:szCs w:val="22"/>
                <w:lang w:val="sq-AL"/>
              </w:rPr>
            </w:pPr>
            <w:r w:rsidRPr="00393D83">
              <w:rPr>
                <w:color w:val="000000"/>
                <w:sz w:val="22"/>
                <w:szCs w:val="22"/>
                <w:lang w:val="sq-AL"/>
              </w:rPr>
              <w:t>Dashnor Nebija. Analiza farmaceutike farmakopeale. Kapituj te zgjedhur. Universiteti i Prishtines. 2005.</w:t>
            </w:r>
          </w:p>
          <w:p w:rsidR="00726DE6" w:rsidRPr="00393D83" w:rsidRDefault="00726DE6" w:rsidP="00393D83">
            <w:pPr>
              <w:numPr>
                <w:ilvl w:val="0"/>
                <w:numId w:val="2"/>
              </w:numPr>
              <w:jc w:val="both"/>
              <w:rPr>
                <w:color w:val="000000"/>
                <w:sz w:val="22"/>
                <w:szCs w:val="22"/>
                <w:lang w:val="sq-AL"/>
              </w:rPr>
            </w:pPr>
            <w:r w:rsidRPr="00393D83">
              <w:rPr>
                <w:color w:val="000000"/>
                <w:sz w:val="22"/>
                <w:szCs w:val="22"/>
                <w:lang w:val="sq-AL"/>
              </w:rPr>
              <w:lastRenderedPageBreak/>
              <w:t>European Pharmacopoeia 5.0; British Pharmacopeia; USP/NF; other national Pharmacopoeias and Compendiums</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138"/>
      </w:tblGrid>
      <w:tr w:rsidR="00D67209" w:rsidRPr="00393D83" w:rsidTr="00EF57F9">
        <w:tc>
          <w:tcPr>
            <w:tcW w:w="8856" w:type="dxa"/>
            <w:gridSpan w:val="2"/>
            <w:shd w:val="clear" w:color="auto" w:fill="B8CCE4"/>
          </w:tcPr>
          <w:p w:rsidR="00D67209" w:rsidRPr="00393D83" w:rsidRDefault="00E901B4" w:rsidP="00393D83">
            <w:pPr>
              <w:jc w:val="both"/>
              <w:rPr>
                <w:b/>
                <w:sz w:val="22"/>
                <w:szCs w:val="22"/>
              </w:rPr>
            </w:pPr>
            <w:r w:rsidRPr="00393D83">
              <w:rPr>
                <w:b/>
                <w:sz w:val="22"/>
                <w:szCs w:val="22"/>
              </w:rPr>
              <w:lastRenderedPageBreak/>
              <w:t xml:space="preserve">The designed plan of learning:  </w:t>
            </w:r>
          </w:p>
        </w:tc>
      </w:tr>
      <w:tr w:rsidR="00E901B4" w:rsidRPr="00393D83" w:rsidTr="00EF57F9">
        <w:tc>
          <w:tcPr>
            <w:tcW w:w="2718" w:type="dxa"/>
            <w:shd w:val="clear" w:color="auto" w:fill="B8CCE4"/>
          </w:tcPr>
          <w:p w:rsidR="00E901B4" w:rsidRPr="00393D83" w:rsidRDefault="00E901B4" w:rsidP="00393D83">
            <w:pPr>
              <w:jc w:val="both"/>
              <w:rPr>
                <w:b/>
                <w:sz w:val="22"/>
                <w:szCs w:val="22"/>
              </w:rPr>
            </w:pPr>
            <w:r w:rsidRPr="00393D83">
              <w:rPr>
                <w:b/>
                <w:sz w:val="22"/>
                <w:szCs w:val="22"/>
              </w:rPr>
              <w:t>Week</w:t>
            </w:r>
          </w:p>
        </w:tc>
        <w:tc>
          <w:tcPr>
            <w:tcW w:w="6138" w:type="dxa"/>
            <w:shd w:val="clear" w:color="auto" w:fill="B8CCE4"/>
          </w:tcPr>
          <w:p w:rsidR="00E901B4" w:rsidRPr="00393D83" w:rsidRDefault="00E901B4" w:rsidP="00393D83">
            <w:pPr>
              <w:jc w:val="both"/>
              <w:rPr>
                <w:b/>
                <w:sz w:val="22"/>
                <w:szCs w:val="22"/>
              </w:rPr>
            </w:pPr>
            <w:r w:rsidRPr="00393D83">
              <w:rPr>
                <w:b/>
                <w:sz w:val="22"/>
                <w:szCs w:val="22"/>
              </w:rPr>
              <w:t xml:space="preserve">The planned lessons </w:t>
            </w:r>
          </w:p>
        </w:tc>
      </w:tr>
      <w:tr w:rsidR="002945F0" w:rsidRPr="00393D83" w:rsidTr="00D67209">
        <w:tc>
          <w:tcPr>
            <w:tcW w:w="2718" w:type="dxa"/>
          </w:tcPr>
          <w:p w:rsidR="002945F0" w:rsidRPr="00393D83" w:rsidRDefault="002945F0" w:rsidP="002945F0">
            <w:pPr>
              <w:jc w:val="both"/>
              <w:rPr>
                <w:b/>
                <w:sz w:val="22"/>
                <w:szCs w:val="22"/>
              </w:rPr>
            </w:pPr>
            <w:r>
              <w:rPr>
                <w:b/>
                <w:sz w:val="22"/>
                <w:szCs w:val="22"/>
              </w:rPr>
              <w:t>Week 1</w:t>
            </w:r>
          </w:p>
        </w:tc>
        <w:tc>
          <w:tcPr>
            <w:tcW w:w="6138" w:type="dxa"/>
          </w:tcPr>
          <w:p w:rsidR="002945F0" w:rsidRPr="00F92553" w:rsidRDefault="00B44519" w:rsidP="002945F0">
            <w:pPr>
              <w:jc w:val="both"/>
              <w:rPr>
                <w:color w:val="000000"/>
                <w:sz w:val="22"/>
                <w:szCs w:val="22"/>
                <w:lang w:val="sq-AL"/>
              </w:rPr>
            </w:pPr>
            <w:r>
              <w:rPr>
                <w:color w:val="000000"/>
                <w:sz w:val="22"/>
                <w:szCs w:val="22"/>
                <w:lang w:val="sq-AL"/>
              </w:rPr>
              <w:t>Introduction</w:t>
            </w:r>
            <w:r w:rsidR="002945F0" w:rsidRPr="00F92553">
              <w:rPr>
                <w:color w:val="000000"/>
                <w:sz w:val="22"/>
                <w:szCs w:val="22"/>
                <w:lang w:val="sq-AL"/>
              </w:rPr>
              <w:t xml:space="preserve">. </w:t>
            </w:r>
            <w:r>
              <w:rPr>
                <w:color w:val="000000"/>
                <w:sz w:val="22"/>
                <w:szCs w:val="22"/>
                <w:lang w:val="sq-AL"/>
              </w:rPr>
              <w:t xml:space="preserve">Drug substances and Medicinal Products. </w:t>
            </w:r>
            <w:r w:rsidRPr="00B44519">
              <w:rPr>
                <w:color w:val="000000"/>
                <w:sz w:val="22"/>
                <w:szCs w:val="22"/>
                <w:lang w:val="sq-AL"/>
              </w:rPr>
              <w:t>Criteria for classification of medicinal products</w:t>
            </w:r>
            <w:r w:rsidR="002945F0" w:rsidRPr="00F92553">
              <w:rPr>
                <w:color w:val="000000"/>
                <w:sz w:val="22"/>
                <w:szCs w:val="22"/>
                <w:lang w:val="sq-AL"/>
              </w:rPr>
              <w:t xml:space="preserve">. </w:t>
            </w:r>
            <w:r>
              <w:rPr>
                <w:color w:val="000000"/>
                <w:sz w:val="22"/>
                <w:szCs w:val="22"/>
                <w:lang w:val="sq-AL"/>
              </w:rPr>
              <w:t>Intoduction to d</w:t>
            </w:r>
            <w:r w:rsidR="001D6E88">
              <w:rPr>
                <w:color w:val="000000"/>
                <w:sz w:val="22"/>
                <w:szCs w:val="22"/>
                <w:lang w:val="sq-AL"/>
              </w:rPr>
              <w:t>rug n</w:t>
            </w:r>
            <w:r>
              <w:rPr>
                <w:color w:val="000000"/>
                <w:sz w:val="22"/>
                <w:szCs w:val="22"/>
                <w:lang w:val="sq-AL"/>
              </w:rPr>
              <w:t>aming</w:t>
            </w:r>
            <w:r w:rsidR="002945F0" w:rsidRPr="00F92553">
              <w:rPr>
                <w:color w:val="000000"/>
                <w:sz w:val="22"/>
                <w:szCs w:val="22"/>
                <w:lang w:val="sq-AL"/>
              </w:rPr>
              <w:t xml:space="preserve">. </w:t>
            </w:r>
          </w:p>
          <w:p w:rsidR="002945F0" w:rsidRPr="00F92553" w:rsidRDefault="002945F0" w:rsidP="002945F0">
            <w:pPr>
              <w:jc w:val="both"/>
              <w:rPr>
                <w:color w:val="000000"/>
                <w:sz w:val="22"/>
                <w:szCs w:val="22"/>
                <w:lang w:val="sq-AL"/>
              </w:rPr>
            </w:pPr>
            <w:r w:rsidRPr="00F92553">
              <w:rPr>
                <w:color w:val="000000"/>
                <w:sz w:val="22"/>
                <w:szCs w:val="22"/>
                <w:lang w:val="sq-AL"/>
              </w:rPr>
              <w:t>Antibiotics. Mechanism- and bosynthesis based classification. Chloramphenicol and its derivatives. β-lactam antibiotics.</w:t>
            </w:r>
          </w:p>
        </w:tc>
      </w:tr>
      <w:tr w:rsidR="002945F0" w:rsidRPr="00393D83" w:rsidTr="00D67209">
        <w:tc>
          <w:tcPr>
            <w:tcW w:w="2718" w:type="dxa"/>
          </w:tcPr>
          <w:p w:rsidR="002945F0" w:rsidRPr="00393D83" w:rsidRDefault="002945F0" w:rsidP="002945F0">
            <w:pPr>
              <w:jc w:val="both"/>
              <w:rPr>
                <w:b/>
                <w:sz w:val="22"/>
                <w:szCs w:val="22"/>
              </w:rPr>
            </w:pPr>
            <w:r>
              <w:rPr>
                <w:b/>
                <w:sz w:val="22"/>
                <w:szCs w:val="22"/>
              </w:rPr>
              <w:t>Week 2</w:t>
            </w:r>
          </w:p>
        </w:tc>
        <w:tc>
          <w:tcPr>
            <w:tcW w:w="6138" w:type="dxa"/>
          </w:tcPr>
          <w:p w:rsidR="002945F0" w:rsidRPr="00F92553" w:rsidRDefault="002945F0" w:rsidP="002945F0">
            <w:pPr>
              <w:jc w:val="both"/>
              <w:rPr>
                <w:color w:val="000000"/>
                <w:sz w:val="22"/>
                <w:szCs w:val="22"/>
                <w:lang w:val="sq-AL"/>
              </w:rPr>
            </w:pPr>
            <w:r w:rsidRPr="00F92553">
              <w:rPr>
                <w:color w:val="000000"/>
                <w:sz w:val="22"/>
                <w:szCs w:val="22"/>
                <w:lang w:val="sq-AL"/>
              </w:rPr>
              <w:t>Penicillins. Amidine penic</w:t>
            </w:r>
            <w:r>
              <w:rPr>
                <w:color w:val="000000"/>
                <w:sz w:val="22"/>
                <w:szCs w:val="22"/>
                <w:lang w:val="sq-AL"/>
              </w:rPr>
              <w:t>illins. Carbapenems and clavams</w:t>
            </w:r>
            <w:r w:rsidRPr="00F92553">
              <w:rPr>
                <w:color w:val="000000"/>
                <w:sz w:val="22"/>
                <w:szCs w:val="22"/>
                <w:lang w:val="sq-AL"/>
              </w:rPr>
              <w:t xml:space="preserve">. </w:t>
            </w:r>
            <w:r w:rsidRPr="00393D83">
              <w:rPr>
                <w:color w:val="000000"/>
                <w:sz w:val="22"/>
                <w:szCs w:val="22"/>
                <w:lang w:val="sq-AL"/>
              </w:rPr>
              <w:t>Cephem derivatives: Cephalosporins, classification. Cephamycins, carbacephems. Monobactams.</w:t>
            </w:r>
          </w:p>
        </w:tc>
      </w:tr>
      <w:tr w:rsidR="002945F0" w:rsidRPr="00393D83" w:rsidTr="00D67209">
        <w:tc>
          <w:tcPr>
            <w:tcW w:w="2718" w:type="dxa"/>
          </w:tcPr>
          <w:p w:rsidR="002945F0" w:rsidRDefault="002945F0">
            <w:r w:rsidRPr="00836980">
              <w:rPr>
                <w:b/>
                <w:sz w:val="22"/>
                <w:szCs w:val="22"/>
              </w:rPr>
              <w:t xml:space="preserve">Week </w:t>
            </w:r>
            <w:r>
              <w:rPr>
                <w:b/>
                <w:sz w:val="22"/>
                <w:szCs w:val="22"/>
              </w:rPr>
              <w:t>3</w:t>
            </w:r>
          </w:p>
        </w:tc>
        <w:tc>
          <w:tcPr>
            <w:tcW w:w="6138" w:type="dxa"/>
          </w:tcPr>
          <w:p w:rsidR="002945F0" w:rsidRPr="00F92553" w:rsidRDefault="002945F0" w:rsidP="002945F0">
            <w:pPr>
              <w:jc w:val="both"/>
              <w:rPr>
                <w:color w:val="000000"/>
                <w:sz w:val="22"/>
                <w:szCs w:val="22"/>
                <w:lang w:val="sq-AL"/>
              </w:rPr>
            </w:pPr>
            <w:r w:rsidRPr="00F92553">
              <w:rPr>
                <w:color w:val="000000"/>
                <w:sz w:val="22"/>
                <w:szCs w:val="22"/>
                <w:lang w:val="sq-AL"/>
              </w:rPr>
              <w:t>The aminoglycosides. Streptomycin, neomycin, spectinomycin, kanamycin, amicacin, gentamicin. Linco</w:t>
            </w:r>
            <w:r>
              <w:rPr>
                <w:color w:val="000000"/>
                <w:sz w:val="22"/>
                <w:szCs w:val="22"/>
                <w:lang w:val="sq-AL"/>
              </w:rPr>
              <w:t>mycins: clindamycin, lincomycin</w:t>
            </w:r>
            <w:r w:rsidRPr="00F92553">
              <w:rPr>
                <w:color w:val="000000"/>
                <w:sz w:val="22"/>
                <w:szCs w:val="22"/>
                <w:lang w:val="sq-AL"/>
              </w:rPr>
              <w:t xml:space="preserve">. </w:t>
            </w:r>
          </w:p>
        </w:tc>
      </w:tr>
      <w:tr w:rsidR="002945F0" w:rsidRPr="00393D83" w:rsidTr="00D67209">
        <w:tc>
          <w:tcPr>
            <w:tcW w:w="2718" w:type="dxa"/>
          </w:tcPr>
          <w:p w:rsidR="002945F0" w:rsidRDefault="002945F0">
            <w:r w:rsidRPr="00836980">
              <w:rPr>
                <w:b/>
                <w:sz w:val="22"/>
                <w:szCs w:val="22"/>
              </w:rPr>
              <w:t xml:space="preserve">Week </w:t>
            </w:r>
            <w:r>
              <w:rPr>
                <w:b/>
                <w:sz w:val="22"/>
                <w:szCs w:val="22"/>
              </w:rPr>
              <w:t>4</w:t>
            </w:r>
          </w:p>
        </w:tc>
        <w:tc>
          <w:tcPr>
            <w:tcW w:w="6138" w:type="dxa"/>
          </w:tcPr>
          <w:p w:rsidR="002945F0" w:rsidRPr="00F92553" w:rsidRDefault="002945F0" w:rsidP="002945F0">
            <w:pPr>
              <w:jc w:val="both"/>
              <w:rPr>
                <w:color w:val="000000"/>
                <w:sz w:val="22"/>
                <w:szCs w:val="22"/>
                <w:lang w:val="sq-AL"/>
              </w:rPr>
            </w:pPr>
            <w:r w:rsidRPr="00393D83">
              <w:rPr>
                <w:color w:val="000000"/>
                <w:sz w:val="22"/>
                <w:szCs w:val="22"/>
                <w:lang w:val="sq-AL"/>
              </w:rPr>
              <w:t>Tetracyclines</w:t>
            </w:r>
            <w:r>
              <w:rPr>
                <w:color w:val="000000"/>
                <w:sz w:val="22"/>
                <w:szCs w:val="22"/>
                <w:lang w:val="sq-AL"/>
              </w:rPr>
              <w:t xml:space="preserve">. </w:t>
            </w:r>
            <w:r w:rsidRPr="00F92553">
              <w:rPr>
                <w:color w:val="000000"/>
                <w:sz w:val="22"/>
                <w:szCs w:val="22"/>
                <w:lang w:val="sq-AL"/>
              </w:rPr>
              <w:t>Macrolide antibiotics: erythromycin and its derivatives, azithromycin, other macrolides</w:t>
            </w:r>
          </w:p>
        </w:tc>
      </w:tr>
      <w:tr w:rsidR="002945F0" w:rsidRPr="00393D83" w:rsidTr="00D67209">
        <w:tc>
          <w:tcPr>
            <w:tcW w:w="2718" w:type="dxa"/>
          </w:tcPr>
          <w:p w:rsidR="002945F0" w:rsidRDefault="002945F0">
            <w:r w:rsidRPr="003A7683">
              <w:rPr>
                <w:b/>
                <w:sz w:val="22"/>
                <w:szCs w:val="22"/>
              </w:rPr>
              <w:t xml:space="preserve">Week </w:t>
            </w:r>
            <w:r w:rsidR="00132BD3">
              <w:rPr>
                <w:b/>
                <w:sz w:val="22"/>
                <w:szCs w:val="22"/>
              </w:rPr>
              <w:t>5</w:t>
            </w:r>
          </w:p>
        </w:tc>
        <w:tc>
          <w:tcPr>
            <w:tcW w:w="6138" w:type="dxa"/>
          </w:tcPr>
          <w:p w:rsidR="002945F0" w:rsidRPr="00F92553" w:rsidRDefault="002945F0" w:rsidP="002945F0">
            <w:pPr>
              <w:jc w:val="both"/>
              <w:rPr>
                <w:color w:val="000000"/>
                <w:sz w:val="22"/>
                <w:szCs w:val="22"/>
                <w:lang w:val="sq-AL"/>
              </w:rPr>
            </w:pPr>
            <w:r w:rsidRPr="00F92553">
              <w:rPr>
                <w:color w:val="000000"/>
                <w:sz w:val="22"/>
                <w:szCs w:val="22"/>
                <w:lang w:val="sq-AL"/>
              </w:rPr>
              <w:t xml:space="preserve">Antiviral agents. Nucleoside antimetabolites. Inhibitors of DNA polymerases. Antiretroviral drugs: Inhibitors of reverse transcriptase (NRTI, NNRTI). </w:t>
            </w:r>
            <w:r>
              <w:t xml:space="preserve"> </w:t>
            </w:r>
            <w:r w:rsidRPr="00F92553">
              <w:rPr>
                <w:color w:val="000000"/>
                <w:sz w:val="22"/>
                <w:szCs w:val="22"/>
                <w:lang w:val="sq-AL"/>
              </w:rPr>
              <w:t>HIV-protease inhibitors. Fusion inhibitors. Entry inhibitors, CCR5-antagonists, integrase inhibitors.</w:t>
            </w:r>
          </w:p>
        </w:tc>
      </w:tr>
      <w:tr w:rsidR="002945F0" w:rsidRPr="00393D83" w:rsidTr="00D67209">
        <w:tc>
          <w:tcPr>
            <w:tcW w:w="2718" w:type="dxa"/>
          </w:tcPr>
          <w:p w:rsidR="002945F0" w:rsidRDefault="002945F0">
            <w:r w:rsidRPr="003A7683">
              <w:rPr>
                <w:b/>
                <w:sz w:val="22"/>
                <w:szCs w:val="22"/>
              </w:rPr>
              <w:t xml:space="preserve">Week </w:t>
            </w:r>
            <w:r>
              <w:rPr>
                <w:b/>
                <w:sz w:val="22"/>
                <w:szCs w:val="22"/>
              </w:rPr>
              <w:t>6</w:t>
            </w:r>
          </w:p>
        </w:tc>
        <w:tc>
          <w:tcPr>
            <w:tcW w:w="6138" w:type="dxa"/>
          </w:tcPr>
          <w:p w:rsidR="002945F0" w:rsidRPr="00F92553" w:rsidRDefault="002945F0" w:rsidP="00132BD3">
            <w:pPr>
              <w:jc w:val="both"/>
              <w:rPr>
                <w:color w:val="000000"/>
                <w:sz w:val="22"/>
                <w:szCs w:val="22"/>
                <w:lang w:val="sq-AL"/>
              </w:rPr>
            </w:pPr>
            <w:r w:rsidRPr="00393D83">
              <w:rPr>
                <w:color w:val="000000"/>
                <w:sz w:val="22"/>
                <w:szCs w:val="22"/>
                <w:lang w:val="sq-AL"/>
              </w:rPr>
              <w:t>Other antivirals: neuraminidase inhibitors, antisense oligonucleotides.</w:t>
            </w:r>
            <w:r w:rsidRPr="00F92553">
              <w:rPr>
                <w:color w:val="000000"/>
                <w:sz w:val="22"/>
                <w:szCs w:val="22"/>
                <w:lang w:val="sq-AL"/>
              </w:rPr>
              <w:t xml:space="preserve"> </w:t>
            </w:r>
            <w:r>
              <w:t xml:space="preserve"> </w:t>
            </w:r>
          </w:p>
        </w:tc>
      </w:tr>
      <w:tr w:rsidR="002945F0" w:rsidRPr="00393D83" w:rsidTr="00D67209">
        <w:tc>
          <w:tcPr>
            <w:tcW w:w="2718" w:type="dxa"/>
          </w:tcPr>
          <w:p w:rsidR="002945F0" w:rsidRDefault="002945F0">
            <w:r w:rsidRPr="003A7683">
              <w:rPr>
                <w:b/>
                <w:sz w:val="22"/>
                <w:szCs w:val="22"/>
              </w:rPr>
              <w:t xml:space="preserve">Week </w:t>
            </w:r>
            <w:r>
              <w:rPr>
                <w:b/>
                <w:sz w:val="22"/>
                <w:szCs w:val="22"/>
              </w:rPr>
              <w:t>7</w:t>
            </w:r>
          </w:p>
        </w:tc>
        <w:tc>
          <w:tcPr>
            <w:tcW w:w="6138" w:type="dxa"/>
          </w:tcPr>
          <w:p w:rsidR="002945F0" w:rsidRPr="00F92553" w:rsidRDefault="00132BD3" w:rsidP="00132BD3">
            <w:pPr>
              <w:jc w:val="both"/>
              <w:rPr>
                <w:b/>
                <w:color w:val="000000"/>
                <w:sz w:val="22"/>
                <w:szCs w:val="22"/>
                <w:lang w:val="sq-AL"/>
              </w:rPr>
            </w:pPr>
            <w:r w:rsidRPr="00D41FEF">
              <w:rPr>
                <w:color w:val="000000"/>
                <w:sz w:val="22"/>
                <w:szCs w:val="22"/>
                <w:lang w:val="sq-AL"/>
              </w:rPr>
              <w:t>Antineoplastic agents. Bifunctional alkylatind agents. Antimetabolites. Cytostatic alkaloids. Cytostatic DNA intercalants.</w:t>
            </w:r>
            <w:r w:rsidR="002945F0" w:rsidRPr="00393D83">
              <w:rPr>
                <w:color w:val="000000"/>
                <w:sz w:val="22"/>
                <w:szCs w:val="22"/>
                <w:lang w:val="sq-AL"/>
              </w:rPr>
              <w:t>.</w:t>
            </w:r>
          </w:p>
        </w:tc>
      </w:tr>
      <w:tr w:rsidR="00E901B4" w:rsidRPr="00393D83" w:rsidTr="00D67209">
        <w:tc>
          <w:tcPr>
            <w:tcW w:w="2718" w:type="dxa"/>
          </w:tcPr>
          <w:p w:rsidR="00E901B4" w:rsidRPr="00393D83" w:rsidRDefault="0096194C" w:rsidP="00393D83">
            <w:pPr>
              <w:jc w:val="both"/>
              <w:rPr>
                <w:sz w:val="22"/>
                <w:szCs w:val="22"/>
              </w:rPr>
            </w:pPr>
            <w:r w:rsidRPr="003A7683">
              <w:rPr>
                <w:b/>
                <w:sz w:val="22"/>
                <w:szCs w:val="22"/>
              </w:rPr>
              <w:t xml:space="preserve">Week </w:t>
            </w:r>
            <w:r>
              <w:rPr>
                <w:b/>
                <w:sz w:val="22"/>
                <w:szCs w:val="22"/>
              </w:rPr>
              <w:t>8</w:t>
            </w:r>
          </w:p>
        </w:tc>
        <w:tc>
          <w:tcPr>
            <w:tcW w:w="6138" w:type="dxa"/>
          </w:tcPr>
          <w:p w:rsidR="00E901B4" w:rsidRPr="002945F0" w:rsidRDefault="00132BD3" w:rsidP="00393D83">
            <w:pPr>
              <w:jc w:val="both"/>
              <w:rPr>
                <w:color w:val="000000"/>
                <w:sz w:val="22"/>
                <w:szCs w:val="22"/>
                <w:lang w:val="sq-AL"/>
              </w:rPr>
            </w:pPr>
            <w:r w:rsidRPr="00393D83">
              <w:rPr>
                <w:color w:val="000000"/>
                <w:sz w:val="22"/>
                <w:szCs w:val="22"/>
                <w:lang w:val="sq-AL"/>
              </w:rPr>
              <w:t>Taxanes. Inhibitors of Topoisomerase I and II. Tyrosine kinase inhibitors. Monoclonal antibodies. Proteasome inhibitors. Miscellaneous compounds</w:t>
            </w:r>
          </w:p>
        </w:tc>
      </w:tr>
      <w:tr w:rsidR="0096194C" w:rsidRPr="00393D83" w:rsidTr="00D67209">
        <w:tc>
          <w:tcPr>
            <w:tcW w:w="2718" w:type="dxa"/>
          </w:tcPr>
          <w:p w:rsidR="0096194C" w:rsidRDefault="0096194C">
            <w:r w:rsidRPr="00B0675C">
              <w:rPr>
                <w:b/>
                <w:sz w:val="22"/>
                <w:szCs w:val="22"/>
              </w:rPr>
              <w:t xml:space="preserve">Week </w:t>
            </w:r>
            <w:r>
              <w:rPr>
                <w:b/>
                <w:sz w:val="22"/>
                <w:szCs w:val="22"/>
              </w:rPr>
              <w:t>9</w:t>
            </w:r>
          </w:p>
        </w:tc>
        <w:tc>
          <w:tcPr>
            <w:tcW w:w="6138" w:type="dxa"/>
          </w:tcPr>
          <w:p w:rsidR="0096194C" w:rsidRPr="00393D83" w:rsidRDefault="001D6E88" w:rsidP="001D6E88">
            <w:pPr>
              <w:jc w:val="both"/>
              <w:rPr>
                <w:color w:val="000000"/>
                <w:sz w:val="22"/>
                <w:szCs w:val="22"/>
                <w:lang w:val="sq-AL"/>
              </w:rPr>
            </w:pPr>
            <w:r>
              <w:rPr>
                <w:color w:val="000000"/>
                <w:sz w:val="22"/>
                <w:szCs w:val="22"/>
                <w:lang w:val="sq-AL"/>
              </w:rPr>
              <w:t xml:space="preserve">Anticonvulsants. </w:t>
            </w:r>
          </w:p>
        </w:tc>
      </w:tr>
      <w:tr w:rsidR="0096194C" w:rsidRPr="00393D83" w:rsidTr="00D67209">
        <w:tc>
          <w:tcPr>
            <w:tcW w:w="2718" w:type="dxa"/>
          </w:tcPr>
          <w:p w:rsidR="0096194C" w:rsidRDefault="0096194C">
            <w:r w:rsidRPr="00B0675C">
              <w:rPr>
                <w:b/>
                <w:sz w:val="22"/>
                <w:szCs w:val="22"/>
              </w:rPr>
              <w:t xml:space="preserve">Week </w:t>
            </w:r>
            <w:r>
              <w:rPr>
                <w:b/>
                <w:sz w:val="22"/>
                <w:szCs w:val="22"/>
              </w:rPr>
              <w:t>10</w:t>
            </w:r>
          </w:p>
        </w:tc>
        <w:tc>
          <w:tcPr>
            <w:tcW w:w="6138" w:type="dxa"/>
          </w:tcPr>
          <w:p w:rsidR="0096194C" w:rsidRPr="00393D83" w:rsidRDefault="001D6E88" w:rsidP="001D6E88">
            <w:pPr>
              <w:jc w:val="both"/>
              <w:rPr>
                <w:color w:val="000000"/>
                <w:sz w:val="22"/>
                <w:szCs w:val="22"/>
                <w:lang w:val="sq-AL"/>
              </w:rPr>
            </w:pPr>
            <w:r>
              <w:rPr>
                <w:color w:val="000000"/>
                <w:sz w:val="22"/>
                <w:szCs w:val="22"/>
                <w:lang w:val="sq-AL"/>
              </w:rPr>
              <w:t>The inhaled general a</w:t>
            </w:r>
            <w:r w:rsidRPr="001D6E88">
              <w:rPr>
                <w:color w:val="000000"/>
                <w:sz w:val="22"/>
                <w:szCs w:val="22"/>
                <w:lang w:val="sq-AL"/>
              </w:rPr>
              <w:t>nesthetics</w:t>
            </w:r>
            <w:r>
              <w:rPr>
                <w:color w:val="000000"/>
                <w:sz w:val="22"/>
                <w:szCs w:val="22"/>
                <w:lang w:val="sq-AL"/>
              </w:rPr>
              <w:t>, t</w:t>
            </w:r>
            <w:r w:rsidRPr="001D6E88">
              <w:rPr>
                <w:color w:val="000000"/>
                <w:sz w:val="22"/>
                <w:szCs w:val="22"/>
                <w:lang w:val="sq-AL"/>
              </w:rPr>
              <w:t xml:space="preserve">he </w:t>
            </w:r>
            <w:r>
              <w:rPr>
                <w:color w:val="000000"/>
                <w:sz w:val="22"/>
                <w:szCs w:val="22"/>
                <w:lang w:val="sq-AL"/>
              </w:rPr>
              <w:t>injectable general anesthetics, the local a</w:t>
            </w:r>
            <w:r w:rsidRPr="001D6E88">
              <w:rPr>
                <w:color w:val="000000"/>
                <w:sz w:val="22"/>
                <w:szCs w:val="22"/>
                <w:lang w:val="sq-AL"/>
              </w:rPr>
              <w:t>nesthetics</w:t>
            </w:r>
          </w:p>
        </w:tc>
      </w:tr>
      <w:tr w:rsidR="0096194C" w:rsidRPr="00393D83" w:rsidTr="00D67209">
        <w:tc>
          <w:tcPr>
            <w:tcW w:w="2718" w:type="dxa"/>
          </w:tcPr>
          <w:p w:rsidR="0096194C" w:rsidRDefault="0096194C">
            <w:r w:rsidRPr="00B0675C">
              <w:rPr>
                <w:b/>
                <w:sz w:val="22"/>
                <w:szCs w:val="22"/>
              </w:rPr>
              <w:t xml:space="preserve">Week </w:t>
            </w:r>
            <w:r>
              <w:rPr>
                <w:b/>
                <w:sz w:val="22"/>
                <w:szCs w:val="22"/>
              </w:rPr>
              <w:t>11</w:t>
            </w:r>
          </w:p>
        </w:tc>
        <w:tc>
          <w:tcPr>
            <w:tcW w:w="6138" w:type="dxa"/>
          </w:tcPr>
          <w:p w:rsidR="0096194C" w:rsidRPr="00393D83" w:rsidRDefault="001D6E88" w:rsidP="001D6E88">
            <w:pPr>
              <w:jc w:val="both"/>
              <w:rPr>
                <w:color w:val="000000"/>
                <w:sz w:val="22"/>
                <w:szCs w:val="22"/>
                <w:lang w:val="sq-AL"/>
              </w:rPr>
            </w:pPr>
            <w:r w:rsidRPr="001D6E88">
              <w:rPr>
                <w:color w:val="000000"/>
                <w:sz w:val="22"/>
                <w:szCs w:val="22"/>
                <w:lang w:val="sq-AL"/>
              </w:rPr>
              <w:t xml:space="preserve">Central </w:t>
            </w:r>
            <w:r>
              <w:rPr>
                <w:color w:val="000000"/>
                <w:sz w:val="22"/>
                <w:szCs w:val="22"/>
                <w:lang w:val="sq-AL"/>
              </w:rPr>
              <w:t>n</w:t>
            </w:r>
            <w:r w:rsidRPr="001D6E88">
              <w:rPr>
                <w:color w:val="000000"/>
                <w:sz w:val="22"/>
                <w:szCs w:val="22"/>
                <w:lang w:val="sq-AL"/>
              </w:rPr>
              <w:t xml:space="preserve">ervous </w:t>
            </w:r>
            <w:r>
              <w:rPr>
                <w:color w:val="000000"/>
                <w:sz w:val="22"/>
                <w:szCs w:val="22"/>
                <w:lang w:val="sq-AL"/>
              </w:rPr>
              <w:t>sistem d</w:t>
            </w:r>
            <w:r w:rsidRPr="001D6E88">
              <w:rPr>
                <w:color w:val="000000"/>
                <w:sz w:val="22"/>
                <w:szCs w:val="22"/>
                <w:lang w:val="sq-AL"/>
              </w:rPr>
              <w:t>epressants</w:t>
            </w:r>
            <w:r>
              <w:rPr>
                <w:color w:val="000000"/>
                <w:sz w:val="22"/>
                <w:szCs w:val="22"/>
                <w:lang w:val="sq-AL"/>
              </w:rPr>
              <w:t>, a</w:t>
            </w:r>
            <w:r w:rsidRPr="001D6E88">
              <w:rPr>
                <w:color w:val="000000"/>
                <w:sz w:val="22"/>
                <w:szCs w:val="22"/>
                <w:lang w:val="sq-AL"/>
              </w:rPr>
              <w:t>nxiolytic</w:t>
            </w:r>
            <w:r>
              <w:rPr>
                <w:color w:val="000000"/>
                <w:sz w:val="22"/>
                <w:szCs w:val="22"/>
                <w:lang w:val="sq-AL"/>
              </w:rPr>
              <w:t xml:space="preserve"> agents, sedative and hypnotic agents, a</w:t>
            </w:r>
            <w:r w:rsidRPr="001D6E88">
              <w:rPr>
                <w:color w:val="000000"/>
                <w:sz w:val="22"/>
                <w:szCs w:val="22"/>
                <w:lang w:val="sq-AL"/>
              </w:rPr>
              <w:t>ntipsychotics</w:t>
            </w:r>
            <w:r>
              <w:rPr>
                <w:color w:val="000000"/>
                <w:sz w:val="22"/>
                <w:szCs w:val="22"/>
                <w:lang w:val="sq-AL"/>
              </w:rPr>
              <w:t xml:space="preserve">. </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12</w:t>
            </w:r>
          </w:p>
        </w:tc>
        <w:tc>
          <w:tcPr>
            <w:tcW w:w="6138" w:type="dxa"/>
          </w:tcPr>
          <w:p w:rsidR="00A32B8B" w:rsidRPr="00F92553" w:rsidRDefault="00A32B8B" w:rsidP="00A32B8B">
            <w:pPr>
              <w:jc w:val="both"/>
              <w:rPr>
                <w:color w:val="000000"/>
                <w:sz w:val="22"/>
                <w:szCs w:val="22"/>
                <w:lang w:val="sq-AL"/>
              </w:rPr>
            </w:pPr>
            <w:r>
              <w:rPr>
                <w:color w:val="000000"/>
                <w:sz w:val="22"/>
                <w:szCs w:val="22"/>
                <w:lang w:val="sq-AL"/>
              </w:rPr>
              <w:t xml:space="preserve">Antidepressants, </w:t>
            </w:r>
            <w:r w:rsidRPr="00F92553">
              <w:rPr>
                <w:color w:val="000000"/>
                <w:sz w:val="22"/>
                <w:szCs w:val="22"/>
                <w:lang w:val="sq-AL"/>
              </w:rPr>
              <w:t>Nootropi</w:t>
            </w:r>
            <w:r>
              <w:rPr>
                <w:color w:val="000000"/>
                <w:sz w:val="22"/>
                <w:szCs w:val="22"/>
                <w:lang w:val="sq-AL"/>
              </w:rPr>
              <w:t>cs</w:t>
            </w:r>
            <w:r w:rsidRPr="00F92553">
              <w:rPr>
                <w:color w:val="000000"/>
                <w:sz w:val="22"/>
                <w:szCs w:val="22"/>
                <w:lang w:val="sq-AL"/>
              </w:rPr>
              <w:t xml:space="preserve">. </w:t>
            </w:r>
            <w:r>
              <w:rPr>
                <w:color w:val="000000"/>
                <w:sz w:val="22"/>
                <w:szCs w:val="22"/>
                <w:lang w:val="sq-AL"/>
              </w:rPr>
              <w:t>A</w:t>
            </w:r>
            <w:r w:rsidRPr="00A32B8B">
              <w:rPr>
                <w:color w:val="000000"/>
                <w:sz w:val="22"/>
                <w:szCs w:val="22"/>
                <w:lang w:val="sq-AL"/>
              </w:rPr>
              <w:t>lzheimer's disease drug</w:t>
            </w:r>
            <w:r>
              <w:rPr>
                <w:color w:val="000000"/>
                <w:sz w:val="22"/>
                <w:szCs w:val="22"/>
                <w:lang w:val="sq-AL"/>
              </w:rPr>
              <w:t>s. Central d</w:t>
            </w:r>
            <w:r w:rsidRPr="00A32B8B">
              <w:rPr>
                <w:color w:val="000000"/>
                <w:sz w:val="22"/>
                <w:szCs w:val="22"/>
                <w:lang w:val="sq-AL"/>
              </w:rPr>
              <w:t>opaminergic</w:t>
            </w:r>
            <w:r>
              <w:rPr>
                <w:color w:val="000000"/>
                <w:sz w:val="22"/>
                <w:szCs w:val="22"/>
                <w:lang w:val="sq-AL"/>
              </w:rPr>
              <w:t xml:space="preserve"> signaling a</w:t>
            </w:r>
            <w:r w:rsidRPr="00A32B8B">
              <w:rPr>
                <w:color w:val="000000"/>
                <w:sz w:val="22"/>
                <w:szCs w:val="22"/>
                <w:lang w:val="sq-AL"/>
              </w:rPr>
              <w:t>gents</w:t>
            </w:r>
            <w:r w:rsidRPr="00F92553">
              <w:rPr>
                <w:color w:val="000000"/>
                <w:sz w:val="22"/>
                <w:szCs w:val="22"/>
                <w:lang w:val="sq-AL"/>
              </w:rPr>
              <w:t>.</w:t>
            </w:r>
            <w:r>
              <w:rPr>
                <w:color w:val="000000"/>
                <w:sz w:val="22"/>
                <w:szCs w:val="22"/>
                <w:lang w:val="sq-AL"/>
              </w:rPr>
              <w:t xml:space="preserve"> Parkinson d</w:t>
            </w:r>
            <w:r w:rsidRPr="00A32B8B">
              <w:rPr>
                <w:color w:val="000000"/>
                <w:sz w:val="22"/>
                <w:szCs w:val="22"/>
                <w:lang w:val="sq-AL"/>
              </w:rPr>
              <w:t>isease.</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13</w:t>
            </w:r>
          </w:p>
        </w:tc>
        <w:tc>
          <w:tcPr>
            <w:tcW w:w="6138" w:type="dxa"/>
          </w:tcPr>
          <w:p w:rsidR="00A32B8B" w:rsidRPr="00F92553" w:rsidRDefault="00A32B8B" w:rsidP="00A32B8B">
            <w:pPr>
              <w:jc w:val="both"/>
              <w:rPr>
                <w:color w:val="000000"/>
                <w:sz w:val="22"/>
                <w:szCs w:val="22"/>
                <w:lang w:val="sq-AL"/>
              </w:rPr>
            </w:pPr>
            <w:r w:rsidRPr="00A32B8B">
              <w:rPr>
                <w:color w:val="000000"/>
                <w:sz w:val="22"/>
                <w:szCs w:val="22"/>
                <w:lang w:val="sq-AL"/>
              </w:rPr>
              <w:t>Analgesics</w:t>
            </w:r>
            <w:r>
              <w:rPr>
                <w:color w:val="000000"/>
                <w:sz w:val="22"/>
                <w:szCs w:val="22"/>
                <w:lang w:val="sq-AL"/>
              </w:rPr>
              <w:t xml:space="preserve">. </w:t>
            </w:r>
            <w:r w:rsidRPr="00A32B8B">
              <w:rPr>
                <w:color w:val="000000"/>
                <w:sz w:val="22"/>
                <w:szCs w:val="22"/>
                <w:lang w:val="sq-AL"/>
              </w:rPr>
              <w:t>Opioid</w:t>
            </w:r>
            <w:r>
              <w:rPr>
                <w:color w:val="000000"/>
                <w:sz w:val="22"/>
                <w:szCs w:val="22"/>
                <w:lang w:val="sq-AL"/>
              </w:rPr>
              <w:t>s</w:t>
            </w:r>
            <w:r w:rsidRPr="00F92553">
              <w:rPr>
                <w:color w:val="000000"/>
                <w:sz w:val="22"/>
                <w:szCs w:val="22"/>
                <w:lang w:val="sq-AL"/>
              </w:rPr>
              <w:t>: mor</w:t>
            </w:r>
            <w:r>
              <w:rPr>
                <w:color w:val="000000"/>
                <w:sz w:val="22"/>
                <w:szCs w:val="22"/>
                <w:lang w:val="sq-AL"/>
              </w:rPr>
              <w:t>phine and related compounds</w:t>
            </w:r>
            <w:r w:rsidRPr="00F92553">
              <w:rPr>
                <w:color w:val="000000"/>
                <w:sz w:val="22"/>
                <w:szCs w:val="22"/>
                <w:lang w:val="sq-AL"/>
              </w:rPr>
              <w:t xml:space="preserve">. </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14</w:t>
            </w:r>
          </w:p>
        </w:tc>
        <w:tc>
          <w:tcPr>
            <w:tcW w:w="6138" w:type="dxa"/>
          </w:tcPr>
          <w:p w:rsidR="00A32B8B" w:rsidRPr="00F92553" w:rsidRDefault="00BE0C06" w:rsidP="00A32B8B">
            <w:pPr>
              <w:jc w:val="both"/>
              <w:rPr>
                <w:color w:val="000000"/>
                <w:sz w:val="22"/>
                <w:szCs w:val="22"/>
                <w:lang w:val="sq-AL"/>
              </w:rPr>
            </w:pPr>
            <w:r w:rsidRPr="00BE0C06">
              <w:rPr>
                <w:color w:val="000000"/>
                <w:sz w:val="22"/>
                <w:szCs w:val="22"/>
                <w:lang w:val="sq-AL"/>
              </w:rPr>
              <w:t>Nonsteroidal Anti-inflammatory Drugs</w:t>
            </w:r>
            <w:r w:rsidR="00A32B8B" w:rsidRPr="00F92553">
              <w:rPr>
                <w:color w:val="000000"/>
                <w:sz w:val="22"/>
                <w:szCs w:val="22"/>
                <w:lang w:val="sq-AL"/>
              </w:rPr>
              <w:t xml:space="preserve">.  </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15</w:t>
            </w:r>
          </w:p>
        </w:tc>
        <w:tc>
          <w:tcPr>
            <w:tcW w:w="6138" w:type="dxa"/>
          </w:tcPr>
          <w:p w:rsidR="00A32B8B" w:rsidRPr="00F92553" w:rsidRDefault="00BE0C06" w:rsidP="00BE0C06">
            <w:pPr>
              <w:jc w:val="both"/>
              <w:rPr>
                <w:color w:val="000000"/>
                <w:sz w:val="22"/>
                <w:szCs w:val="22"/>
                <w:lang w:val="sq-AL"/>
              </w:rPr>
            </w:pPr>
            <w:r w:rsidRPr="00BE0C06">
              <w:rPr>
                <w:color w:val="000000"/>
                <w:sz w:val="22"/>
                <w:szCs w:val="22"/>
                <w:lang w:val="sq-AL"/>
              </w:rPr>
              <w:t>Disease-Modifying Antirheumatic Drugs</w:t>
            </w:r>
            <w:r w:rsidR="00A32B8B" w:rsidRPr="00F92553">
              <w:rPr>
                <w:color w:val="000000"/>
                <w:sz w:val="22"/>
                <w:szCs w:val="22"/>
                <w:lang w:val="sq-AL"/>
              </w:rPr>
              <w:t xml:space="preserve">, DMARD, </w:t>
            </w:r>
            <w:r>
              <w:rPr>
                <w:color w:val="000000"/>
                <w:sz w:val="22"/>
                <w:szCs w:val="22"/>
                <w:lang w:val="sq-AL"/>
              </w:rPr>
              <w:t xml:space="preserve">Selective </w:t>
            </w:r>
            <w:r w:rsidR="00A32B8B" w:rsidRPr="00F92553">
              <w:rPr>
                <w:color w:val="000000"/>
                <w:sz w:val="22"/>
                <w:szCs w:val="22"/>
                <w:lang w:val="sq-AL"/>
              </w:rPr>
              <w:t>COX-2 inhibitor</w:t>
            </w:r>
            <w:r>
              <w:rPr>
                <w:color w:val="000000"/>
                <w:sz w:val="22"/>
                <w:szCs w:val="22"/>
                <w:lang w:val="sq-AL"/>
              </w:rPr>
              <w:t>s</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16</w:t>
            </w:r>
          </w:p>
        </w:tc>
        <w:tc>
          <w:tcPr>
            <w:tcW w:w="6138" w:type="dxa"/>
          </w:tcPr>
          <w:p w:rsidR="00A32B8B" w:rsidRPr="00F92553" w:rsidRDefault="00BE0C06" w:rsidP="00BE0C06">
            <w:pPr>
              <w:jc w:val="both"/>
              <w:rPr>
                <w:color w:val="000000"/>
                <w:sz w:val="22"/>
                <w:szCs w:val="22"/>
                <w:lang w:val="sq-AL"/>
              </w:rPr>
            </w:pPr>
            <w:r>
              <w:rPr>
                <w:color w:val="000000"/>
                <w:sz w:val="22"/>
                <w:szCs w:val="22"/>
                <w:lang w:val="sq-AL"/>
              </w:rPr>
              <w:t>Eic</w:t>
            </w:r>
            <w:r w:rsidR="00A32B8B" w:rsidRPr="00F92553">
              <w:rPr>
                <w:color w:val="000000"/>
                <w:sz w:val="22"/>
                <w:szCs w:val="22"/>
                <w:lang w:val="sq-AL"/>
              </w:rPr>
              <w:t>osanoid</w:t>
            </w:r>
            <w:r>
              <w:rPr>
                <w:color w:val="000000"/>
                <w:sz w:val="22"/>
                <w:szCs w:val="22"/>
                <w:lang w:val="sq-AL"/>
              </w:rPr>
              <w:t>s</w:t>
            </w:r>
            <w:r w:rsidR="00A32B8B" w:rsidRPr="00F92553">
              <w:rPr>
                <w:color w:val="000000"/>
                <w:sz w:val="22"/>
                <w:szCs w:val="22"/>
                <w:lang w:val="sq-AL"/>
              </w:rPr>
              <w:t>, prostaglandin</w:t>
            </w:r>
            <w:r>
              <w:rPr>
                <w:color w:val="000000"/>
                <w:sz w:val="22"/>
                <w:szCs w:val="22"/>
                <w:lang w:val="sq-AL"/>
              </w:rPr>
              <w:t>s</w:t>
            </w:r>
            <w:r w:rsidR="00A32B8B" w:rsidRPr="00F92553">
              <w:rPr>
                <w:color w:val="000000"/>
                <w:sz w:val="22"/>
                <w:szCs w:val="22"/>
                <w:lang w:val="sq-AL"/>
              </w:rPr>
              <w:t xml:space="preserve"> </w:t>
            </w:r>
            <w:r w:rsidRPr="00BE0C06">
              <w:rPr>
                <w:color w:val="000000"/>
                <w:sz w:val="22"/>
                <w:szCs w:val="22"/>
                <w:lang w:val="sq-AL"/>
              </w:rPr>
              <w:t>prostacyc</w:t>
            </w:r>
            <w:r>
              <w:rPr>
                <w:color w:val="000000"/>
                <w:sz w:val="22"/>
                <w:szCs w:val="22"/>
                <w:lang w:val="sq-AL"/>
              </w:rPr>
              <w:t>lins</w:t>
            </w:r>
            <w:r w:rsidR="00A32B8B" w:rsidRPr="00F92553">
              <w:rPr>
                <w:color w:val="000000"/>
                <w:sz w:val="22"/>
                <w:szCs w:val="22"/>
                <w:lang w:val="sq-AL"/>
              </w:rPr>
              <w:t xml:space="preserve">, </w:t>
            </w:r>
            <w:r w:rsidRPr="00BE0C06">
              <w:rPr>
                <w:color w:val="000000"/>
                <w:sz w:val="22"/>
                <w:szCs w:val="22"/>
                <w:lang w:val="sq-AL"/>
              </w:rPr>
              <w:t>thromboxane</w:t>
            </w:r>
            <w:r>
              <w:rPr>
                <w:color w:val="000000"/>
                <w:sz w:val="22"/>
                <w:szCs w:val="22"/>
                <w:lang w:val="sq-AL"/>
              </w:rPr>
              <w:t>s</w:t>
            </w:r>
            <w:r w:rsidR="00A32B8B" w:rsidRPr="00F92553">
              <w:rPr>
                <w:color w:val="000000"/>
                <w:sz w:val="22"/>
                <w:szCs w:val="22"/>
                <w:lang w:val="sq-AL"/>
              </w:rPr>
              <w:t>.</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17</w:t>
            </w:r>
          </w:p>
        </w:tc>
        <w:tc>
          <w:tcPr>
            <w:tcW w:w="6138" w:type="dxa"/>
          </w:tcPr>
          <w:p w:rsidR="00A32B8B" w:rsidRPr="00F92553" w:rsidRDefault="00BE0C06" w:rsidP="00BE0C06">
            <w:pPr>
              <w:jc w:val="both"/>
              <w:rPr>
                <w:color w:val="000000"/>
                <w:sz w:val="22"/>
                <w:szCs w:val="22"/>
                <w:lang w:val="sq-AL"/>
              </w:rPr>
            </w:pPr>
            <w:r w:rsidRPr="00BE0C06">
              <w:rPr>
                <w:color w:val="000000"/>
                <w:sz w:val="22"/>
                <w:szCs w:val="22"/>
                <w:lang w:val="sq-AL"/>
              </w:rPr>
              <w:t>Adrenergic Agents</w:t>
            </w:r>
            <w:r w:rsidR="00A32B8B" w:rsidRPr="00F92553">
              <w:rPr>
                <w:color w:val="000000"/>
                <w:sz w:val="22"/>
                <w:szCs w:val="22"/>
                <w:lang w:val="sq-AL"/>
              </w:rPr>
              <w:t xml:space="preserve">. </w:t>
            </w:r>
            <w:r>
              <w:rPr>
                <w:color w:val="000000"/>
                <w:sz w:val="22"/>
                <w:szCs w:val="22"/>
                <w:lang w:val="sq-AL"/>
              </w:rPr>
              <w:t>Sympathomimetic a</w:t>
            </w:r>
            <w:r w:rsidRPr="00BE0C06">
              <w:rPr>
                <w:color w:val="000000"/>
                <w:sz w:val="22"/>
                <w:szCs w:val="22"/>
                <w:lang w:val="sq-AL"/>
              </w:rPr>
              <w:t>gent</w:t>
            </w:r>
            <w:r>
              <w:rPr>
                <w:color w:val="000000"/>
                <w:sz w:val="22"/>
                <w:szCs w:val="22"/>
                <w:lang w:val="sq-AL"/>
              </w:rPr>
              <w:t>s. A</w:t>
            </w:r>
            <w:r w:rsidRPr="00BE0C06">
              <w:rPr>
                <w:color w:val="000000"/>
                <w:sz w:val="22"/>
                <w:szCs w:val="22"/>
                <w:lang w:val="sq-AL"/>
              </w:rPr>
              <w:t>norectic drugs</w:t>
            </w:r>
            <w:r w:rsidR="00A32B8B" w:rsidRPr="00F92553">
              <w:rPr>
                <w:color w:val="000000"/>
                <w:sz w:val="22"/>
                <w:szCs w:val="22"/>
                <w:lang w:val="sq-AL"/>
              </w:rPr>
              <w:t>.  Beta agonist</w:t>
            </w:r>
            <w:r>
              <w:rPr>
                <w:color w:val="000000"/>
                <w:sz w:val="22"/>
                <w:szCs w:val="22"/>
                <w:lang w:val="sq-AL"/>
              </w:rPr>
              <w:t>s</w:t>
            </w:r>
            <w:r w:rsidR="00A32B8B" w:rsidRPr="00F92553">
              <w:rPr>
                <w:color w:val="000000"/>
                <w:sz w:val="22"/>
                <w:szCs w:val="22"/>
                <w:lang w:val="sq-AL"/>
              </w:rPr>
              <w:t xml:space="preserve">. </w:t>
            </w:r>
          </w:p>
        </w:tc>
      </w:tr>
      <w:tr w:rsidR="00A32B8B" w:rsidRPr="00393D83" w:rsidTr="00D67209">
        <w:tc>
          <w:tcPr>
            <w:tcW w:w="2718" w:type="dxa"/>
          </w:tcPr>
          <w:p w:rsidR="00A32B8B" w:rsidRDefault="00A32B8B" w:rsidP="00A32B8B">
            <w:r w:rsidRPr="00B0675C">
              <w:rPr>
                <w:b/>
                <w:sz w:val="22"/>
                <w:szCs w:val="22"/>
              </w:rPr>
              <w:t xml:space="preserve">Week </w:t>
            </w:r>
            <w:r>
              <w:rPr>
                <w:b/>
                <w:sz w:val="22"/>
                <w:szCs w:val="22"/>
              </w:rPr>
              <w:t>18</w:t>
            </w:r>
          </w:p>
        </w:tc>
        <w:tc>
          <w:tcPr>
            <w:tcW w:w="6138" w:type="dxa"/>
          </w:tcPr>
          <w:p w:rsidR="00A32B8B" w:rsidRPr="00F92553" w:rsidRDefault="00BE0C06" w:rsidP="00A32B8B">
            <w:pPr>
              <w:jc w:val="both"/>
              <w:rPr>
                <w:color w:val="000000"/>
                <w:sz w:val="22"/>
                <w:szCs w:val="22"/>
                <w:lang w:val="sq-AL"/>
              </w:rPr>
            </w:pPr>
            <w:r w:rsidRPr="00BE0C06">
              <w:rPr>
                <w:color w:val="000000"/>
                <w:sz w:val="22"/>
                <w:szCs w:val="22"/>
                <w:lang w:val="sq-AL"/>
              </w:rPr>
              <w:t>Adrenergic Receptor Antagonists (Blockers)</w:t>
            </w:r>
            <w:r w:rsidR="00A32B8B" w:rsidRPr="00F92553">
              <w:rPr>
                <w:color w:val="000000"/>
                <w:sz w:val="22"/>
                <w:szCs w:val="22"/>
                <w:lang w:val="sq-AL"/>
              </w:rPr>
              <w:t xml:space="preserve">, </w:t>
            </w:r>
            <w:r w:rsidRPr="00BE0C06">
              <w:rPr>
                <w:color w:val="000000"/>
                <w:sz w:val="22"/>
                <w:szCs w:val="22"/>
                <w:lang w:val="sq-AL"/>
              </w:rPr>
              <w:t>antihypertensive drugs</w:t>
            </w:r>
          </w:p>
        </w:tc>
      </w:tr>
      <w:tr w:rsidR="00BE0C06" w:rsidRPr="00393D83" w:rsidTr="00D67209">
        <w:tc>
          <w:tcPr>
            <w:tcW w:w="2718" w:type="dxa"/>
          </w:tcPr>
          <w:p w:rsidR="00BE0C06" w:rsidRDefault="00BE0C06" w:rsidP="00BE0C06">
            <w:r w:rsidRPr="007D3566">
              <w:rPr>
                <w:b/>
                <w:sz w:val="22"/>
                <w:szCs w:val="22"/>
              </w:rPr>
              <w:t xml:space="preserve">Week </w:t>
            </w:r>
            <w:r>
              <w:rPr>
                <w:b/>
                <w:sz w:val="22"/>
                <w:szCs w:val="22"/>
              </w:rPr>
              <w:t>19</w:t>
            </w:r>
          </w:p>
        </w:tc>
        <w:tc>
          <w:tcPr>
            <w:tcW w:w="6138" w:type="dxa"/>
          </w:tcPr>
          <w:p w:rsidR="00BE0C06" w:rsidRPr="00BE0C06" w:rsidRDefault="00BE0C06" w:rsidP="00BE0C06">
            <w:pPr>
              <w:jc w:val="both"/>
              <w:rPr>
                <w:color w:val="000000"/>
                <w:sz w:val="22"/>
                <w:szCs w:val="22"/>
                <w:lang w:val="sq-AL"/>
              </w:rPr>
            </w:pPr>
            <w:r>
              <w:rPr>
                <w:color w:val="000000"/>
                <w:sz w:val="22"/>
                <w:szCs w:val="22"/>
                <w:lang w:val="sq-AL"/>
              </w:rPr>
              <w:t>Cholinergic drugs and r</w:t>
            </w:r>
            <w:r w:rsidRPr="00BE0C06">
              <w:rPr>
                <w:color w:val="000000"/>
                <w:sz w:val="22"/>
                <w:szCs w:val="22"/>
                <w:lang w:val="sq-AL"/>
              </w:rPr>
              <w:t>elated</w:t>
            </w:r>
            <w:r>
              <w:rPr>
                <w:color w:val="000000"/>
                <w:sz w:val="22"/>
                <w:szCs w:val="22"/>
                <w:lang w:val="sq-AL"/>
              </w:rPr>
              <w:t xml:space="preserve"> a</w:t>
            </w:r>
            <w:r w:rsidRPr="00BE0C06">
              <w:rPr>
                <w:color w:val="000000"/>
                <w:sz w:val="22"/>
                <w:szCs w:val="22"/>
                <w:lang w:val="sq-AL"/>
              </w:rPr>
              <w:t>gents</w:t>
            </w:r>
            <w:r>
              <w:rPr>
                <w:color w:val="000000"/>
                <w:sz w:val="22"/>
                <w:szCs w:val="22"/>
                <w:lang w:val="sq-AL"/>
              </w:rPr>
              <w:t>.</w:t>
            </w:r>
            <w:r w:rsidRPr="00BE0C06">
              <w:rPr>
                <w:color w:val="000000"/>
                <w:sz w:val="22"/>
                <w:szCs w:val="22"/>
                <w:lang w:val="sq-AL"/>
              </w:rPr>
              <w:t>Cholinergic Agonists</w:t>
            </w:r>
            <w:r>
              <w:rPr>
                <w:color w:val="000000"/>
                <w:sz w:val="22"/>
                <w:szCs w:val="22"/>
                <w:lang w:val="sq-AL"/>
              </w:rPr>
              <w:t xml:space="preserve"> (</w:t>
            </w:r>
            <w:r w:rsidRPr="00BE0C06">
              <w:rPr>
                <w:color w:val="000000"/>
                <w:sz w:val="22"/>
                <w:szCs w:val="22"/>
                <w:lang w:val="sq-AL"/>
              </w:rPr>
              <w:t>Parasympathomimetics</w:t>
            </w:r>
            <w:r>
              <w:rPr>
                <w:color w:val="000000"/>
                <w:sz w:val="22"/>
                <w:szCs w:val="22"/>
                <w:lang w:val="sq-AL"/>
              </w:rPr>
              <w:t xml:space="preserve">). </w:t>
            </w:r>
            <w:r w:rsidR="008668C1" w:rsidRPr="008668C1">
              <w:rPr>
                <w:color w:val="000000"/>
                <w:sz w:val="22"/>
                <w:szCs w:val="22"/>
                <w:lang w:val="sq-AL"/>
              </w:rPr>
              <w:t>Cholinesterase Inhibitors</w:t>
            </w:r>
          </w:p>
        </w:tc>
      </w:tr>
      <w:tr w:rsidR="00BE0C06" w:rsidRPr="00393D83" w:rsidTr="00D67209">
        <w:tc>
          <w:tcPr>
            <w:tcW w:w="2718" w:type="dxa"/>
          </w:tcPr>
          <w:p w:rsidR="00BE0C06" w:rsidRPr="007D3566" w:rsidRDefault="00BE0C06" w:rsidP="00BE0C06">
            <w:pPr>
              <w:rPr>
                <w:b/>
                <w:sz w:val="22"/>
                <w:szCs w:val="22"/>
              </w:rPr>
            </w:pPr>
            <w:r w:rsidRPr="003A7683">
              <w:rPr>
                <w:b/>
                <w:sz w:val="22"/>
                <w:szCs w:val="22"/>
              </w:rPr>
              <w:t xml:space="preserve">Week </w:t>
            </w:r>
            <w:r>
              <w:rPr>
                <w:b/>
                <w:sz w:val="22"/>
                <w:szCs w:val="22"/>
              </w:rPr>
              <w:t>20</w:t>
            </w:r>
          </w:p>
        </w:tc>
        <w:tc>
          <w:tcPr>
            <w:tcW w:w="6138" w:type="dxa"/>
          </w:tcPr>
          <w:p w:rsidR="00BE0C06" w:rsidRPr="00BE0C06" w:rsidRDefault="008668C1" w:rsidP="008668C1">
            <w:pPr>
              <w:jc w:val="both"/>
              <w:rPr>
                <w:color w:val="000000"/>
                <w:sz w:val="22"/>
                <w:szCs w:val="22"/>
                <w:lang w:val="sq-AL"/>
              </w:rPr>
            </w:pPr>
            <w:r w:rsidRPr="008668C1">
              <w:rPr>
                <w:color w:val="000000"/>
                <w:sz w:val="22"/>
                <w:szCs w:val="22"/>
                <w:lang w:val="sq-AL"/>
              </w:rPr>
              <w:t>Cholinergic Receptor Antagonists</w:t>
            </w:r>
            <w:r>
              <w:rPr>
                <w:color w:val="000000"/>
                <w:sz w:val="22"/>
                <w:szCs w:val="22"/>
                <w:lang w:val="sq-AL"/>
              </w:rPr>
              <w:t xml:space="preserve">, </w:t>
            </w:r>
            <w:r w:rsidRPr="008668C1">
              <w:rPr>
                <w:color w:val="000000"/>
                <w:sz w:val="22"/>
                <w:szCs w:val="22"/>
                <w:lang w:val="sq-AL"/>
              </w:rPr>
              <w:t>Solanaceous Alkaloids and Analogs</w:t>
            </w:r>
            <w:r>
              <w:rPr>
                <w:color w:val="000000"/>
                <w:sz w:val="22"/>
                <w:szCs w:val="22"/>
                <w:lang w:val="sq-AL"/>
              </w:rPr>
              <w:t xml:space="preserve">, </w:t>
            </w:r>
            <w:r w:rsidRPr="008668C1">
              <w:rPr>
                <w:color w:val="000000"/>
                <w:sz w:val="22"/>
                <w:szCs w:val="22"/>
                <w:lang w:val="sq-AL"/>
              </w:rPr>
              <w:t>Synthetic Chol</w:t>
            </w:r>
            <w:r>
              <w:rPr>
                <w:color w:val="000000"/>
                <w:sz w:val="22"/>
                <w:szCs w:val="22"/>
                <w:lang w:val="sq-AL"/>
              </w:rPr>
              <w:t xml:space="preserve">inergic Blocking Agents, </w:t>
            </w:r>
            <w:r w:rsidRPr="008668C1">
              <w:rPr>
                <w:color w:val="000000"/>
                <w:sz w:val="22"/>
                <w:szCs w:val="22"/>
                <w:lang w:val="sq-AL"/>
              </w:rPr>
              <w:t>Ganglionic Blocking Agents</w:t>
            </w:r>
            <w:r>
              <w:rPr>
                <w:color w:val="000000"/>
                <w:sz w:val="22"/>
                <w:szCs w:val="22"/>
                <w:lang w:val="sq-AL"/>
              </w:rPr>
              <w:t>, N</w:t>
            </w:r>
            <w:r w:rsidRPr="008668C1">
              <w:rPr>
                <w:color w:val="000000"/>
                <w:sz w:val="22"/>
                <w:szCs w:val="22"/>
                <w:lang w:val="sq-AL"/>
              </w:rPr>
              <w:t>euromuscular Blocking Agents</w:t>
            </w:r>
          </w:p>
        </w:tc>
      </w:tr>
      <w:tr w:rsidR="008668C1" w:rsidRPr="00393D83" w:rsidTr="00D67209">
        <w:tc>
          <w:tcPr>
            <w:tcW w:w="2718" w:type="dxa"/>
          </w:tcPr>
          <w:p w:rsidR="008668C1" w:rsidRDefault="008668C1">
            <w:r w:rsidRPr="00506897">
              <w:rPr>
                <w:b/>
                <w:sz w:val="22"/>
                <w:szCs w:val="22"/>
              </w:rPr>
              <w:lastRenderedPageBreak/>
              <w:t>Week 2</w:t>
            </w:r>
            <w:r>
              <w:rPr>
                <w:b/>
                <w:sz w:val="22"/>
                <w:szCs w:val="22"/>
              </w:rPr>
              <w:t>1</w:t>
            </w:r>
          </w:p>
        </w:tc>
        <w:tc>
          <w:tcPr>
            <w:tcW w:w="6138" w:type="dxa"/>
          </w:tcPr>
          <w:p w:rsidR="008668C1" w:rsidRPr="00393D83" w:rsidRDefault="008668C1" w:rsidP="008668C1">
            <w:pPr>
              <w:jc w:val="both"/>
              <w:rPr>
                <w:color w:val="000000"/>
                <w:sz w:val="22"/>
                <w:szCs w:val="22"/>
                <w:lang w:val="sq-AL"/>
              </w:rPr>
            </w:pPr>
            <w:r w:rsidRPr="00393D83">
              <w:rPr>
                <w:color w:val="000000"/>
                <w:sz w:val="22"/>
                <w:szCs w:val="22"/>
                <w:lang w:val="sq-AL"/>
              </w:rPr>
              <w:t>Sex hormones, estrogens, antiestrogens and related drugs</w:t>
            </w:r>
          </w:p>
        </w:tc>
      </w:tr>
      <w:tr w:rsidR="008668C1" w:rsidRPr="00393D83" w:rsidTr="00D67209">
        <w:tc>
          <w:tcPr>
            <w:tcW w:w="2718" w:type="dxa"/>
          </w:tcPr>
          <w:p w:rsidR="008668C1" w:rsidRDefault="008668C1">
            <w:r w:rsidRPr="00506897">
              <w:rPr>
                <w:b/>
                <w:sz w:val="22"/>
                <w:szCs w:val="22"/>
              </w:rPr>
              <w:t>Week 2</w:t>
            </w:r>
            <w:r>
              <w:rPr>
                <w:b/>
                <w:sz w:val="22"/>
                <w:szCs w:val="22"/>
              </w:rPr>
              <w:t>2</w:t>
            </w:r>
          </w:p>
        </w:tc>
        <w:tc>
          <w:tcPr>
            <w:tcW w:w="6138" w:type="dxa"/>
          </w:tcPr>
          <w:p w:rsidR="008668C1" w:rsidRPr="00393D83" w:rsidRDefault="008668C1" w:rsidP="008668C1">
            <w:pPr>
              <w:jc w:val="both"/>
              <w:rPr>
                <w:color w:val="000000"/>
                <w:sz w:val="22"/>
                <w:szCs w:val="22"/>
                <w:lang w:val="sq-AL"/>
              </w:rPr>
            </w:pPr>
            <w:r w:rsidRPr="00393D83">
              <w:rPr>
                <w:color w:val="000000"/>
                <w:sz w:val="22"/>
                <w:szCs w:val="22"/>
                <w:lang w:val="sq-AL"/>
              </w:rPr>
              <w:t xml:space="preserve">Progestins, antigestagens </w:t>
            </w:r>
          </w:p>
        </w:tc>
      </w:tr>
      <w:tr w:rsidR="008668C1" w:rsidRPr="00393D83" w:rsidTr="00D67209">
        <w:tc>
          <w:tcPr>
            <w:tcW w:w="2718" w:type="dxa"/>
          </w:tcPr>
          <w:p w:rsidR="008668C1" w:rsidRDefault="008668C1">
            <w:r w:rsidRPr="00506897">
              <w:rPr>
                <w:b/>
                <w:sz w:val="22"/>
                <w:szCs w:val="22"/>
              </w:rPr>
              <w:t>Week 2</w:t>
            </w:r>
            <w:r>
              <w:rPr>
                <w:b/>
                <w:sz w:val="22"/>
                <w:szCs w:val="22"/>
              </w:rPr>
              <w:t>3</w:t>
            </w:r>
          </w:p>
        </w:tc>
        <w:tc>
          <w:tcPr>
            <w:tcW w:w="6138" w:type="dxa"/>
          </w:tcPr>
          <w:p w:rsidR="008668C1" w:rsidRPr="00393D83" w:rsidRDefault="008668C1" w:rsidP="008668C1">
            <w:pPr>
              <w:jc w:val="both"/>
              <w:rPr>
                <w:color w:val="000000"/>
                <w:sz w:val="22"/>
                <w:szCs w:val="22"/>
                <w:lang w:val="sq-AL"/>
              </w:rPr>
            </w:pPr>
            <w:r w:rsidRPr="00393D83">
              <w:rPr>
                <w:color w:val="000000"/>
                <w:sz w:val="22"/>
                <w:szCs w:val="22"/>
                <w:lang w:val="sq-AL"/>
              </w:rPr>
              <w:t xml:space="preserve">Androgens and anabolic agents, antiandrogens </w:t>
            </w:r>
          </w:p>
        </w:tc>
      </w:tr>
      <w:tr w:rsidR="008668C1" w:rsidRPr="00393D83" w:rsidTr="00D67209">
        <w:tc>
          <w:tcPr>
            <w:tcW w:w="2718" w:type="dxa"/>
          </w:tcPr>
          <w:p w:rsidR="008668C1" w:rsidRDefault="008668C1">
            <w:r w:rsidRPr="00506897">
              <w:rPr>
                <w:b/>
                <w:sz w:val="22"/>
                <w:szCs w:val="22"/>
              </w:rPr>
              <w:t>Week 2</w:t>
            </w:r>
            <w:r>
              <w:rPr>
                <w:b/>
                <w:sz w:val="22"/>
                <w:szCs w:val="22"/>
              </w:rPr>
              <w:t>4</w:t>
            </w:r>
          </w:p>
        </w:tc>
        <w:tc>
          <w:tcPr>
            <w:tcW w:w="6138" w:type="dxa"/>
          </w:tcPr>
          <w:p w:rsidR="008668C1" w:rsidRPr="00393D83" w:rsidRDefault="008668C1" w:rsidP="008668C1">
            <w:pPr>
              <w:jc w:val="both"/>
              <w:rPr>
                <w:color w:val="000000"/>
                <w:sz w:val="22"/>
                <w:szCs w:val="22"/>
                <w:lang w:val="sq-AL"/>
              </w:rPr>
            </w:pPr>
            <w:r w:rsidRPr="00393D83">
              <w:rPr>
                <w:color w:val="000000"/>
                <w:sz w:val="22"/>
                <w:szCs w:val="22"/>
                <w:lang w:val="sq-AL"/>
              </w:rPr>
              <w:t>Adrenal cortex hormones, steroida glycosides, production of the pharmaceutically important steroids</w:t>
            </w:r>
          </w:p>
        </w:tc>
      </w:tr>
      <w:tr w:rsidR="008668C1" w:rsidRPr="00393D83" w:rsidTr="00D67209">
        <w:tc>
          <w:tcPr>
            <w:tcW w:w="2718" w:type="dxa"/>
          </w:tcPr>
          <w:p w:rsidR="008668C1" w:rsidRDefault="008668C1">
            <w:r w:rsidRPr="005B2383">
              <w:rPr>
                <w:b/>
                <w:sz w:val="22"/>
                <w:szCs w:val="22"/>
              </w:rPr>
              <w:t>Week 2</w:t>
            </w:r>
            <w:r>
              <w:rPr>
                <w:b/>
                <w:sz w:val="22"/>
                <w:szCs w:val="22"/>
              </w:rPr>
              <w:t>5</w:t>
            </w:r>
          </w:p>
        </w:tc>
        <w:tc>
          <w:tcPr>
            <w:tcW w:w="6138" w:type="dxa"/>
          </w:tcPr>
          <w:p w:rsidR="008668C1" w:rsidRPr="00393D83" w:rsidRDefault="00132BD3" w:rsidP="00BE0C06">
            <w:pPr>
              <w:jc w:val="both"/>
              <w:rPr>
                <w:color w:val="000000"/>
                <w:sz w:val="22"/>
                <w:szCs w:val="22"/>
                <w:lang w:val="sq-AL"/>
              </w:rPr>
            </w:pPr>
            <w:r>
              <w:rPr>
                <w:color w:val="000000"/>
                <w:sz w:val="22"/>
                <w:szCs w:val="22"/>
                <w:lang w:val="sq-AL"/>
              </w:rPr>
              <w:t>P</w:t>
            </w:r>
            <w:r w:rsidRPr="0096194C">
              <w:rPr>
                <w:color w:val="000000"/>
                <w:sz w:val="22"/>
                <w:szCs w:val="22"/>
                <w:lang w:val="sq-AL"/>
              </w:rPr>
              <w:t>hosphodiesterase inhibitor</w:t>
            </w:r>
            <w:r>
              <w:rPr>
                <w:color w:val="000000"/>
                <w:sz w:val="22"/>
                <w:szCs w:val="22"/>
                <w:lang w:val="sq-AL"/>
              </w:rPr>
              <w:t>s</w:t>
            </w:r>
          </w:p>
        </w:tc>
      </w:tr>
      <w:tr w:rsidR="008668C1" w:rsidRPr="00393D83" w:rsidTr="00D67209">
        <w:tc>
          <w:tcPr>
            <w:tcW w:w="2718" w:type="dxa"/>
          </w:tcPr>
          <w:p w:rsidR="008668C1" w:rsidRDefault="008668C1">
            <w:r w:rsidRPr="005B2383">
              <w:rPr>
                <w:b/>
                <w:sz w:val="22"/>
                <w:szCs w:val="22"/>
              </w:rPr>
              <w:t>Week 2</w:t>
            </w:r>
            <w:r>
              <w:rPr>
                <w:b/>
                <w:sz w:val="22"/>
                <w:szCs w:val="22"/>
              </w:rPr>
              <w:t>6</w:t>
            </w:r>
          </w:p>
        </w:tc>
        <w:tc>
          <w:tcPr>
            <w:tcW w:w="6138" w:type="dxa"/>
          </w:tcPr>
          <w:p w:rsidR="008668C1" w:rsidRPr="00393D83" w:rsidRDefault="00132BD3" w:rsidP="00132BD3">
            <w:pPr>
              <w:jc w:val="both"/>
              <w:rPr>
                <w:color w:val="000000"/>
                <w:sz w:val="22"/>
                <w:szCs w:val="22"/>
                <w:lang w:val="sq-AL"/>
              </w:rPr>
            </w:pPr>
            <w:r w:rsidRPr="0096194C">
              <w:rPr>
                <w:color w:val="000000"/>
                <w:sz w:val="22"/>
                <w:szCs w:val="22"/>
                <w:lang w:val="sq-AL"/>
              </w:rPr>
              <w:t>Pharmacologic vasodilators in the coronary circulation -</w:t>
            </w:r>
            <w:r w:rsidRPr="002945F0">
              <w:rPr>
                <w:color w:val="000000"/>
                <w:sz w:val="22"/>
                <w:szCs w:val="22"/>
                <w:lang w:val="sq-AL"/>
              </w:rPr>
              <w:t>NO donor drugs</w:t>
            </w:r>
            <w:r>
              <w:rPr>
                <w:color w:val="000000"/>
                <w:sz w:val="22"/>
                <w:szCs w:val="22"/>
                <w:lang w:val="sq-AL"/>
              </w:rPr>
              <w:t xml:space="preserve">. </w:t>
            </w:r>
          </w:p>
        </w:tc>
      </w:tr>
      <w:tr w:rsidR="00132BD3" w:rsidRPr="00393D83" w:rsidTr="00D67209">
        <w:tc>
          <w:tcPr>
            <w:tcW w:w="2718" w:type="dxa"/>
          </w:tcPr>
          <w:p w:rsidR="00132BD3" w:rsidRPr="005B2383" w:rsidRDefault="00132BD3">
            <w:pPr>
              <w:rPr>
                <w:b/>
                <w:sz w:val="22"/>
                <w:szCs w:val="22"/>
              </w:rPr>
            </w:pPr>
            <w:r w:rsidRPr="007D3566">
              <w:rPr>
                <w:b/>
                <w:sz w:val="22"/>
                <w:szCs w:val="22"/>
              </w:rPr>
              <w:t xml:space="preserve">Week </w:t>
            </w:r>
            <w:r>
              <w:rPr>
                <w:b/>
                <w:sz w:val="22"/>
                <w:szCs w:val="22"/>
              </w:rPr>
              <w:t>27</w:t>
            </w:r>
          </w:p>
        </w:tc>
        <w:tc>
          <w:tcPr>
            <w:tcW w:w="6138" w:type="dxa"/>
          </w:tcPr>
          <w:p w:rsidR="00132BD3" w:rsidRPr="0096194C" w:rsidRDefault="00132BD3" w:rsidP="00132BD3">
            <w:pPr>
              <w:jc w:val="both"/>
              <w:rPr>
                <w:color w:val="000000"/>
                <w:sz w:val="22"/>
                <w:szCs w:val="22"/>
                <w:lang w:val="sq-AL"/>
              </w:rPr>
            </w:pPr>
            <w:r>
              <w:rPr>
                <w:color w:val="000000"/>
                <w:sz w:val="22"/>
                <w:szCs w:val="22"/>
                <w:lang w:val="sq-AL"/>
              </w:rPr>
              <w:t>Drugs acting on</w:t>
            </w:r>
            <w:r>
              <w:t xml:space="preserve"> </w:t>
            </w:r>
            <w:r w:rsidRPr="0096194C">
              <w:rPr>
                <w:color w:val="000000"/>
                <w:sz w:val="22"/>
                <w:szCs w:val="22"/>
                <w:lang w:val="sq-AL"/>
              </w:rPr>
              <w:t>Renin-angiotensin-aldosterone system (RAAS)</w:t>
            </w:r>
            <w:r>
              <w:rPr>
                <w:color w:val="000000"/>
                <w:sz w:val="22"/>
                <w:szCs w:val="22"/>
                <w:lang w:val="sq-AL"/>
              </w:rPr>
              <w:t>. Diretics</w:t>
            </w:r>
          </w:p>
        </w:tc>
      </w:tr>
      <w:tr w:rsidR="00BE0C06" w:rsidRPr="00393D83" w:rsidTr="00D67209">
        <w:tc>
          <w:tcPr>
            <w:tcW w:w="2718" w:type="dxa"/>
          </w:tcPr>
          <w:p w:rsidR="00BE0C06" w:rsidRDefault="00132BD3" w:rsidP="00BE0C06">
            <w:r w:rsidRPr="007D3566">
              <w:rPr>
                <w:b/>
                <w:sz w:val="22"/>
                <w:szCs w:val="22"/>
              </w:rPr>
              <w:t xml:space="preserve">Week </w:t>
            </w:r>
            <w:r>
              <w:rPr>
                <w:b/>
                <w:sz w:val="22"/>
                <w:szCs w:val="22"/>
              </w:rPr>
              <w:t>28</w:t>
            </w:r>
          </w:p>
        </w:tc>
        <w:tc>
          <w:tcPr>
            <w:tcW w:w="6138" w:type="dxa"/>
          </w:tcPr>
          <w:p w:rsidR="00BE0C06" w:rsidRPr="00393D83" w:rsidRDefault="008668C1" w:rsidP="008668C1">
            <w:pPr>
              <w:jc w:val="both"/>
              <w:rPr>
                <w:color w:val="000000"/>
                <w:sz w:val="22"/>
                <w:szCs w:val="22"/>
                <w:lang w:val="sq-AL"/>
              </w:rPr>
            </w:pPr>
            <w:r w:rsidRPr="00393D83">
              <w:rPr>
                <w:color w:val="000000"/>
                <w:sz w:val="22"/>
                <w:szCs w:val="22"/>
                <w:lang w:val="sq-AL"/>
              </w:rPr>
              <w:t xml:space="preserve">Pancreatic hormones. </w:t>
            </w:r>
            <w:r>
              <w:rPr>
                <w:color w:val="000000"/>
                <w:sz w:val="22"/>
                <w:szCs w:val="22"/>
                <w:lang w:val="sq-AL"/>
              </w:rPr>
              <w:t xml:space="preserve">Insulin and insulin analogs. </w:t>
            </w:r>
            <w:r>
              <w:t xml:space="preserve"> </w:t>
            </w:r>
            <w:r w:rsidRPr="008668C1">
              <w:rPr>
                <w:color w:val="000000"/>
                <w:sz w:val="22"/>
                <w:szCs w:val="22"/>
                <w:lang w:val="sq-AL"/>
              </w:rPr>
              <w:t>The Modern</w:t>
            </w:r>
            <w:r>
              <w:rPr>
                <w:color w:val="000000"/>
                <w:sz w:val="22"/>
                <w:szCs w:val="22"/>
                <w:lang w:val="sq-AL"/>
              </w:rPr>
              <w:t xml:space="preserve"> Treatment of Diabetes Mellitus</w:t>
            </w:r>
            <w:r w:rsidRPr="00393D83">
              <w:rPr>
                <w:color w:val="000000"/>
                <w:sz w:val="22"/>
                <w:szCs w:val="22"/>
                <w:lang w:val="sq-AL"/>
              </w:rPr>
              <w:t>.</w:t>
            </w:r>
          </w:p>
        </w:tc>
      </w:tr>
      <w:tr w:rsidR="00BE0C06" w:rsidRPr="00393D83" w:rsidTr="00C55320">
        <w:tc>
          <w:tcPr>
            <w:tcW w:w="2718" w:type="dxa"/>
          </w:tcPr>
          <w:p w:rsidR="00BE0C06" w:rsidRDefault="00BE0C06" w:rsidP="00BE0C06">
            <w:r w:rsidRPr="007D3566">
              <w:rPr>
                <w:b/>
                <w:sz w:val="22"/>
                <w:szCs w:val="22"/>
              </w:rPr>
              <w:t xml:space="preserve">Week </w:t>
            </w:r>
            <w:r>
              <w:rPr>
                <w:b/>
                <w:sz w:val="22"/>
                <w:szCs w:val="22"/>
              </w:rPr>
              <w:t>2</w:t>
            </w:r>
            <w:r w:rsidR="00132BD3">
              <w:rPr>
                <w:b/>
                <w:sz w:val="22"/>
                <w:szCs w:val="22"/>
              </w:rPr>
              <w:t>9</w:t>
            </w:r>
          </w:p>
        </w:tc>
        <w:tc>
          <w:tcPr>
            <w:tcW w:w="6138" w:type="dxa"/>
          </w:tcPr>
          <w:p w:rsidR="00BE0C06" w:rsidRPr="00393D83" w:rsidRDefault="00132BD3" w:rsidP="00BE0C06">
            <w:pPr>
              <w:jc w:val="both"/>
              <w:rPr>
                <w:color w:val="000000"/>
                <w:sz w:val="22"/>
                <w:szCs w:val="22"/>
                <w:lang w:val="sq-AL"/>
              </w:rPr>
            </w:pPr>
            <w:r>
              <w:rPr>
                <w:color w:val="000000"/>
                <w:sz w:val="22"/>
                <w:szCs w:val="22"/>
                <w:lang w:val="sq-AL"/>
              </w:rPr>
              <w:t xml:space="preserve">Anticoagulants. </w:t>
            </w:r>
            <w:r>
              <w:t xml:space="preserve">Heparins, LMWH, Direct thrombin inhibitors, </w:t>
            </w:r>
            <w:r w:rsidRPr="008539E1">
              <w:rPr>
                <w:color w:val="000000"/>
                <w:sz w:val="22"/>
                <w:szCs w:val="22"/>
                <w:lang w:val="sq-AL"/>
              </w:rPr>
              <w:t>Platelet Aggregation and Inhibitors</w:t>
            </w:r>
            <w:r>
              <w:rPr>
                <w:color w:val="000000"/>
                <w:sz w:val="22"/>
                <w:szCs w:val="22"/>
                <w:lang w:val="sq-AL"/>
              </w:rPr>
              <w:t>. Vitamin K antagonists</w:t>
            </w:r>
          </w:p>
        </w:tc>
      </w:tr>
      <w:tr w:rsidR="0096194C" w:rsidRPr="00393D83" w:rsidTr="00C55320">
        <w:tc>
          <w:tcPr>
            <w:tcW w:w="2718" w:type="dxa"/>
          </w:tcPr>
          <w:p w:rsidR="0096194C" w:rsidRDefault="008668C1">
            <w:r w:rsidRPr="003A7683">
              <w:rPr>
                <w:b/>
                <w:sz w:val="22"/>
                <w:szCs w:val="22"/>
              </w:rPr>
              <w:t xml:space="preserve">Week </w:t>
            </w:r>
            <w:r>
              <w:rPr>
                <w:b/>
                <w:sz w:val="22"/>
                <w:szCs w:val="22"/>
              </w:rPr>
              <w:t>30</w:t>
            </w:r>
          </w:p>
        </w:tc>
        <w:tc>
          <w:tcPr>
            <w:tcW w:w="6138" w:type="dxa"/>
          </w:tcPr>
          <w:p w:rsidR="0096194C" w:rsidRPr="00393D83" w:rsidRDefault="00132BD3" w:rsidP="00C55320">
            <w:pPr>
              <w:jc w:val="both"/>
              <w:rPr>
                <w:color w:val="000000"/>
                <w:sz w:val="22"/>
                <w:szCs w:val="22"/>
                <w:lang w:val="sq-AL"/>
              </w:rPr>
            </w:pPr>
            <w:r>
              <w:rPr>
                <w:color w:val="000000"/>
                <w:sz w:val="22"/>
                <w:szCs w:val="22"/>
                <w:lang w:val="sq-AL"/>
              </w:rPr>
              <w:t>Water</w:t>
            </w:r>
            <w:r w:rsidRPr="00393D83">
              <w:rPr>
                <w:color w:val="000000"/>
                <w:sz w:val="22"/>
                <w:szCs w:val="22"/>
                <w:lang w:val="sq-AL"/>
              </w:rPr>
              <w:t>-soluble vitamins</w:t>
            </w:r>
          </w:p>
        </w:tc>
      </w:tr>
    </w:tbl>
    <w:p w:rsidR="006F116D" w:rsidRPr="00393D83" w:rsidRDefault="006F116D" w:rsidP="00393D83">
      <w:pPr>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E901B4" w:rsidRPr="00393D83" w:rsidTr="00EF57F9">
        <w:tc>
          <w:tcPr>
            <w:tcW w:w="8856" w:type="dxa"/>
            <w:shd w:val="clear" w:color="auto" w:fill="B8CCE4"/>
          </w:tcPr>
          <w:p w:rsidR="00E901B4" w:rsidRPr="00393D83" w:rsidRDefault="00E901B4" w:rsidP="00393D83">
            <w:pPr>
              <w:jc w:val="both"/>
              <w:rPr>
                <w:b/>
                <w:sz w:val="22"/>
                <w:szCs w:val="22"/>
              </w:rPr>
            </w:pPr>
            <w:r w:rsidRPr="00393D83">
              <w:rPr>
                <w:b/>
                <w:sz w:val="22"/>
                <w:szCs w:val="22"/>
              </w:rPr>
              <w:t>The academic policy and student's complaisance:</w:t>
            </w:r>
          </w:p>
        </w:tc>
      </w:tr>
      <w:tr w:rsidR="00E901B4" w:rsidRPr="00393D83" w:rsidTr="00E901B4">
        <w:trPr>
          <w:trHeight w:val="755"/>
        </w:trPr>
        <w:tc>
          <w:tcPr>
            <w:tcW w:w="8856" w:type="dxa"/>
          </w:tcPr>
          <w:p w:rsidR="00E901B4" w:rsidRPr="00393D83" w:rsidRDefault="00E901B4" w:rsidP="001F038C">
            <w:pPr>
              <w:jc w:val="both"/>
              <w:rPr>
                <w:sz w:val="22"/>
                <w:szCs w:val="22"/>
              </w:rPr>
            </w:pPr>
            <w:r w:rsidRPr="00393D83">
              <w:rPr>
                <w:sz w:val="22"/>
                <w:szCs w:val="22"/>
              </w:rPr>
              <w:t xml:space="preserve">Lecture attendance on a regular basis, exercises and </w:t>
            </w:r>
            <w:r w:rsidRPr="00393D83">
              <w:rPr>
                <w:rStyle w:val="hps"/>
                <w:sz w:val="22"/>
                <w:szCs w:val="22"/>
              </w:rPr>
              <w:t>all the</w:t>
            </w:r>
            <w:r w:rsidRPr="00393D83">
              <w:rPr>
                <w:sz w:val="22"/>
                <w:szCs w:val="22"/>
              </w:rPr>
              <w:t xml:space="preserve"> </w:t>
            </w:r>
            <w:r w:rsidR="001F038C">
              <w:rPr>
                <w:rStyle w:val="hps"/>
                <w:sz w:val="22"/>
                <w:szCs w:val="22"/>
              </w:rPr>
              <w:t>tasks</w:t>
            </w:r>
            <w:r w:rsidRPr="00393D83">
              <w:rPr>
                <w:sz w:val="22"/>
                <w:szCs w:val="22"/>
              </w:rPr>
              <w:t xml:space="preserve"> </w:t>
            </w:r>
            <w:r w:rsidRPr="00393D83">
              <w:rPr>
                <w:rStyle w:val="hps"/>
                <w:sz w:val="22"/>
                <w:szCs w:val="22"/>
              </w:rPr>
              <w:t>prescribed</w:t>
            </w:r>
            <w:r w:rsidRPr="00393D83">
              <w:rPr>
                <w:sz w:val="22"/>
                <w:szCs w:val="22"/>
              </w:rPr>
              <w:t xml:space="preserve"> </w:t>
            </w:r>
            <w:r w:rsidRPr="00393D83">
              <w:rPr>
                <w:rStyle w:val="hps"/>
                <w:sz w:val="22"/>
                <w:szCs w:val="22"/>
              </w:rPr>
              <w:t>by</w:t>
            </w:r>
            <w:r w:rsidRPr="00393D83">
              <w:rPr>
                <w:sz w:val="22"/>
                <w:szCs w:val="22"/>
              </w:rPr>
              <w:t xml:space="preserve"> </w:t>
            </w:r>
            <w:r w:rsidRPr="00393D83">
              <w:rPr>
                <w:rStyle w:val="hps"/>
                <w:sz w:val="22"/>
                <w:szCs w:val="22"/>
              </w:rPr>
              <w:t>the study program</w:t>
            </w:r>
            <w:r w:rsidRPr="00393D83">
              <w:rPr>
                <w:sz w:val="22"/>
                <w:szCs w:val="22"/>
              </w:rPr>
              <w:t xml:space="preserve">; </w:t>
            </w:r>
            <w:r w:rsidRPr="00393D83">
              <w:rPr>
                <w:rStyle w:val="hps"/>
                <w:sz w:val="22"/>
                <w:szCs w:val="22"/>
              </w:rPr>
              <w:t>adhering</w:t>
            </w:r>
            <w:r w:rsidRPr="00393D83">
              <w:rPr>
                <w:sz w:val="22"/>
                <w:szCs w:val="22"/>
              </w:rPr>
              <w:t xml:space="preserve"> </w:t>
            </w:r>
            <w:r w:rsidRPr="00393D83">
              <w:rPr>
                <w:rStyle w:val="hps"/>
                <w:sz w:val="22"/>
                <w:szCs w:val="22"/>
              </w:rPr>
              <w:t>to</w:t>
            </w:r>
            <w:r w:rsidRPr="00393D83">
              <w:rPr>
                <w:sz w:val="22"/>
                <w:szCs w:val="22"/>
              </w:rPr>
              <w:t xml:space="preserve"> </w:t>
            </w:r>
            <w:r w:rsidRPr="00393D83">
              <w:rPr>
                <w:rStyle w:val="hps"/>
                <w:sz w:val="22"/>
                <w:szCs w:val="22"/>
              </w:rPr>
              <w:t>ethical</w:t>
            </w:r>
            <w:r w:rsidRPr="00393D83">
              <w:rPr>
                <w:sz w:val="22"/>
                <w:szCs w:val="22"/>
              </w:rPr>
              <w:t xml:space="preserve"> </w:t>
            </w:r>
            <w:r w:rsidRPr="00393D83">
              <w:rPr>
                <w:rStyle w:val="hps"/>
                <w:sz w:val="22"/>
                <w:szCs w:val="22"/>
              </w:rPr>
              <w:t>considerations</w:t>
            </w:r>
            <w:r w:rsidRPr="00393D83">
              <w:rPr>
                <w:sz w:val="22"/>
                <w:szCs w:val="22"/>
              </w:rPr>
              <w:t xml:space="preserve">, </w:t>
            </w:r>
            <w:r w:rsidRPr="00393D83">
              <w:rPr>
                <w:rStyle w:val="hps"/>
                <w:sz w:val="22"/>
                <w:szCs w:val="22"/>
              </w:rPr>
              <w:t>gender</w:t>
            </w:r>
            <w:r w:rsidRPr="00393D83">
              <w:rPr>
                <w:sz w:val="22"/>
                <w:szCs w:val="22"/>
              </w:rPr>
              <w:t xml:space="preserve"> </w:t>
            </w:r>
            <w:r w:rsidRPr="00393D83">
              <w:rPr>
                <w:rStyle w:val="hps"/>
                <w:sz w:val="22"/>
                <w:szCs w:val="22"/>
              </w:rPr>
              <w:t>equality.</w:t>
            </w:r>
          </w:p>
        </w:tc>
      </w:tr>
    </w:tbl>
    <w:p w:rsidR="00CF116F" w:rsidRPr="00393D83" w:rsidRDefault="00CF116F" w:rsidP="00393D83">
      <w:pPr>
        <w:jc w:val="both"/>
        <w:rPr>
          <w:b/>
          <w:sz w:val="22"/>
          <w:szCs w:val="22"/>
        </w:rPr>
      </w:pPr>
    </w:p>
    <w:p w:rsidR="00B815D1" w:rsidRPr="00393D83" w:rsidRDefault="00B815D1" w:rsidP="00393D83">
      <w:pPr>
        <w:jc w:val="both"/>
        <w:rPr>
          <w:b/>
          <w:sz w:val="22"/>
          <w:szCs w:val="22"/>
        </w:rPr>
      </w:pPr>
    </w:p>
    <w:sectPr w:rsidR="00B815D1" w:rsidRPr="00393D83" w:rsidSect="00F334E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2B6" w:rsidRDefault="00A942B6">
      <w:r>
        <w:separator/>
      </w:r>
    </w:p>
  </w:endnote>
  <w:endnote w:type="continuationSeparator" w:id="1">
    <w:p w:rsidR="00A942B6" w:rsidRDefault="00A94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E101F5"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E101F5"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1F038C">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2B6" w:rsidRDefault="00A942B6">
      <w:r>
        <w:separator/>
      </w:r>
    </w:p>
  </w:footnote>
  <w:footnote w:type="continuationSeparator" w:id="1">
    <w:p w:rsidR="00A942B6" w:rsidRDefault="00A94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82749"/>
    <w:multiLevelType w:val="hybridMultilevel"/>
    <w:tmpl w:val="70E69D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763B76"/>
    <w:multiLevelType w:val="hybridMultilevel"/>
    <w:tmpl w:val="BB789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C0CCA"/>
    <w:rsid w:val="00004B39"/>
    <w:rsid w:val="00012981"/>
    <w:rsid w:val="00031020"/>
    <w:rsid w:val="00043592"/>
    <w:rsid w:val="00060E9F"/>
    <w:rsid w:val="000A39AD"/>
    <w:rsid w:val="000A5F11"/>
    <w:rsid w:val="000D3036"/>
    <w:rsid w:val="00102557"/>
    <w:rsid w:val="00105C2D"/>
    <w:rsid w:val="00132604"/>
    <w:rsid w:val="00132BD3"/>
    <w:rsid w:val="00164F76"/>
    <w:rsid w:val="00183923"/>
    <w:rsid w:val="001C6001"/>
    <w:rsid w:val="001D4B2F"/>
    <w:rsid w:val="001D6E88"/>
    <w:rsid w:val="001E7B4D"/>
    <w:rsid w:val="001F038C"/>
    <w:rsid w:val="0021580C"/>
    <w:rsid w:val="002177ED"/>
    <w:rsid w:val="002466FE"/>
    <w:rsid w:val="002610A3"/>
    <w:rsid w:val="002945F0"/>
    <w:rsid w:val="002C00FA"/>
    <w:rsid w:val="002D3069"/>
    <w:rsid w:val="0030354C"/>
    <w:rsid w:val="00381B41"/>
    <w:rsid w:val="00382870"/>
    <w:rsid w:val="00393D83"/>
    <w:rsid w:val="003B625C"/>
    <w:rsid w:val="003C3E1B"/>
    <w:rsid w:val="003E3193"/>
    <w:rsid w:val="00417300"/>
    <w:rsid w:val="004C0CCA"/>
    <w:rsid w:val="00500137"/>
    <w:rsid w:val="0051449F"/>
    <w:rsid w:val="005761F2"/>
    <w:rsid w:val="00603DD2"/>
    <w:rsid w:val="006157CF"/>
    <w:rsid w:val="0067123B"/>
    <w:rsid w:val="006873A2"/>
    <w:rsid w:val="006A06DE"/>
    <w:rsid w:val="006C7F03"/>
    <w:rsid w:val="006D7FB4"/>
    <w:rsid w:val="006F116D"/>
    <w:rsid w:val="007038CC"/>
    <w:rsid w:val="00726DE6"/>
    <w:rsid w:val="00746D8D"/>
    <w:rsid w:val="00763E15"/>
    <w:rsid w:val="00770666"/>
    <w:rsid w:val="00777D28"/>
    <w:rsid w:val="00781805"/>
    <w:rsid w:val="007B1510"/>
    <w:rsid w:val="007B4C75"/>
    <w:rsid w:val="007B68A2"/>
    <w:rsid w:val="007C3132"/>
    <w:rsid w:val="007E6202"/>
    <w:rsid w:val="007F46C5"/>
    <w:rsid w:val="00830A82"/>
    <w:rsid w:val="0083556D"/>
    <w:rsid w:val="008539E1"/>
    <w:rsid w:val="008668C1"/>
    <w:rsid w:val="00867DF2"/>
    <w:rsid w:val="008A439B"/>
    <w:rsid w:val="008A716D"/>
    <w:rsid w:val="008D0608"/>
    <w:rsid w:val="00903474"/>
    <w:rsid w:val="0096194C"/>
    <w:rsid w:val="009B3F0A"/>
    <w:rsid w:val="009E2AF8"/>
    <w:rsid w:val="00A32B8B"/>
    <w:rsid w:val="00A545BA"/>
    <w:rsid w:val="00A662A0"/>
    <w:rsid w:val="00A769FD"/>
    <w:rsid w:val="00A942B6"/>
    <w:rsid w:val="00AA2C57"/>
    <w:rsid w:val="00AA3C2B"/>
    <w:rsid w:val="00AC08ED"/>
    <w:rsid w:val="00AC7A69"/>
    <w:rsid w:val="00B179E6"/>
    <w:rsid w:val="00B35215"/>
    <w:rsid w:val="00B44519"/>
    <w:rsid w:val="00B474AB"/>
    <w:rsid w:val="00B815D1"/>
    <w:rsid w:val="00BA6E9C"/>
    <w:rsid w:val="00BB1A1A"/>
    <w:rsid w:val="00BE0C06"/>
    <w:rsid w:val="00C55320"/>
    <w:rsid w:val="00C6155B"/>
    <w:rsid w:val="00CF116F"/>
    <w:rsid w:val="00D10BC6"/>
    <w:rsid w:val="00D44BED"/>
    <w:rsid w:val="00D67209"/>
    <w:rsid w:val="00DB2823"/>
    <w:rsid w:val="00DF6543"/>
    <w:rsid w:val="00E101F5"/>
    <w:rsid w:val="00E34287"/>
    <w:rsid w:val="00E64FDE"/>
    <w:rsid w:val="00E901B4"/>
    <w:rsid w:val="00EC2F85"/>
    <w:rsid w:val="00EC5D29"/>
    <w:rsid w:val="00EF57F9"/>
    <w:rsid w:val="00F04222"/>
    <w:rsid w:val="00F334E5"/>
    <w:rsid w:val="00F34158"/>
    <w:rsid w:val="00F47480"/>
    <w:rsid w:val="00F5660C"/>
    <w:rsid w:val="00FB050B"/>
    <w:rsid w:val="00FE3E96"/>
    <w:rsid w:val="00FF7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4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customStyle="1" w:styleId="hps">
    <w:name w:val="hps"/>
    <w:basedOn w:val="DefaultParagraphFont"/>
    <w:rsid w:val="00E901B4"/>
  </w:style>
</w:styles>
</file>

<file path=word/webSettings.xml><?xml version="1.0" encoding="utf-8"?>
<w:webSettings xmlns:r="http://schemas.openxmlformats.org/officeDocument/2006/relationships" xmlns:w="http://schemas.openxmlformats.org/wordprocessingml/2006/main">
  <w:divs>
    <w:div w:id="80760856">
      <w:bodyDiv w:val="1"/>
      <w:marLeft w:val="0"/>
      <w:marRight w:val="0"/>
      <w:marTop w:val="0"/>
      <w:marBottom w:val="0"/>
      <w:divBdr>
        <w:top w:val="none" w:sz="0" w:space="0" w:color="auto"/>
        <w:left w:val="none" w:sz="0" w:space="0" w:color="auto"/>
        <w:bottom w:val="none" w:sz="0" w:space="0" w:color="auto"/>
        <w:right w:val="none" w:sz="0" w:space="0" w:color="auto"/>
      </w:divBdr>
    </w:div>
    <w:div w:id="967474282">
      <w:bodyDiv w:val="1"/>
      <w:marLeft w:val="0"/>
      <w:marRight w:val="0"/>
      <w:marTop w:val="0"/>
      <w:marBottom w:val="0"/>
      <w:divBdr>
        <w:top w:val="none" w:sz="0" w:space="0" w:color="auto"/>
        <w:left w:val="none" w:sz="0" w:space="0" w:color="auto"/>
        <w:bottom w:val="none" w:sz="0" w:space="0" w:color="auto"/>
        <w:right w:val="none" w:sz="0" w:space="0" w:color="auto"/>
      </w:divBdr>
    </w:div>
    <w:div w:id="1722943763">
      <w:bodyDiv w:val="1"/>
      <w:marLeft w:val="0"/>
      <w:marRight w:val="0"/>
      <w:marTop w:val="0"/>
      <w:marBottom w:val="0"/>
      <w:divBdr>
        <w:top w:val="none" w:sz="0" w:space="0" w:color="auto"/>
        <w:left w:val="none" w:sz="0" w:space="0" w:color="auto"/>
        <w:bottom w:val="none" w:sz="0" w:space="0" w:color="auto"/>
        <w:right w:val="none" w:sz="0" w:space="0" w:color="auto"/>
      </w:divBdr>
    </w:div>
    <w:div w:id="206270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Admin</cp:lastModifiedBy>
  <cp:revision>6</cp:revision>
  <cp:lastPrinted>2011-03-07T09:39:00Z</cp:lastPrinted>
  <dcterms:created xsi:type="dcterms:W3CDTF">2021-02-21T20:17:00Z</dcterms:created>
  <dcterms:modified xsi:type="dcterms:W3CDTF">2021-02-22T11:33:00Z</dcterms:modified>
</cp:coreProperties>
</file>