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C9C" w:rsidRPr="00AB786F" w:rsidRDefault="009874D6" w:rsidP="00821449">
      <w:pPr>
        <w:pStyle w:val="NoSpacing"/>
        <w:rPr>
          <w:rFonts w:asciiTheme="minorHAnsi" w:hAnsiTheme="minorHAnsi" w:cstheme="minorHAnsi"/>
          <w:b/>
          <w:sz w:val="22"/>
          <w:szCs w:val="22"/>
          <w:lang w:val="sq-AL"/>
        </w:rPr>
      </w:pPr>
      <w:r w:rsidRPr="00AB786F">
        <w:rPr>
          <w:rFonts w:asciiTheme="minorHAnsi" w:hAnsiTheme="minorHAnsi" w:cstheme="minorHAnsi"/>
          <w:b/>
          <w:sz w:val="22"/>
          <w:szCs w:val="22"/>
          <w:lang w:val="sq-AL"/>
        </w:rPr>
        <w:t>BAZAT E SINTEZËS  DHE NOMENKLATURËS SË</w:t>
      </w:r>
      <w:r w:rsidR="00821449" w:rsidRPr="00AB786F">
        <w:rPr>
          <w:rFonts w:asciiTheme="minorHAnsi" w:hAnsiTheme="minorHAnsi" w:cstheme="minorHAnsi"/>
          <w:b/>
          <w:sz w:val="22"/>
          <w:szCs w:val="22"/>
          <w:lang w:val="sq-AL"/>
        </w:rPr>
        <w:t xml:space="preserve"> BARNAVE 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8"/>
        <w:gridCol w:w="805"/>
        <w:gridCol w:w="2425"/>
        <w:gridCol w:w="3088"/>
      </w:tblGrid>
      <w:tr w:rsidR="002F1ED0" w:rsidRPr="00AB786F" w:rsidTr="00821449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45065A" w:rsidRPr="00AB786F" w:rsidRDefault="0045065A" w:rsidP="00F6311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65A" w:rsidRPr="00AB786F" w:rsidRDefault="0045065A" w:rsidP="00F6311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65A" w:rsidRPr="00AB786F" w:rsidRDefault="0045065A" w:rsidP="00F6311E">
            <w:pPr>
              <w:pStyle w:val="NoSpacing"/>
              <w:ind w:left="1275" w:hanging="1275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Fakulteti i Mjekësisë/Departamenti i Farmacisë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BAZAT E SINTEZES  DHE NOMENKLATURES SE BARNAVE  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Studimet themelore 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AB786F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Viti i I-rë | Semestri i II-të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2+1+0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4 ECTS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Departamenti i Farmacisë</w:t>
            </w:r>
            <w:r w:rsidRPr="00AB786F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 xml:space="preserve"> |Sipas orarit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Prof. Asist. Pranvera Breznica Selmani</w:t>
            </w:r>
            <w:r w:rsidR="009C6602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;</w:t>
            </w:r>
            <w:r w:rsidR="009C6602">
              <w:rPr>
                <w:lang w:val="sq-AL"/>
              </w:rPr>
              <w:t xml:space="preserve"> Prof.Asist. Dardan Hetemi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000000" w:rsidP="0082144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9C6602" w:rsidRPr="004113F9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  <w:lang w:val="sq-AL"/>
                </w:rPr>
                <w:t>pranvera.breznica@uni-pr.edu</w:t>
              </w:r>
            </w:hyperlink>
            <w:r w:rsidR="009C6602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 xml:space="preserve">; </w:t>
            </w:r>
            <w:hyperlink r:id="rId6" w:history="1">
              <w:r w:rsidR="009C6602" w:rsidRPr="004113F9">
                <w:rPr>
                  <w:rStyle w:val="Hyperlink"/>
                  <w:rFonts w:asciiTheme="minorHAnsi" w:eastAsia="Calibri" w:hAnsiTheme="minorHAnsi" w:cstheme="minorHAnsi"/>
                  <w:sz w:val="22"/>
                  <w:szCs w:val="22"/>
                  <w:lang w:val="sq-AL"/>
                </w:rPr>
                <w:t>dardan.hetemi@uni-pr.edu</w:t>
              </w:r>
            </w:hyperlink>
            <w:r w:rsidR="009C6602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2F1ED0" w:rsidRPr="00AB786F" w:rsidTr="00821449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këtë kurs do të adresohen disa koncepte themelore të kimisë organike, klasave të komp</w:t>
            </w:r>
            <w:r w:rsidR="00F073B2"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onimeve organike dhe në një masë</w:t>
            </w: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shpjegohen edhe mekanizmat  kryesorë të reaksioneve duke marr si shembull  sintezat e barnave të zgjedhura. </w:t>
            </w:r>
            <w:r w:rsidR="00F073B2"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Gjithashtu, duke u bazuar në një</w:t>
            </w:r>
            <w:r w:rsidRPr="00AB786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numër të madh të shembujve të komponimeve me rëndësi  terapeutike do të përcaktohen qartë edhe rregullat me të rëndesishme të nomenklaturës së barnave.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F073B2" w:rsidP="0082144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>Që</w:t>
            </w:r>
            <w:r w:rsidR="00821449" w:rsidRPr="00AB786F">
              <w:rPr>
                <w:rFonts w:asciiTheme="minorHAnsi" w:hAnsiTheme="minorHAnsi" w:cstheme="minorHAnsi"/>
              </w:rPr>
              <w:t xml:space="preserve">llimi kryesor i </w:t>
            </w:r>
            <w:r w:rsidRPr="00AB786F">
              <w:rPr>
                <w:rFonts w:asciiTheme="minorHAnsi" w:hAnsiTheme="minorHAnsi" w:cstheme="minorHAnsi"/>
              </w:rPr>
              <w:t>kë</w:t>
            </w:r>
            <w:r w:rsidR="00821449" w:rsidRPr="00AB786F">
              <w:rPr>
                <w:rFonts w:asciiTheme="minorHAnsi" w:hAnsiTheme="minorHAnsi" w:cstheme="minorHAnsi"/>
              </w:rPr>
              <w:t>tij kursi është që:</w:t>
            </w:r>
          </w:p>
          <w:p w:rsidR="00821449" w:rsidRPr="00AB786F" w:rsidRDefault="00821449" w:rsidP="008214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  <w:bCs/>
              </w:rPr>
              <w:t xml:space="preserve">Studentet  të fitojnë  </w:t>
            </w:r>
            <w:r w:rsidR="00F073B2" w:rsidRPr="00AB786F">
              <w:rPr>
                <w:rFonts w:asciiTheme="minorHAnsi" w:hAnsiTheme="minorHAnsi" w:cstheme="minorHAnsi"/>
              </w:rPr>
              <w:t>njohuri bazike të strukturë</w:t>
            </w:r>
            <w:r w:rsidRPr="00AB786F">
              <w:rPr>
                <w:rFonts w:asciiTheme="minorHAnsi" w:hAnsiTheme="minorHAnsi" w:cstheme="minorHAnsi"/>
              </w:rPr>
              <w:t>s,  sintezës, reaksioneve dhe nomenklaturës së klasave kryesore të komponimeve organike të cilat kanë veprim terapeutik, duke venë në pah parimet themelore të mekanizmave të reaksioneve kimike</w:t>
            </w:r>
          </w:p>
          <w:p w:rsidR="00821449" w:rsidRPr="00AB786F" w:rsidRDefault="00F073B2" w:rsidP="00821449">
            <w:pPr>
              <w:numPr>
                <w:ilvl w:val="0"/>
                <w:numId w:val="1"/>
              </w:numPr>
              <w:spacing w:after="0" w:line="240" w:lineRule="exact"/>
              <w:rPr>
                <w:rFonts w:asciiTheme="minorHAnsi" w:hAnsiTheme="minorHAnsi" w:cstheme="minorHAnsi"/>
                <w:i/>
              </w:rPr>
            </w:pPr>
            <w:r w:rsidRPr="00AB786F">
              <w:rPr>
                <w:rFonts w:asciiTheme="minorHAnsi" w:hAnsiTheme="minorHAnsi" w:cstheme="minorHAnsi"/>
              </w:rPr>
              <w:t>Në veçanti do të</w:t>
            </w:r>
            <w:r w:rsidR="00821449" w:rsidRPr="00AB786F">
              <w:rPr>
                <w:rFonts w:asciiTheme="minorHAnsi" w:hAnsiTheme="minorHAnsi" w:cstheme="minorHAnsi"/>
              </w:rPr>
              <w:t xml:space="preserve"> trajtohet analiza retrosintetike e aplikuar në sintezën e barnave.</w:t>
            </w:r>
          </w:p>
          <w:p w:rsidR="00821449" w:rsidRPr="00AB786F" w:rsidRDefault="00821449" w:rsidP="00821449">
            <w:pPr>
              <w:numPr>
                <w:ilvl w:val="0"/>
                <w:numId w:val="1"/>
              </w:numPr>
              <w:spacing w:after="0" w:line="240" w:lineRule="exact"/>
              <w:rPr>
                <w:rFonts w:asciiTheme="minorHAnsi" w:hAnsiTheme="minorHAnsi" w:cstheme="minorHAnsi"/>
                <w:i/>
              </w:rPr>
            </w:pPr>
            <w:r w:rsidRPr="00AB786F">
              <w:rPr>
                <w:rFonts w:asciiTheme="minorHAnsi" w:hAnsiTheme="minorHAnsi" w:cstheme="minorHAnsi"/>
              </w:rPr>
              <w:t>Sintezat e barnave të cil</w:t>
            </w:r>
            <w:r w:rsidR="00F073B2" w:rsidRPr="00AB786F">
              <w:rPr>
                <w:rFonts w:asciiTheme="minorHAnsi" w:hAnsiTheme="minorHAnsi" w:cstheme="minorHAnsi"/>
              </w:rPr>
              <w:t>at i takojne klasave kryesore të komponimeve organike do të përdoren si shembuj ilustrati</w:t>
            </w:r>
            <w:r w:rsidRPr="00AB786F">
              <w:rPr>
                <w:rFonts w:asciiTheme="minorHAnsi" w:hAnsiTheme="minorHAnsi" w:cstheme="minorHAnsi"/>
              </w:rPr>
              <w:t xml:space="preserve">v. </w:t>
            </w:r>
          </w:p>
          <w:p w:rsidR="00821449" w:rsidRPr="00AB786F" w:rsidRDefault="00F073B2" w:rsidP="00821449">
            <w:pPr>
              <w:numPr>
                <w:ilvl w:val="0"/>
                <w:numId w:val="1"/>
              </w:numPr>
              <w:spacing w:after="0" w:line="240" w:lineRule="exact"/>
              <w:rPr>
                <w:rFonts w:asciiTheme="minorHAnsi" w:hAnsiTheme="minorHAnsi" w:cstheme="minorHAnsi"/>
                <w:i/>
              </w:rPr>
            </w:pPr>
            <w:r w:rsidRPr="00AB786F">
              <w:rPr>
                <w:rFonts w:asciiTheme="minorHAnsi" w:hAnsiTheme="minorHAnsi" w:cstheme="minorHAnsi"/>
              </w:rPr>
              <w:t>Gjithashtu ky kurs do të</w:t>
            </w:r>
            <w:r w:rsidR="00821449" w:rsidRPr="00AB786F">
              <w:rPr>
                <w:rFonts w:asciiTheme="minorHAnsi" w:hAnsiTheme="minorHAnsi" w:cstheme="minorHAnsi"/>
              </w:rPr>
              <w:t xml:space="preserve"> adresoj edhe konceptet themelore të nomenklatures organike, emertimit sistematik sipas IUPAC, emrave</w:t>
            </w:r>
            <w:r w:rsidRPr="00AB786F">
              <w:rPr>
                <w:rFonts w:asciiTheme="minorHAnsi" w:hAnsiTheme="minorHAnsi" w:cstheme="minorHAnsi"/>
              </w:rPr>
              <w:t xml:space="preserve"> triviale, nomenklatures R, S të molekulave kirale dhe E/Z të</w:t>
            </w:r>
            <w:r w:rsidR="00821449" w:rsidRPr="00AB786F">
              <w:rPr>
                <w:rFonts w:asciiTheme="minorHAnsi" w:hAnsiTheme="minorHAnsi" w:cstheme="minorHAnsi"/>
              </w:rPr>
              <w:t xml:space="preserve"> izomereve gjeometrike.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="009C660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(SLO)</w:t>
            </w: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9C6602" w:rsidRDefault="009C6602" w:rsidP="009C660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073B2" w:rsidRPr="009C6602">
              <w:rPr>
                <w:rFonts w:asciiTheme="minorHAnsi" w:hAnsiTheme="minorHAnsi" w:cstheme="minorHAnsi"/>
              </w:rPr>
              <w:t>tudentë</w:t>
            </w:r>
            <w:r w:rsidR="00821449" w:rsidRPr="009C6602">
              <w:rPr>
                <w:rFonts w:asciiTheme="minorHAnsi" w:hAnsiTheme="minorHAnsi" w:cstheme="minorHAnsi"/>
              </w:rPr>
              <w:t>t do te sigurojne njohurite e</w:t>
            </w:r>
            <w:r w:rsidR="00F073B2" w:rsidRPr="009C6602">
              <w:rPr>
                <w:rFonts w:asciiTheme="minorHAnsi" w:hAnsiTheme="minorHAnsi" w:cstheme="minorHAnsi"/>
              </w:rPr>
              <w:t xml:space="preserve"> mjaftueshme mbi sintezat organike të aplikuara në pë</w:t>
            </w:r>
            <w:r w:rsidR="00821449" w:rsidRPr="009C6602">
              <w:rPr>
                <w:rFonts w:asciiTheme="minorHAnsi" w:hAnsiTheme="minorHAnsi" w:cstheme="minorHAnsi"/>
              </w:rPr>
              <w:t>rf</w:t>
            </w:r>
            <w:r w:rsidR="00F073B2" w:rsidRPr="009C6602">
              <w:rPr>
                <w:rFonts w:asciiTheme="minorHAnsi" w:hAnsiTheme="minorHAnsi" w:cstheme="minorHAnsi"/>
              </w:rPr>
              <w:t>itimin e barnave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9C6602" w:rsidRDefault="009C6602" w:rsidP="009C660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Studentët do të </w:t>
            </w:r>
            <w:r w:rsidR="00F073B2" w:rsidRPr="009C6602">
              <w:rPr>
                <w:rFonts w:asciiTheme="minorHAnsi" w:hAnsiTheme="minorHAnsi" w:cstheme="minorHAnsi"/>
              </w:rPr>
              <w:t>kuptojne shumë reaksione të</w:t>
            </w:r>
            <w:r w:rsidR="00821449" w:rsidRPr="009C6602">
              <w:rPr>
                <w:rFonts w:asciiTheme="minorHAnsi" w:hAnsiTheme="minorHAnsi" w:cstheme="minorHAnsi"/>
              </w:rPr>
              <w:t xml:space="preserve"> grupeve k</w:t>
            </w:r>
            <w:r w:rsidR="002A2F07" w:rsidRPr="009C6602">
              <w:rPr>
                <w:rFonts w:asciiTheme="minorHAnsi" w:hAnsiTheme="minorHAnsi" w:cstheme="minorHAnsi"/>
              </w:rPr>
              <w:t>ryesore funksionale si dhe do të</w:t>
            </w:r>
            <w:r w:rsidR="00821449" w:rsidRPr="009C6602">
              <w:rPr>
                <w:rFonts w:asciiTheme="minorHAnsi" w:hAnsiTheme="minorHAnsi" w:cstheme="minorHAnsi"/>
              </w:rPr>
              <w:t xml:space="preserve"> jen</w:t>
            </w:r>
            <w:r w:rsidR="002A2F07" w:rsidRPr="009C6602">
              <w:rPr>
                <w:rFonts w:asciiTheme="minorHAnsi" w:hAnsiTheme="minorHAnsi" w:cstheme="minorHAnsi"/>
              </w:rPr>
              <w:t>ë në gjendje të parashikojn reaksionet kimike të cilat përfshijnë kë</w:t>
            </w:r>
            <w:r w:rsidR="00821449" w:rsidRPr="009C6602">
              <w:rPr>
                <w:rFonts w:asciiTheme="minorHAnsi" w:hAnsiTheme="minorHAnsi" w:cstheme="minorHAnsi"/>
              </w:rPr>
              <w:t>to grupe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9C6602" w:rsidRDefault="002A2F07" w:rsidP="009C660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9C6602">
              <w:rPr>
                <w:rFonts w:asciiTheme="minorHAnsi" w:hAnsiTheme="minorHAnsi" w:cstheme="minorHAnsi"/>
              </w:rPr>
              <w:t>Studentet gjithashtu do të jenë në</w:t>
            </w:r>
            <w:r w:rsidR="00821449" w:rsidRPr="009C6602">
              <w:rPr>
                <w:rFonts w:asciiTheme="minorHAnsi" w:hAnsiTheme="minorHAnsi" w:cstheme="minorHAnsi"/>
              </w:rPr>
              <w:t xml:space="preserve"> gjen</w:t>
            </w:r>
            <w:r w:rsidRPr="009C6602">
              <w:rPr>
                <w:rFonts w:asciiTheme="minorHAnsi" w:hAnsiTheme="minorHAnsi" w:cstheme="minorHAnsi"/>
              </w:rPr>
              <w:t>dje të aplikojnë reaksionet e mësuara pë</w:t>
            </w:r>
            <w:r w:rsidR="00821449" w:rsidRPr="009C6602">
              <w:rPr>
                <w:rFonts w:asciiTheme="minorHAnsi" w:hAnsiTheme="minorHAnsi" w:cstheme="minorHAnsi"/>
              </w:rPr>
              <w:t>r dizaj</w:t>
            </w:r>
            <w:r w:rsidRPr="009C6602">
              <w:rPr>
                <w:rFonts w:asciiTheme="minorHAnsi" w:hAnsiTheme="minorHAnsi" w:cstheme="minorHAnsi"/>
              </w:rPr>
              <w:t>nimin e sintezave organike shumë</w:t>
            </w:r>
            <w:r w:rsidR="00821449" w:rsidRPr="009C6602">
              <w:rPr>
                <w:rFonts w:asciiTheme="minorHAnsi" w:hAnsiTheme="minorHAnsi" w:cstheme="minorHAnsi"/>
              </w:rPr>
              <w:t>-shkalleshe</w:t>
            </w:r>
            <w:r w:rsidR="009C6602">
              <w:rPr>
                <w:rFonts w:asciiTheme="minorHAnsi" w:hAnsiTheme="minorHAnsi" w:cstheme="minorHAnsi"/>
              </w:rPr>
              <w:t>;</w:t>
            </w:r>
          </w:p>
          <w:p w:rsidR="009C6602" w:rsidRDefault="009C6602" w:rsidP="009C660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2A2F07" w:rsidRPr="009C6602">
              <w:rPr>
                <w:rFonts w:asciiTheme="minorHAnsi" w:hAnsiTheme="minorHAnsi" w:cstheme="minorHAnsi"/>
              </w:rPr>
              <w:t>tudentë</w:t>
            </w:r>
            <w:r w:rsidR="00821449" w:rsidRPr="009C6602">
              <w:rPr>
                <w:rFonts w:asciiTheme="minorHAnsi" w:hAnsiTheme="minorHAnsi" w:cstheme="minorHAnsi"/>
              </w:rPr>
              <w:t>t do t</w:t>
            </w:r>
            <w:r w:rsidR="002A2F07" w:rsidRPr="009C6602">
              <w:rPr>
                <w:rFonts w:asciiTheme="minorHAnsi" w:hAnsiTheme="minorHAnsi" w:cstheme="minorHAnsi"/>
              </w:rPr>
              <w:t>ë fitojnë njohuri mbi nomenklaturën sistematike dhe triviale të</w:t>
            </w:r>
            <w:r w:rsidR="00821449" w:rsidRPr="009C6602">
              <w:rPr>
                <w:rFonts w:asciiTheme="minorHAnsi" w:hAnsiTheme="minorHAnsi" w:cstheme="minorHAnsi"/>
              </w:rPr>
              <w:t xml:space="preserve"> kompoinmeve oranike me </w:t>
            </w:r>
            <w:r w:rsidR="002A2F07" w:rsidRPr="009C6602">
              <w:rPr>
                <w:rFonts w:asciiTheme="minorHAnsi" w:hAnsiTheme="minorHAnsi" w:cstheme="minorHAnsi"/>
              </w:rPr>
              <w:t>rendë</w:t>
            </w:r>
            <w:r w:rsidR="00821449" w:rsidRPr="009C6602">
              <w:rPr>
                <w:rFonts w:asciiTheme="minorHAnsi" w:hAnsiTheme="minorHAnsi" w:cstheme="minorHAnsi"/>
              </w:rPr>
              <w:t>si farmaceutike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821449" w:rsidRPr="009C6602" w:rsidRDefault="002A2F07" w:rsidP="009C660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9C6602">
              <w:rPr>
                <w:rFonts w:asciiTheme="minorHAnsi" w:hAnsiTheme="minorHAnsi" w:cstheme="minorHAnsi"/>
              </w:rPr>
              <w:lastRenderedPageBreak/>
              <w:t>Një rezultat i pritur i këtij kursi është edhe përmirësimin e strategjisë së</w:t>
            </w:r>
            <w:r w:rsidR="00821449" w:rsidRPr="009C6602">
              <w:rPr>
                <w:rFonts w:asciiTheme="minorHAnsi" w:hAnsiTheme="minorHAnsi" w:cstheme="minorHAnsi"/>
              </w:rPr>
              <w:t xml:space="preserve"> mesimit,</w:t>
            </w:r>
            <w:r w:rsidRPr="009C6602">
              <w:rPr>
                <w:rFonts w:asciiTheme="minorHAnsi" w:hAnsiTheme="minorHAnsi" w:cstheme="minorHAnsi"/>
              </w:rPr>
              <w:t xml:space="preserve"> mendimit kritik dhe aftesive pë</w:t>
            </w:r>
            <w:r w:rsidR="00821449" w:rsidRPr="009C6602">
              <w:rPr>
                <w:rFonts w:asciiTheme="minorHAnsi" w:hAnsiTheme="minorHAnsi" w:cstheme="minorHAnsi"/>
              </w:rPr>
              <w:t>r zgjidhjen e problemeve.</w:t>
            </w:r>
          </w:p>
        </w:tc>
      </w:tr>
      <w:tr w:rsidR="002F1ED0" w:rsidRPr="00AB786F" w:rsidTr="00821449">
        <w:tc>
          <w:tcPr>
            <w:tcW w:w="9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2F1ED0" w:rsidRPr="00AB786F" w:rsidTr="00821449">
        <w:trPr>
          <w:trHeight w:val="70"/>
        </w:trPr>
        <w:tc>
          <w:tcPr>
            <w:tcW w:w="9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 xml:space="preserve">Aktiviteti 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Orë mësimore</w:t>
            </w:r>
          </w:p>
        </w:tc>
        <w:tc>
          <w:tcPr>
            <w:tcW w:w="2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Ditë/Javë</w:t>
            </w:r>
          </w:p>
        </w:tc>
        <w:tc>
          <w:tcPr>
            <w:tcW w:w="3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Gjithsej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Ligjëratat 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25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088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30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Teori/Punë në laborator/Ushtrime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Punë praktike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Konsultime me mësimdhënësin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AB786F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AB786F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Puna në terren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786F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786F" w:rsidRPr="00AB786F" w:rsidRDefault="00AB786F" w:rsidP="00AB786F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  <w:shd w:val="clear" w:color="auto" w:fill="FFFFFF"/>
              </w:rPr>
              <w:t>Testi, punimi seminarik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786F" w:rsidRPr="00AB786F" w:rsidRDefault="00AB786F" w:rsidP="00AB786F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786F" w:rsidRPr="00AB786F" w:rsidRDefault="00AB786F" w:rsidP="00AB786F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86F" w:rsidRPr="00AB786F" w:rsidRDefault="00AB786F" w:rsidP="00AB786F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15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Detyrë shtëpie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Mësimi individual (në bibliotekë apo në shtëpi)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AB786F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21449" w:rsidRPr="00AB786F">
              <w:rPr>
                <w:rFonts w:asciiTheme="minorHAnsi" w:hAnsiTheme="minorHAnsi" w:cstheme="minorHAnsi"/>
              </w:rPr>
              <w:t>5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Përgatitja për provimin final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AB786F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21449" w:rsidRPr="00AB786F">
              <w:rPr>
                <w:rFonts w:asciiTheme="minorHAnsi" w:hAnsiTheme="minorHAnsi" w:cstheme="minorHAnsi"/>
              </w:rPr>
              <w:t>5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Koha e vlerësimit (testi, kuizi, provimi final)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2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Projektet, prezantimet, etj.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:rsidR="00821449" w:rsidRPr="00AB786F" w:rsidRDefault="00821449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1ED0" w:rsidRPr="00AB786F" w:rsidTr="00821449">
        <w:trPr>
          <w:trHeight w:val="107"/>
        </w:trPr>
        <w:tc>
          <w:tcPr>
            <w:tcW w:w="3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AB786F" w:rsidP="00821449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</w:tr>
      <w:tr w:rsidR="002F1ED0" w:rsidRPr="00AB786F" w:rsidTr="00821449">
        <w:tc>
          <w:tcPr>
            <w:tcW w:w="9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821449" w:rsidRPr="00AB786F" w:rsidRDefault="00821449" w:rsidP="0082144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6318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Ligjerata, ushtrime përmes punës në grupe, seminare, mësimi i vetëdrejtuar, workshop.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AC" w:rsidRDefault="004B3CAC" w:rsidP="0082144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 </w:t>
            </w:r>
            <w:r w:rsidR="00821449" w:rsidRPr="00AB786F">
              <w:rPr>
                <w:rFonts w:asciiTheme="minorHAnsi" w:hAnsiTheme="minorHAnsi" w:cstheme="minorHAnsi"/>
              </w:rPr>
              <w:t xml:space="preserve">Kolokfium </w:t>
            </w:r>
            <w:r>
              <w:rPr>
                <w:rFonts w:asciiTheme="minorHAnsi" w:hAnsiTheme="minorHAnsi" w:cstheme="minorHAnsi"/>
              </w:rPr>
              <w:t>&gt; 51</w:t>
            </w:r>
            <w:r w:rsidR="00821449" w:rsidRPr="00AB786F">
              <w:rPr>
                <w:rFonts w:asciiTheme="minorHAnsi" w:hAnsiTheme="minorHAnsi" w:cstheme="minorHAnsi"/>
              </w:rPr>
              <w:t xml:space="preserve">%; vijimi i rregullt </w:t>
            </w:r>
            <w:r>
              <w:rPr>
                <w:rFonts w:asciiTheme="minorHAnsi" w:hAnsiTheme="minorHAnsi" w:cstheme="minorHAnsi"/>
              </w:rPr>
              <w:t>5</w:t>
            </w:r>
            <w:r w:rsidR="00821449" w:rsidRPr="00AB786F">
              <w:rPr>
                <w:rFonts w:asciiTheme="minorHAnsi" w:hAnsiTheme="minorHAnsi" w:cstheme="minorHAnsi"/>
              </w:rPr>
              <w:t>%</w:t>
            </w:r>
            <w:r w:rsidR="00F429A2">
              <w:rPr>
                <w:rFonts w:asciiTheme="minorHAnsi" w:hAnsiTheme="minorHAnsi" w:cstheme="minorHAnsi"/>
              </w:rPr>
              <w:t>/aktiviteti 5%</w:t>
            </w:r>
            <w:r>
              <w:rPr>
                <w:rFonts w:asciiTheme="minorHAnsi" w:hAnsiTheme="minorHAnsi" w:cstheme="minorHAnsi"/>
              </w:rPr>
              <w:t xml:space="preserve"> nese &gt;95%</w:t>
            </w:r>
            <w:r w:rsidR="00821449" w:rsidRPr="00AB786F">
              <w:rPr>
                <w:rFonts w:asciiTheme="minorHAnsi" w:hAnsiTheme="minorHAnsi" w:cstheme="minorHAnsi"/>
              </w:rPr>
              <w:t>;</w:t>
            </w:r>
          </w:p>
          <w:p w:rsidR="004B3CAC" w:rsidRDefault="004B3CAC" w:rsidP="0082144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ose </w:t>
            </w:r>
          </w:p>
          <w:p w:rsidR="00821449" w:rsidRPr="00AB786F" w:rsidRDefault="00821449" w:rsidP="00821449">
            <w:pPr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 </w:t>
            </w:r>
            <w:r w:rsidR="004B3CAC">
              <w:rPr>
                <w:rFonts w:asciiTheme="minorHAnsi" w:hAnsiTheme="minorHAnsi" w:cstheme="minorHAnsi"/>
              </w:rPr>
              <w:t>P</w:t>
            </w:r>
            <w:r w:rsidRPr="00AB786F">
              <w:rPr>
                <w:rFonts w:asciiTheme="minorHAnsi" w:hAnsiTheme="minorHAnsi" w:cstheme="minorHAnsi"/>
              </w:rPr>
              <w:t xml:space="preserve">rovimi final </w:t>
            </w:r>
            <w:r w:rsidR="004B3CAC">
              <w:rPr>
                <w:rFonts w:asciiTheme="minorHAnsi" w:hAnsiTheme="minorHAnsi" w:cstheme="minorHAnsi"/>
              </w:rPr>
              <w:t>&gt;51%;</w:t>
            </w:r>
            <w:r w:rsidR="004B3CAC" w:rsidRPr="00AB786F">
              <w:rPr>
                <w:rFonts w:asciiTheme="minorHAnsi" w:hAnsiTheme="minorHAnsi" w:cstheme="minorHAnsi"/>
              </w:rPr>
              <w:t xml:space="preserve"> </w:t>
            </w:r>
            <w:r w:rsidR="00F429A2" w:rsidRPr="00AB786F">
              <w:rPr>
                <w:rFonts w:asciiTheme="minorHAnsi" w:hAnsiTheme="minorHAnsi" w:cstheme="minorHAnsi"/>
              </w:rPr>
              <w:t xml:space="preserve">vijimi i rregullt </w:t>
            </w:r>
            <w:r w:rsidR="00F429A2">
              <w:rPr>
                <w:rFonts w:asciiTheme="minorHAnsi" w:hAnsiTheme="minorHAnsi" w:cstheme="minorHAnsi"/>
              </w:rPr>
              <w:t>5</w:t>
            </w:r>
            <w:r w:rsidR="00F429A2" w:rsidRPr="00AB786F">
              <w:rPr>
                <w:rFonts w:asciiTheme="minorHAnsi" w:hAnsiTheme="minorHAnsi" w:cstheme="minorHAnsi"/>
              </w:rPr>
              <w:t>%</w:t>
            </w:r>
            <w:r w:rsidR="00F429A2">
              <w:rPr>
                <w:rFonts w:asciiTheme="minorHAnsi" w:hAnsiTheme="minorHAnsi" w:cstheme="minorHAnsi"/>
              </w:rPr>
              <w:t>/aktiviteti</w:t>
            </w:r>
            <w:r w:rsidR="00F429A2">
              <w:rPr>
                <w:rFonts w:asciiTheme="minorHAnsi" w:hAnsiTheme="minorHAnsi" w:cstheme="minorHAnsi"/>
              </w:rPr>
              <w:t xml:space="preserve"> </w:t>
            </w:r>
            <w:r w:rsidR="00F429A2">
              <w:rPr>
                <w:rFonts w:asciiTheme="minorHAnsi" w:hAnsiTheme="minorHAnsi" w:cstheme="minorHAnsi"/>
              </w:rPr>
              <w:t xml:space="preserve">5% </w:t>
            </w:r>
            <w:r w:rsidR="004B3CAC">
              <w:rPr>
                <w:rFonts w:asciiTheme="minorHAnsi" w:hAnsiTheme="minorHAnsi" w:cstheme="minorHAnsi"/>
              </w:rPr>
              <w:t xml:space="preserve"> nese &gt;95%</w:t>
            </w:r>
            <w:r w:rsidR="004B3CAC" w:rsidRPr="00AB786F">
              <w:rPr>
                <w:rFonts w:asciiTheme="minorHAnsi" w:hAnsiTheme="minorHAnsi" w:cstheme="minorHAnsi"/>
              </w:rPr>
              <w:t>;</w:t>
            </w:r>
            <w:r w:rsidRPr="00AB786F">
              <w:rPr>
                <w:rFonts w:asciiTheme="minorHAnsi" w:hAnsiTheme="minorHAnsi" w:cstheme="minorHAnsi"/>
              </w:rPr>
              <w:tab/>
              <w:t xml:space="preserve">          </w:t>
            </w:r>
          </w:p>
        </w:tc>
      </w:tr>
      <w:tr w:rsidR="002F1ED0" w:rsidRPr="00AB786F" w:rsidTr="00821449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821449" w:rsidRPr="00AB786F" w:rsidRDefault="00821449" w:rsidP="00821449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F1ED0" w:rsidRPr="00AB786F" w:rsidTr="00821449">
        <w:trPr>
          <w:trHeight w:val="45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Nomenclature of Organic Chemistry, Sections A, B, C, D, E, F, and H, Pergamon Press, Oxford, 1979. </w:t>
            </w:r>
          </w:p>
          <w:p w:rsidR="00821449" w:rsidRPr="00AB786F" w:rsidRDefault="00821449" w:rsidP="008214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Jie Jack Li , Douglas S. Johnson Drago R. Sliskovic Bruce D. Roth. Contemporary Drug Synthesis, Wiley-Ingterscience. USA. 2004. ISBN-13: 978-0471214809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49" w:rsidRPr="00AB786F" w:rsidRDefault="00821449" w:rsidP="008214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Herbert Bartsch. Die systematische Nomenklatur organischer Arzneistoffe. Springer, 2013</w:t>
            </w:r>
          </w:p>
          <w:p w:rsidR="00821449" w:rsidRPr="00AB786F" w:rsidRDefault="00821449" w:rsidP="007E76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Maria Del Carmen Avendaño Lopez Introduccion a la Quimica farmaceutica. 2nd Edition. MCGRAW-HILL, 2001. ISBN 9788448603618</w:t>
            </w:r>
          </w:p>
        </w:tc>
      </w:tr>
      <w:tr w:rsidR="002F1ED0" w:rsidRPr="00AB786F" w:rsidTr="0082144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21449" w:rsidRPr="00AB786F" w:rsidRDefault="00821449" w:rsidP="00821449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AB786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21449" w:rsidRPr="00AB786F" w:rsidRDefault="00821449" w:rsidP="008214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"/>
        <w:gridCol w:w="4819"/>
        <w:gridCol w:w="3543"/>
      </w:tblGrid>
      <w:tr w:rsidR="009C6602" w:rsidRPr="00AB786F" w:rsidTr="009C6602">
        <w:trPr>
          <w:trHeight w:val="283"/>
        </w:trPr>
        <w:tc>
          <w:tcPr>
            <w:tcW w:w="58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Hartimi i planit mësimor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Rezultatet e pritshme të nxënies</w:t>
            </w:r>
            <w:r>
              <w:rPr>
                <w:rFonts w:asciiTheme="minorHAnsi" w:hAnsiTheme="minorHAnsi" w:cstheme="minorHAnsi"/>
                <w:b/>
              </w:rPr>
              <w:t xml:space="preserve"> (SLO)</w:t>
            </w:r>
            <w:r w:rsidRPr="00AB786F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</w:rPr>
              <w:t xml:space="preserve">Titulli i ligjeratës 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1:</w:t>
            </w: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Hyrja, njoftimi me lëndën ( prezentimi i Syllabusit )  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1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lastRenderedPageBreak/>
              <w:t>Java 2: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Klasat e komponimeve organike me rendesi terapeutike: hidrokarburet e ngopura dhe te pa ngopura, komponimet aromatike, alkilhalogjenuret,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1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3</w:t>
            </w:r>
            <w:r w:rsidRPr="00AB786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>Efekti mezomerik dhe induktiv, energjetika dhe kinetika , fortesia e acideve dhe bazave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1-2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4: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 xml:space="preserve">Mekanizmat e reaksioneve (reaksionet e substituimit nukleofil, reaksionet e eliminimit, lidhjet shumfishe karbon-heteroatom,  reaksionet e substituimit ne sistemet aromatike,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2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5: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>Oksidimet, reduktimet, transpozicionimet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2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6</w:t>
            </w:r>
            <w:r w:rsidRPr="00AB786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Konvertimi ne grupe tjera funksionale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2-3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7: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>Sinteza e komponimeve heterociklike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3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8: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>Nomenklatura sistematike e hidrokarbureve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9: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AB786F">
              <w:rPr>
                <w:rFonts w:asciiTheme="minorHAnsi" w:hAnsiTheme="minorHAnsi" w:cstheme="minorHAnsi"/>
              </w:rPr>
              <w:t>omenklatura e sistemeve te zevendesuara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10: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Nomenklatura e hidrokarbureve te fuzionuara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11</w:t>
            </w:r>
            <w:r w:rsidRPr="00AB786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Nomenklatura e heterocikleve nje apo me shume unazore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12</w:t>
            </w:r>
            <w:r w:rsidRPr="00AB786F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Nomenklatura e komponimeve spiro dhe unazore me ure lidhese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13</w:t>
            </w:r>
            <w:r w:rsidRPr="00AB786F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Nomenklatura stereokimike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4-5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14</w:t>
            </w:r>
            <w:r w:rsidRPr="00AB786F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ind w:right="225"/>
              <w:rPr>
                <w:rFonts w:asciiTheme="minorHAnsi" w:hAnsiTheme="minorHAnsi" w:cstheme="minorHAnsi"/>
                <w:bCs/>
              </w:rPr>
            </w:pPr>
            <w:r w:rsidRPr="00AB786F">
              <w:rPr>
                <w:rFonts w:asciiTheme="minorHAnsi" w:hAnsiTheme="minorHAnsi" w:cstheme="minorHAnsi"/>
              </w:rPr>
              <w:t>Nomenklatura e hidrokarbureve terpenike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ind w:right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 4-5</w:t>
            </w:r>
          </w:p>
        </w:tc>
      </w:tr>
      <w:tr w:rsidR="009C6602" w:rsidRPr="00AB786F" w:rsidTr="009C660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after="0" w:line="240" w:lineRule="exact"/>
              <w:rPr>
                <w:rFonts w:asciiTheme="minorHAnsi" w:hAnsiTheme="minorHAnsi" w:cstheme="minorHAnsi"/>
                <w:b/>
                <w:i/>
              </w:rPr>
            </w:pPr>
            <w:r w:rsidRPr="00AB786F">
              <w:rPr>
                <w:rFonts w:asciiTheme="minorHAnsi" w:hAnsiTheme="minorHAnsi" w:cstheme="minorHAnsi"/>
                <w:b/>
                <w:i/>
              </w:rPr>
              <w:t>Java 15</w:t>
            </w:r>
            <w:r w:rsidRPr="00AB786F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>Kollok</w:t>
            </w:r>
            <w:r>
              <w:rPr>
                <w:rFonts w:asciiTheme="minorHAnsi" w:hAnsiTheme="minorHAnsi" w:cstheme="minorHAnsi"/>
              </w:rPr>
              <w:t>f</w:t>
            </w:r>
            <w:r w:rsidRPr="00AB786F">
              <w:rPr>
                <w:rFonts w:asciiTheme="minorHAnsi" w:hAnsiTheme="minorHAnsi" w:cstheme="minorHAnsi"/>
              </w:rPr>
              <w:t xml:space="preserve">iumi.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02" w:rsidRPr="00AB786F" w:rsidRDefault="009C6602" w:rsidP="009C660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3E71A5" w:rsidRPr="00AB786F" w:rsidRDefault="003E71A5" w:rsidP="003E71A5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:rsidR="003E71A5" w:rsidRPr="00AB786F" w:rsidRDefault="003E71A5" w:rsidP="003E71A5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2F1ED0" w:rsidRPr="00AB786F" w:rsidTr="00F6311E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3E71A5" w:rsidRPr="00AB786F" w:rsidRDefault="003E71A5" w:rsidP="00F6311E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505257718"/>
            <w:r w:rsidRPr="00AB786F">
              <w:rPr>
                <w:rFonts w:asciiTheme="minorHAnsi" w:hAnsiTheme="minorHAnsi" w:cstheme="minorHAnsi"/>
                <w:b/>
              </w:rPr>
              <w:t>Politikat akademike dhe Kodi i Sjelljes</w:t>
            </w:r>
            <w:bookmarkEnd w:id="0"/>
          </w:p>
        </w:tc>
      </w:tr>
      <w:tr w:rsidR="003E71A5" w:rsidRPr="00AB786F" w:rsidTr="00F6311E">
        <w:trPr>
          <w:trHeight w:val="1088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A5" w:rsidRPr="00AB786F" w:rsidRDefault="003E71A5" w:rsidP="00F6311E">
            <w:pPr>
              <w:spacing w:after="0" w:line="240" w:lineRule="exact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  <w:p w:rsidR="003E71A5" w:rsidRPr="00AB786F" w:rsidRDefault="003E71A5" w:rsidP="003E71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Këshilli i njësisë akademike i përjashton nga Universiteti përgjithmonë ose përkohësisht studentët që i shkelin rëndë rregullat. Studentët e akuzuar për shkelje kanë të drejtë të dëgjohen nga komisioni disiplinor i cili e këshillon këshillin e njësisë akademike. Studentët e përjashtuar kanë të drejtë t’i ankohen Senatit i cili mund të konfirmojë ose të refuzojë vendimin e këshillit të njësisë akademike. </w:t>
            </w:r>
          </w:p>
          <w:p w:rsidR="003E71A5" w:rsidRPr="00AB786F" w:rsidRDefault="003E71A5" w:rsidP="003E71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Rregulloret që i elaborojnë këto procedura nxirren nga Senati pasi të jenë konsultuar me parlamentin e studentëve. </w:t>
            </w:r>
          </w:p>
          <w:p w:rsidR="003E71A5" w:rsidRPr="00AB786F" w:rsidRDefault="003E71A5" w:rsidP="003E71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Studentët kanë të drejtë të ankohen kundër vendimit të marrë prej organeve të Universitetit, të njësive akademike dhe njësive organizative që kanë të bëjnë me të drejtat, obligimet dhe përgjegjësitë e tyre. </w:t>
            </w:r>
          </w:p>
          <w:p w:rsidR="003E71A5" w:rsidRPr="00AB786F" w:rsidRDefault="003E71A5" w:rsidP="003E71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t xml:space="preserve">Ankesat e tilla i dorëzohen komisionit të studimeve të njësisë akademike brenda 15 ditëve të punës pas shpalljes së vendimit. </w:t>
            </w:r>
          </w:p>
          <w:p w:rsidR="003E71A5" w:rsidRPr="00AB786F" w:rsidRDefault="003E71A5" w:rsidP="003E71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786F">
              <w:rPr>
                <w:rFonts w:asciiTheme="minorHAnsi" w:hAnsiTheme="minorHAnsi" w:cstheme="minorHAnsi"/>
              </w:rPr>
              <w:lastRenderedPageBreak/>
              <w:t xml:space="preserve">Komisioni i studimeve është i obliguar t’ia dorëzojë raportin për vendimin e marrë këshillit të njësisë akademike brenda 30 ditëve të punës pas pranimit të ankesës. </w:t>
            </w:r>
          </w:p>
          <w:p w:rsidR="003E71A5" w:rsidRPr="00AB786F" w:rsidRDefault="003E71A5" w:rsidP="003E71A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AB786F">
              <w:rPr>
                <w:rFonts w:asciiTheme="minorHAnsi" w:hAnsiTheme="minorHAnsi" w:cstheme="minorHAnsi"/>
              </w:rPr>
              <w:t>Ankesa rreth vendimit në shkallë të parë vendoset nga Senati.</w:t>
            </w:r>
          </w:p>
        </w:tc>
      </w:tr>
    </w:tbl>
    <w:p w:rsidR="003E71A5" w:rsidRPr="00AB786F" w:rsidRDefault="003E71A5" w:rsidP="003E71A5">
      <w:pPr>
        <w:jc w:val="both"/>
        <w:rPr>
          <w:rFonts w:asciiTheme="minorHAnsi" w:hAnsiTheme="minorHAnsi" w:cstheme="minorHAnsi"/>
          <w:b/>
        </w:rPr>
      </w:pPr>
    </w:p>
    <w:p w:rsidR="0045065A" w:rsidRPr="00AB786F" w:rsidRDefault="0045065A">
      <w:pPr>
        <w:rPr>
          <w:rFonts w:asciiTheme="minorHAnsi" w:hAnsiTheme="minorHAnsi" w:cstheme="minorHAnsi"/>
        </w:rPr>
      </w:pPr>
    </w:p>
    <w:p w:rsidR="0054552D" w:rsidRPr="00AB786F" w:rsidRDefault="0054552D">
      <w:pPr>
        <w:rPr>
          <w:rFonts w:asciiTheme="minorHAnsi" w:hAnsiTheme="minorHAnsi" w:cstheme="minorHAnsi"/>
        </w:rPr>
      </w:pPr>
    </w:p>
    <w:sectPr w:rsidR="0054552D" w:rsidRPr="00AB7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1B4"/>
    <w:multiLevelType w:val="hybridMultilevel"/>
    <w:tmpl w:val="4D4C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F95"/>
    <w:multiLevelType w:val="hybridMultilevel"/>
    <w:tmpl w:val="40985B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8A5B29"/>
    <w:multiLevelType w:val="hybridMultilevel"/>
    <w:tmpl w:val="08A06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0C91"/>
    <w:multiLevelType w:val="hybridMultilevel"/>
    <w:tmpl w:val="76C847E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462D9"/>
    <w:multiLevelType w:val="hybridMultilevel"/>
    <w:tmpl w:val="9C7A7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C1A6A"/>
    <w:multiLevelType w:val="hybridMultilevel"/>
    <w:tmpl w:val="27F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551E"/>
    <w:multiLevelType w:val="hybridMultilevel"/>
    <w:tmpl w:val="4718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79861">
    <w:abstractNumId w:val="4"/>
  </w:num>
  <w:num w:numId="2" w16cid:durableId="2103065280">
    <w:abstractNumId w:val="0"/>
  </w:num>
  <w:num w:numId="3" w16cid:durableId="791480278">
    <w:abstractNumId w:val="1"/>
  </w:num>
  <w:num w:numId="4" w16cid:durableId="1692298583">
    <w:abstractNumId w:val="2"/>
  </w:num>
  <w:num w:numId="5" w16cid:durableId="892694687">
    <w:abstractNumId w:val="5"/>
  </w:num>
  <w:num w:numId="6" w16cid:durableId="1186292730">
    <w:abstractNumId w:val="6"/>
  </w:num>
  <w:num w:numId="7" w16cid:durableId="7721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5A"/>
    <w:rsid w:val="000B15C3"/>
    <w:rsid w:val="000B1C34"/>
    <w:rsid w:val="0017651D"/>
    <w:rsid w:val="002A2F07"/>
    <w:rsid w:val="002F1ED0"/>
    <w:rsid w:val="003E71A5"/>
    <w:rsid w:val="0045065A"/>
    <w:rsid w:val="00452287"/>
    <w:rsid w:val="004B3CAC"/>
    <w:rsid w:val="00532C9C"/>
    <w:rsid w:val="0054552D"/>
    <w:rsid w:val="007E761E"/>
    <w:rsid w:val="00821449"/>
    <w:rsid w:val="009874D6"/>
    <w:rsid w:val="009C6602"/>
    <w:rsid w:val="00AB786F"/>
    <w:rsid w:val="00C838C2"/>
    <w:rsid w:val="00F073B2"/>
    <w:rsid w:val="00F429A2"/>
    <w:rsid w:val="00F43556"/>
    <w:rsid w:val="00F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93E3B"/>
  <w15:chartTrackingRefBased/>
  <w15:docId w15:val="{979B0B8F-D73C-4009-B0C1-3CCFD7FD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5A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5065A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3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dan.hetemi@uni-pr.edu" TargetMode="External"/><Relationship Id="rId5" Type="http://schemas.openxmlformats.org/officeDocument/2006/relationships/hyperlink" Target="mailto:pranvera.breznic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Ermal Hetemi</cp:lastModifiedBy>
  <cp:revision>9</cp:revision>
  <cp:lastPrinted>2025-01-19T16:34:00Z</cp:lastPrinted>
  <dcterms:created xsi:type="dcterms:W3CDTF">2021-02-22T10:30:00Z</dcterms:created>
  <dcterms:modified xsi:type="dcterms:W3CDTF">2026-03-03T21:27:00Z</dcterms:modified>
</cp:coreProperties>
</file>