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1E" w:rsidRPr="000B01A3" w:rsidRDefault="004C271E" w:rsidP="004C271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Syllabuset</w:t>
      </w:r>
      <w:proofErr w:type="spellEnd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65"/>
        <w:gridCol w:w="1980"/>
        <w:gridCol w:w="1620"/>
        <w:gridCol w:w="2070"/>
        <w:gridCol w:w="1170"/>
        <w:gridCol w:w="1283"/>
      </w:tblGrid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C271E" w:rsidRPr="000B01A3" w:rsidRDefault="004C271E" w:rsidP="00AF42D6">
            <w:pPr>
              <w:tabs>
                <w:tab w:val="left" w:pos="21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Lënda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="00516B0A">
              <w:rPr>
                <w:rFonts w:ascii="Times New Roman" w:eastAsia="Times New Roman" w:hAnsi="Times New Roman" w:cs="Times New Roman"/>
                <w:b/>
              </w:rPr>
              <w:t>Gjinekologji</w:t>
            </w:r>
            <w:proofErr w:type="spellEnd"/>
            <w:r w:rsidR="00516B0A">
              <w:rPr>
                <w:rFonts w:ascii="Times New Roman" w:eastAsia="Times New Roman" w:hAnsi="Times New Roman" w:cs="Times New Roman"/>
                <w:b/>
              </w:rPr>
              <w:t xml:space="preserve"> me </w:t>
            </w:r>
            <w:proofErr w:type="spellStart"/>
            <w:r w:rsidR="00516B0A">
              <w:rPr>
                <w:rFonts w:ascii="Times New Roman" w:eastAsia="Times New Roman" w:hAnsi="Times New Roman" w:cs="Times New Roman"/>
                <w:b/>
              </w:rPr>
              <w:t>Obstetrike</w:t>
            </w:r>
            <w:proofErr w:type="spellEnd"/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ECTS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kredi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516B0A">
              <w:rPr>
                <w:rFonts w:ascii="Times New Roman" w:eastAsia="Times New Roman" w:hAnsi="Times New Roman" w:cs="Times New Roman"/>
              </w:rPr>
              <w:t>3</w:t>
            </w:r>
            <w:r w:rsidR="008A1E6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F7D" w:rsidRDefault="00BA3F7D" w:rsidP="00BA3F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Profesoret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  <w:r w:rsidRPr="00393ED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93ED1">
              <w:rPr>
                <w:rFonts w:ascii="Times New Roman" w:eastAsia="Times New Roman" w:hAnsi="Times New Roman" w:cs="Times New Roman"/>
              </w:rPr>
              <w:t>Prof.</w:t>
            </w:r>
            <w:r>
              <w:rPr>
                <w:rFonts w:ascii="Times New Roman" w:eastAsia="Times New Roman" w:hAnsi="Times New Roman" w:cs="Times New Roman"/>
              </w:rPr>
              <w:t>Ass.Dr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Vlora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Ademi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Ibishi</w:t>
            </w:r>
            <w:proofErr w:type="spellEnd"/>
          </w:p>
          <w:p w:rsidR="004C271E" w:rsidRPr="000B01A3" w:rsidRDefault="00BA3F7D" w:rsidP="00BA3F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Prof.Ass.Dr.Brikene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Dacaj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Elshani</w:t>
            </w:r>
            <w:proofErr w:type="spellEnd"/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t>Përmbajtja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4C271E" w:rsidRPr="000B01A3" w:rsidRDefault="004C271E" w:rsidP="00AF42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0B01A3">
              <w:rPr>
                <w:rFonts w:ascii="Times New Roman" w:eastAsia="Times New Roman" w:hAnsi="Times New Roman" w:cs="Times New Roman"/>
              </w:rPr>
              <w:t>Lënda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Gjinekologji</w:t>
            </w:r>
            <w:proofErr w:type="spellEnd"/>
            <w:proofErr w:type="gramEnd"/>
            <w:r w:rsidR="00516B0A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Obstetrike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do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t’u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ofroj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studentëve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njohuritë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themelore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anatomia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fiziologjia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semundjet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te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shpeshta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te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t</w:t>
            </w:r>
            <w:r w:rsidR="00655044">
              <w:rPr>
                <w:rFonts w:ascii="Times New Roman" w:eastAsia="Times New Roman" w:hAnsi="Times New Roman" w:cs="Times New Roman"/>
              </w:rPr>
              <w:t>raktit</w:t>
            </w:r>
            <w:proofErr w:type="spellEnd"/>
            <w:r w:rsidR="006550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363170">
              <w:rPr>
                <w:rFonts w:ascii="Times New Roman" w:eastAsia="Times New Roman" w:hAnsi="Times New Roman" w:cs="Times New Roman"/>
              </w:rPr>
              <w:t>r</w:t>
            </w:r>
            <w:r w:rsidR="00516B0A">
              <w:rPr>
                <w:rFonts w:ascii="Times New Roman" w:eastAsia="Times New Roman" w:hAnsi="Times New Roman" w:cs="Times New Roman"/>
              </w:rPr>
              <w:t>eproduktiv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="00516B0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16B0A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="006550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5044">
              <w:rPr>
                <w:rFonts w:ascii="Times New Roman" w:eastAsia="Times New Roman" w:hAnsi="Times New Roman" w:cs="Times New Roman"/>
              </w:rPr>
              <w:t>njohuri</w:t>
            </w:r>
            <w:proofErr w:type="spellEnd"/>
            <w:r w:rsidR="006550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5044">
              <w:rPr>
                <w:rFonts w:ascii="Times New Roman" w:eastAsia="Times New Roman" w:hAnsi="Times New Roman" w:cs="Times New Roman"/>
              </w:rPr>
              <w:t>baze</w:t>
            </w:r>
            <w:proofErr w:type="spellEnd"/>
            <w:r w:rsidR="00655044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="00363170">
              <w:rPr>
                <w:rFonts w:ascii="Times New Roman" w:eastAsia="Times New Roman" w:hAnsi="Times New Roman" w:cs="Times New Roman"/>
              </w:rPr>
              <w:t>shendetin</w:t>
            </w:r>
            <w:proofErr w:type="spellEnd"/>
            <w:r w:rsidR="00363170">
              <w:rPr>
                <w:rFonts w:ascii="Times New Roman" w:eastAsia="Times New Roman" w:hAnsi="Times New Roman" w:cs="Times New Roman"/>
              </w:rPr>
              <w:t xml:space="preserve"> oral </w:t>
            </w:r>
            <w:proofErr w:type="spellStart"/>
            <w:r w:rsidR="00363170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="00363170">
              <w:rPr>
                <w:rFonts w:ascii="Times New Roman" w:eastAsia="Times New Roman" w:hAnsi="Times New Roman" w:cs="Times New Roman"/>
              </w:rPr>
              <w:t xml:space="preserve"> dental ne </w:t>
            </w:r>
            <w:proofErr w:type="spellStart"/>
            <w:r w:rsidR="00655044">
              <w:rPr>
                <w:rFonts w:ascii="Times New Roman" w:eastAsia="Times New Roman" w:hAnsi="Times New Roman" w:cs="Times New Roman"/>
              </w:rPr>
              <w:t>shtatezenine</w:t>
            </w:r>
            <w:proofErr w:type="spellEnd"/>
            <w:r w:rsidR="006550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5044">
              <w:rPr>
                <w:rFonts w:ascii="Times New Roman" w:eastAsia="Times New Roman" w:hAnsi="Times New Roman" w:cs="Times New Roman"/>
              </w:rPr>
              <w:t>nor</w:t>
            </w:r>
            <w:r w:rsidR="00363170">
              <w:rPr>
                <w:rFonts w:ascii="Times New Roman" w:eastAsia="Times New Roman" w:hAnsi="Times New Roman" w:cs="Times New Roman"/>
              </w:rPr>
              <w:t>m</w:t>
            </w:r>
            <w:r w:rsidR="00655044">
              <w:rPr>
                <w:rFonts w:ascii="Times New Roman" w:eastAsia="Times New Roman" w:hAnsi="Times New Roman" w:cs="Times New Roman"/>
              </w:rPr>
              <w:t>ale</w:t>
            </w:r>
            <w:proofErr w:type="spellEnd"/>
            <w:r w:rsidR="006550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55044">
              <w:rPr>
                <w:rFonts w:ascii="Times New Roman" w:eastAsia="Times New Roman" w:hAnsi="Times New Roman" w:cs="Times New Roman"/>
              </w:rPr>
              <w:t>dhe</w:t>
            </w:r>
            <w:proofErr w:type="spellEnd"/>
            <w:r w:rsidR="00655044">
              <w:rPr>
                <w:rFonts w:ascii="Times New Roman" w:eastAsia="Times New Roman" w:hAnsi="Times New Roman" w:cs="Times New Roman"/>
              </w:rPr>
              <w:t xml:space="preserve"> </w:t>
            </w:r>
            <w:r w:rsidR="00363170">
              <w:rPr>
                <w:rFonts w:ascii="Times New Roman" w:eastAsia="Times New Roman" w:hAnsi="Times New Roman" w:cs="Times New Roman"/>
              </w:rPr>
              <w:t xml:space="preserve">ate </w:t>
            </w:r>
            <w:proofErr w:type="spellStart"/>
            <w:r w:rsidR="00655044">
              <w:rPr>
                <w:rFonts w:ascii="Times New Roman" w:eastAsia="Times New Roman" w:hAnsi="Times New Roman" w:cs="Times New Roman"/>
              </w:rPr>
              <w:t>patologjike</w:t>
            </w:r>
            <w:proofErr w:type="spellEnd"/>
            <w:r w:rsidR="0036317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16B0A" w:rsidRPr="008A1E6F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>Qëllimet dhe rezultatet e të mësuarit:</w:t>
            </w:r>
          </w:p>
          <w:p w:rsidR="00516B0A" w:rsidRPr="00516B0A" w:rsidRDefault="00516B0A" w:rsidP="00655044">
            <w:pPr>
              <w:rPr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lang w:val="de-DE"/>
              </w:rPr>
              <w:t>Qëllimi i lëndës Gjinekologji me Obstetrikë është të ju</w:t>
            </w:r>
            <w:r w:rsidR="00E07EEF">
              <w:rPr>
                <w:rFonts w:ascii="Times New Roman" w:eastAsia="Times New Roman" w:hAnsi="Times New Roman" w:cs="Times New Roman"/>
                <w:lang w:val="de-DE"/>
              </w:rPr>
              <w:t xml:space="preserve"> mesoj studenteve njohurite baze lidhur me </w:t>
            </w:r>
            <w:r w:rsidR="00655044">
              <w:rPr>
                <w:lang w:val="de-DE"/>
              </w:rPr>
              <w:t>anatomine e traktit gjenital, cikli</w:t>
            </w:r>
            <w:r w:rsidR="00E07EEF">
              <w:rPr>
                <w:lang w:val="de-DE"/>
              </w:rPr>
              <w:t xml:space="preserve">n menstrual, </w:t>
            </w:r>
            <w:r w:rsidR="00655044">
              <w:rPr>
                <w:lang w:val="de-DE"/>
              </w:rPr>
              <w:t>semundjet inflamatore dhe onkologjike ne gjinekologji, shtatezenine normale dhe ate patologjike</w:t>
            </w:r>
            <w:r w:rsidR="00E07EEF">
              <w:rPr>
                <w:lang w:val="de-DE"/>
              </w:rPr>
              <w:t xml:space="preserve"> dhe shendetin oral, problemet me te shpeshta gjinekologji</w:t>
            </w:r>
            <w:r w:rsidR="00363170">
              <w:rPr>
                <w:lang w:val="de-DE"/>
              </w:rPr>
              <w:t>k</w:t>
            </w:r>
            <w:r w:rsidR="00E07EEF">
              <w:rPr>
                <w:lang w:val="de-DE"/>
              </w:rPr>
              <w:t xml:space="preserve">e dhe obstetrike ne lidhje me shendetin dental, llojet e trajtimeve dentale me te shpeshta ne shtatzeni, ndryshimet fiziologjike ne kavitetin oral qe shoqerojne shtatezenine , infeksionet dhe kariesi dental ne shtatezeni, procedurat dentale, </w:t>
            </w:r>
            <w:r w:rsidR="00655044">
              <w:rPr>
                <w:lang w:val="de-DE"/>
              </w:rPr>
              <w:t>medikamentet ne shtatezeni dhe laktacion ne procedurat stomatologjike</w:t>
            </w:r>
            <w:r w:rsidR="00E07EEF">
              <w:rPr>
                <w:lang w:val="de-DE"/>
              </w:rPr>
              <w:t xml:space="preserve">, anestezioni lokal </w:t>
            </w:r>
            <w:r w:rsidR="00655044">
              <w:rPr>
                <w:lang w:val="de-DE"/>
              </w:rPr>
              <w:t xml:space="preserve"> </w:t>
            </w:r>
            <w:r w:rsidR="00E07EEF">
              <w:rPr>
                <w:lang w:val="de-DE"/>
              </w:rPr>
              <w:t xml:space="preserve">si </w:t>
            </w:r>
            <w:r w:rsidR="00655044">
              <w:rPr>
                <w:lang w:val="de-DE"/>
              </w:rPr>
              <w:t>dhe intervenimet ne hapsiren orale gjate shtatzenise dhe ne lehoni</w:t>
            </w:r>
            <w:r w:rsidR="00E07EEF">
              <w:rPr>
                <w:lang w:val="de-DE"/>
              </w:rPr>
              <w:t xml:space="preserve"> si dhe kujdesin dental ne shtatezeni dhe pas lindjes.</w:t>
            </w:r>
          </w:p>
          <w:p w:rsidR="00516B0A" w:rsidRPr="00516B0A" w:rsidRDefault="00516B0A" w:rsidP="00516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lang w:val="de-DE"/>
              </w:rPr>
              <w:t>Pas përfundimit të mësimit studenti duhet të jetë në gjendje të:</w:t>
            </w:r>
          </w:p>
          <w:p w:rsidR="00516B0A" w:rsidRPr="00516B0A" w:rsidRDefault="00516B0A" w:rsidP="00516B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lang w:val="de-DE"/>
              </w:rPr>
              <w:t>Përshkruaj karakteristikat themelore anatomike të traktit gjenital femëror</w:t>
            </w:r>
            <w:r w:rsidR="00363170">
              <w:rPr>
                <w:rFonts w:ascii="Times New Roman" w:eastAsia="Times New Roman" w:hAnsi="Times New Roman" w:cs="Times New Roman"/>
                <w:lang w:val="de-DE"/>
              </w:rPr>
              <w:t>.</w:t>
            </w:r>
          </w:p>
          <w:p w:rsidR="00516B0A" w:rsidRPr="00363170" w:rsidRDefault="00E07EEF" w:rsidP="00516B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363170">
              <w:rPr>
                <w:rFonts w:ascii="Times New Roman" w:eastAsia="Times New Roman" w:hAnsi="Times New Roman" w:cs="Times New Roman"/>
                <w:lang w:val="de-DE"/>
              </w:rPr>
              <w:t>Te kete njohuri bazike per ciklin menstrual dhe cregullimet e tij</w:t>
            </w:r>
            <w:r w:rsidR="00363170" w:rsidRPr="00363170">
              <w:rPr>
                <w:rFonts w:ascii="Times New Roman" w:eastAsia="Times New Roman" w:hAnsi="Times New Roman" w:cs="Times New Roman"/>
                <w:lang w:val="de-DE"/>
              </w:rPr>
              <w:t xml:space="preserve">, semundjet inflamatore </w:t>
            </w:r>
            <w:r w:rsidR="00363170">
              <w:rPr>
                <w:rFonts w:ascii="Times New Roman" w:eastAsia="Times New Roman" w:hAnsi="Times New Roman" w:cs="Times New Roman"/>
                <w:lang w:val="de-DE"/>
              </w:rPr>
              <w:t xml:space="preserve">gjinekologjike </w:t>
            </w:r>
            <w:r w:rsidR="00363170" w:rsidRPr="00363170">
              <w:rPr>
                <w:rFonts w:ascii="Times New Roman" w:eastAsia="Times New Roman" w:hAnsi="Times New Roman" w:cs="Times New Roman"/>
                <w:lang w:val="de-DE"/>
              </w:rPr>
              <w:t>dhe onkologjike si dhe shtatezenine normale dhe ate patolo</w:t>
            </w:r>
            <w:r w:rsidR="00363170">
              <w:rPr>
                <w:rFonts w:ascii="Times New Roman" w:eastAsia="Times New Roman" w:hAnsi="Times New Roman" w:cs="Times New Roman"/>
                <w:lang w:val="de-DE"/>
              </w:rPr>
              <w:t>gjike.</w:t>
            </w:r>
          </w:p>
          <w:p w:rsidR="00516B0A" w:rsidRPr="00363170" w:rsidRDefault="00363170" w:rsidP="00516B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 xml:space="preserve">Te identifikoj problemet me te shpeshta  gjinekologjike dhe obstetrike te lidhura me shendetin dental. </w:t>
            </w:r>
          </w:p>
          <w:p w:rsidR="00363170" w:rsidRPr="00363170" w:rsidRDefault="00363170" w:rsidP="00516B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363170">
              <w:rPr>
                <w:rFonts w:ascii="Times New Roman" w:eastAsia="Times New Roman" w:hAnsi="Times New Roman" w:cs="Times New Roman"/>
                <w:lang w:val="de-DE"/>
              </w:rPr>
              <w:t>Ndryshimet fiziol</w:t>
            </w:r>
            <w:r>
              <w:rPr>
                <w:rFonts w:ascii="Times New Roman" w:eastAsia="Times New Roman" w:hAnsi="Times New Roman" w:cs="Times New Roman"/>
                <w:lang w:val="de-DE"/>
              </w:rPr>
              <w:t>o</w:t>
            </w:r>
            <w:r w:rsidRPr="00363170">
              <w:rPr>
                <w:rFonts w:ascii="Times New Roman" w:eastAsia="Times New Roman" w:hAnsi="Times New Roman" w:cs="Times New Roman"/>
                <w:lang w:val="de-DE"/>
              </w:rPr>
              <w:t xml:space="preserve">gjike ne kavitetin oral ne shtatezeni si dhe infeksionet dhe kariesin </w:t>
            </w:r>
            <w:r>
              <w:rPr>
                <w:rFonts w:ascii="Times New Roman" w:eastAsia="Times New Roman" w:hAnsi="Times New Roman" w:cs="Times New Roman"/>
                <w:lang w:val="de-DE"/>
              </w:rPr>
              <w:t>dental ne shtatezeni dhe pas lindjes.</w:t>
            </w:r>
          </w:p>
          <w:p w:rsidR="00516B0A" w:rsidRDefault="00516B0A" w:rsidP="00516B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363170">
              <w:rPr>
                <w:rFonts w:ascii="Times New Roman" w:eastAsia="Times New Roman" w:hAnsi="Times New Roman" w:cs="Times New Roman"/>
                <w:lang w:val="de-DE"/>
              </w:rPr>
              <w:t xml:space="preserve">Përshkruaj </w:t>
            </w:r>
            <w:r w:rsidR="00363170" w:rsidRPr="00363170">
              <w:rPr>
                <w:rFonts w:ascii="Times New Roman" w:eastAsia="Times New Roman" w:hAnsi="Times New Roman" w:cs="Times New Roman"/>
                <w:lang w:val="de-DE"/>
              </w:rPr>
              <w:t>dhe njoh medikamentet dhe procedur</w:t>
            </w:r>
            <w:r w:rsidR="00363170">
              <w:rPr>
                <w:rFonts w:ascii="Times New Roman" w:eastAsia="Times New Roman" w:hAnsi="Times New Roman" w:cs="Times New Roman"/>
                <w:lang w:val="de-DE"/>
              </w:rPr>
              <w:t>a</w:t>
            </w:r>
            <w:r w:rsidR="00363170" w:rsidRPr="00363170">
              <w:rPr>
                <w:rFonts w:ascii="Times New Roman" w:eastAsia="Times New Roman" w:hAnsi="Times New Roman" w:cs="Times New Roman"/>
                <w:lang w:val="de-DE"/>
              </w:rPr>
              <w:t xml:space="preserve">t stomatologjike ne shtatezeni dhe laktacion </w:t>
            </w:r>
          </w:p>
          <w:p w:rsidR="00363170" w:rsidRDefault="00363170" w:rsidP="00516B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 xml:space="preserve">Pershkruaj llojet e anestezionit lokal dhe intervenimet ne kavitetin oral ne shtatezeni dhe lehoni dhe </w:t>
            </w:r>
          </w:p>
          <w:p w:rsidR="00363170" w:rsidRPr="00363170" w:rsidRDefault="00363170" w:rsidP="00516B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 xml:space="preserve">Te demonstroj njohuri bazike lidhur me mbrojtjen dhe promovimin e shendetit oral ne shtatezeni dhe lehoni. </w:t>
            </w:r>
          </w:p>
          <w:p w:rsidR="00516B0A" w:rsidRPr="00516B0A" w:rsidRDefault="00516B0A" w:rsidP="00516B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lang w:val="de-DE"/>
              </w:rPr>
              <w:t>Studentët, njohuritë e fituara nga lënda e Gjinekologjisë me Obstetrikë do të mund t’i shfrytëzojnë në praktikë gjatë p</w:t>
            </w:r>
            <w:r w:rsidR="00655044">
              <w:rPr>
                <w:rFonts w:ascii="Times New Roman" w:eastAsia="Times New Roman" w:hAnsi="Times New Roman" w:cs="Times New Roman"/>
                <w:lang w:val="de-DE"/>
              </w:rPr>
              <w:t xml:space="preserve">unes </w:t>
            </w:r>
            <w:r w:rsidRPr="00516B0A">
              <w:rPr>
                <w:rFonts w:ascii="Times New Roman" w:eastAsia="Times New Roman" w:hAnsi="Times New Roman" w:cs="Times New Roman"/>
                <w:lang w:val="de-DE"/>
              </w:rPr>
              <w:t>klinike</w:t>
            </w:r>
            <w:r w:rsidR="00363170">
              <w:rPr>
                <w:rFonts w:ascii="Times New Roman" w:eastAsia="Times New Roman" w:hAnsi="Times New Roman" w:cs="Times New Roman"/>
                <w:lang w:val="de-DE"/>
              </w:rPr>
              <w:t xml:space="preserve"> me gra shtatezena dhe ato ne puerperium.</w:t>
            </w:r>
          </w:p>
        </w:tc>
      </w:tr>
      <w:tr w:rsidR="00516B0A" w:rsidRPr="008A1E6F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>Metodologjia e mësimdhënies dhe të mësuarit:</w:t>
            </w:r>
          </w:p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 Ligjërata</w:t>
            </w:r>
          </w:p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 Hulumtimi i çështjeve të përzgjedhura duke përdorur burimet e internetit</w:t>
            </w:r>
          </w:p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 Detyra me shkrim dhe redaktim nga kolegët/instruktorët</w:t>
            </w:r>
          </w:p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 Raporte të shkurtra studentore nga lista e leximit</w:t>
            </w:r>
          </w:p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 Diskutim në klasë</w:t>
            </w:r>
          </w:p>
        </w:tc>
      </w:tr>
      <w:tr w:rsidR="00516B0A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Metodologjia e vlerësimit:     </w:t>
            </w:r>
          </w:p>
          <w:p w:rsidR="00516B0A" w:rsidRPr="00BA3F7D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/>
              </w:rPr>
            </w:pPr>
            <w:r w:rsidRPr="00516B0A">
              <w:rPr>
                <w:rFonts w:ascii="Times New Roman" w:eastAsia="Symbol" w:hAnsi="Times New Roman" w:cs="Times New Roman"/>
                <w:sz w:val="21"/>
                <w:szCs w:val="21"/>
                <w:lang w:val="de-DE"/>
              </w:rPr>
              <w:t>∙</w:t>
            </w:r>
            <w:r w:rsidR="00BA3F7D">
              <w:rPr>
                <w:rFonts w:ascii="Times New Roman" w:eastAsia="Symbol" w:hAnsi="Times New Roman" w:cs="Times New Roman"/>
                <w:sz w:val="21"/>
                <w:szCs w:val="21"/>
                <w:lang w:val="de-DE"/>
              </w:rPr>
              <w:t xml:space="preserve">Seminari/ </w:t>
            </w:r>
            <w:r w:rsidRPr="00516B0A">
              <w:rPr>
                <w:rFonts w:ascii="Times New Roman" w:eastAsia="Times New Roman" w:hAnsi="Times New Roman" w:cs="Times New Roman"/>
                <w:sz w:val="21"/>
                <w:szCs w:val="21"/>
                <w:lang w:val="de-DE"/>
              </w:rPr>
              <w:t xml:space="preserve"> Prezantimi </w:t>
            </w:r>
          </w:p>
        </w:tc>
      </w:tr>
      <w:tr w:rsidR="00516B0A" w:rsidRPr="008A1E6F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>Mjetet konkretizuese /IT:</w:t>
            </w:r>
          </w:p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lang w:val="de-DE"/>
              </w:rPr>
              <w:t xml:space="preserve">LCD Projektor, PowerPoint, Projektor të varur, Vetë-mësim (sistemi I e-mësimit); </w:t>
            </w:r>
          </w:p>
        </w:tc>
      </w:tr>
      <w:tr w:rsidR="00516B0A" w:rsidRPr="008A1E6F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>Marrëdhënia midis pjesës teorike dhe praktike të mësimit:</w:t>
            </w:r>
          </w:p>
        </w:tc>
      </w:tr>
      <w:tr w:rsidR="00516B0A" w:rsidRPr="000B01A3" w:rsidTr="00AF42D6">
        <w:trPr>
          <w:trHeight w:val="80"/>
        </w:trPr>
        <w:tc>
          <w:tcPr>
            <w:tcW w:w="1165" w:type="dxa"/>
          </w:tcPr>
          <w:p w:rsidR="00516B0A" w:rsidRPr="000B01A3" w:rsidRDefault="00516B0A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Ligjerata</w:t>
            </w:r>
            <w:proofErr w:type="spellEnd"/>
          </w:p>
        </w:tc>
        <w:tc>
          <w:tcPr>
            <w:tcW w:w="1980" w:type="dxa"/>
          </w:tcPr>
          <w:p w:rsidR="00516B0A" w:rsidRPr="000B01A3" w:rsidRDefault="00516B0A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Seminarike</w:t>
            </w:r>
            <w:proofErr w:type="spellEnd"/>
          </w:p>
        </w:tc>
        <w:tc>
          <w:tcPr>
            <w:tcW w:w="1620" w:type="dxa"/>
          </w:tcPr>
          <w:p w:rsidR="00516B0A" w:rsidRPr="000B01A3" w:rsidRDefault="00BA3F7D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Prezentime</w:t>
            </w:r>
            <w:proofErr w:type="spellEnd"/>
          </w:p>
        </w:tc>
        <w:tc>
          <w:tcPr>
            <w:tcW w:w="2070" w:type="dxa"/>
          </w:tcPr>
          <w:p w:rsidR="00516B0A" w:rsidRPr="000B01A3" w:rsidRDefault="00516B0A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Praktika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Klinike</w:t>
            </w:r>
            <w:proofErr w:type="spellEnd"/>
          </w:p>
        </w:tc>
        <w:tc>
          <w:tcPr>
            <w:tcW w:w="1170" w:type="dxa"/>
          </w:tcPr>
          <w:p w:rsidR="00516B0A" w:rsidRPr="000B01A3" w:rsidRDefault="00516B0A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Vetë-mësim</w:t>
            </w:r>
            <w:proofErr w:type="spellEnd"/>
          </w:p>
        </w:tc>
        <w:tc>
          <w:tcPr>
            <w:tcW w:w="1283" w:type="dxa"/>
          </w:tcPr>
          <w:p w:rsidR="00516B0A" w:rsidRPr="000B01A3" w:rsidRDefault="00516B0A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Ngarkesa</w:t>
            </w:r>
            <w:proofErr w:type="spellEnd"/>
            <w:r w:rsidRPr="000B01A3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0B01A3">
              <w:rPr>
                <w:rFonts w:ascii="Times New Roman" w:eastAsia="Times New Roman" w:hAnsi="Times New Roman" w:cs="Times New Roman"/>
              </w:rPr>
              <w:t>orë</w:t>
            </w:r>
            <w:proofErr w:type="spellEnd"/>
          </w:p>
        </w:tc>
      </w:tr>
      <w:tr w:rsidR="00516B0A" w:rsidRPr="000B01A3" w:rsidTr="00AF42D6">
        <w:trPr>
          <w:trHeight w:val="80"/>
        </w:trPr>
        <w:tc>
          <w:tcPr>
            <w:tcW w:w="1165" w:type="dxa"/>
            <w:tcBorders>
              <w:bottom w:val="single" w:sz="4" w:space="0" w:color="000000"/>
            </w:tcBorders>
          </w:tcPr>
          <w:p w:rsidR="00516B0A" w:rsidRPr="000B01A3" w:rsidRDefault="00363170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15</w:t>
            </w:r>
            <w:bookmarkStart w:id="0" w:name="_GoBack"/>
            <w:bookmarkEnd w:id="0"/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516B0A" w:rsidRPr="000B01A3" w:rsidRDefault="00BA3F7D" w:rsidP="00655044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516B0A" w:rsidRPr="000B01A3" w:rsidRDefault="00BA3F7D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10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516B0A" w:rsidRPr="000B01A3" w:rsidRDefault="00516B0A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516B0A" w:rsidRPr="000B01A3" w:rsidRDefault="00BA3F7D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45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516B0A" w:rsidRPr="000B01A3" w:rsidRDefault="00BA3F7D" w:rsidP="00516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75</w:t>
            </w:r>
          </w:p>
        </w:tc>
      </w:tr>
      <w:tr w:rsidR="00516B0A" w:rsidRPr="000B01A3" w:rsidTr="00AF42D6">
        <w:tc>
          <w:tcPr>
            <w:tcW w:w="9288" w:type="dxa"/>
            <w:gridSpan w:val="6"/>
            <w:tcBorders>
              <w:bottom w:val="single" w:sz="4" w:space="0" w:color="000000"/>
            </w:tcBorders>
          </w:tcPr>
          <w:p w:rsidR="00516B0A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B01A3">
              <w:rPr>
                <w:rFonts w:ascii="Times New Roman" w:eastAsia="Times New Roman" w:hAnsi="Times New Roman" w:cs="Times New Roman"/>
                <w:b/>
              </w:rPr>
              <w:lastRenderedPageBreak/>
              <w:t>Literatura</w:t>
            </w:r>
            <w:proofErr w:type="spellEnd"/>
            <w:r w:rsidRPr="000B01A3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655044" w:rsidRDefault="00655044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A1E6F" w:rsidRPr="00BA3F7D" w:rsidRDefault="00DF7C55" w:rsidP="00BA3F7D">
            <w:pPr>
              <w:pStyle w:val="Heading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0"/>
              <w:textAlignment w:val="baseline"/>
              <w:rPr>
                <w:b w:val="0"/>
                <w:bCs w:val="0"/>
                <w:sz w:val="20"/>
                <w:szCs w:val="20"/>
              </w:rPr>
            </w:pPr>
            <w:hyperlink r:id="rId5" w:history="1">
              <w:r w:rsidR="008A1E6F" w:rsidRPr="00BA3F7D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Understanding Dental Caries</w:t>
              </w:r>
            </w:hyperlink>
          </w:p>
          <w:p w:rsidR="008A1E6F" w:rsidRPr="00BA3F7D" w:rsidRDefault="008A1E6F" w:rsidP="00BA3F7D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textAlignment w:val="baseline"/>
              <w:rPr>
                <w:sz w:val="20"/>
                <w:szCs w:val="20"/>
              </w:rPr>
            </w:pPr>
            <w:r w:rsidRPr="00BA3F7D">
              <w:rPr>
                <w:sz w:val="20"/>
                <w:szCs w:val="20"/>
              </w:rPr>
              <w:t>Goldberg, M. (Ed.) (2016)</w:t>
            </w:r>
            <w:r w:rsidR="00BA3F7D">
              <w:rPr>
                <w:sz w:val="20"/>
                <w:szCs w:val="20"/>
              </w:rPr>
              <w:br/>
            </w:r>
            <w:hyperlink r:id="rId6" w:history="1">
              <w:r w:rsidRPr="00BA3F7D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Oral Infections and General Health</w:t>
              </w:r>
            </w:hyperlink>
            <w:r w:rsidR="00BA3F7D">
              <w:rPr>
                <w:sz w:val="20"/>
                <w:szCs w:val="20"/>
              </w:rPr>
              <w:br/>
            </w:r>
            <w:r w:rsidRPr="00BA3F7D">
              <w:rPr>
                <w:sz w:val="20"/>
                <w:szCs w:val="20"/>
                <w:lang w:val="en-US"/>
              </w:rPr>
              <w:t>Pedersen, A.M.L. (Ed.) (2016)</w:t>
            </w:r>
            <w:r w:rsidR="00BA3F7D">
              <w:rPr>
                <w:sz w:val="20"/>
                <w:szCs w:val="20"/>
                <w:lang w:val="en-US"/>
              </w:rPr>
              <w:br/>
            </w:r>
            <w:hyperlink r:id="rId7" w:history="1">
              <w:r w:rsidRPr="00BA3F7D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Orthodontic Management of the Developing Dentition</w:t>
              </w:r>
            </w:hyperlink>
            <w:r w:rsidR="00BA3F7D">
              <w:rPr>
                <w:sz w:val="20"/>
                <w:szCs w:val="20"/>
              </w:rPr>
              <w:br/>
            </w:r>
            <w:proofErr w:type="spellStart"/>
            <w:r w:rsidRPr="00BA3F7D">
              <w:rPr>
                <w:sz w:val="20"/>
                <w:szCs w:val="20"/>
                <w:lang w:val="en-US"/>
              </w:rPr>
              <w:t>Cobourne</w:t>
            </w:r>
            <w:proofErr w:type="spellEnd"/>
            <w:r w:rsidRPr="00BA3F7D">
              <w:rPr>
                <w:sz w:val="20"/>
                <w:szCs w:val="20"/>
                <w:lang w:val="en-US"/>
              </w:rPr>
              <w:t>, M.T. (Ed.) (2017)</w:t>
            </w:r>
          </w:p>
          <w:p w:rsidR="00363170" w:rsidRPr="008A1E6F" w:rsidRDefault="00363170" w:rsidP="008A1E6F">
            <w:pPr>
              <w:pStyle w:val="format"/>
              <w:shd w:val="clear" w:color="auto" w:fill="FFFFFF"/>
              <w:spacing w:before="0" w:beforeAutospacing="0" w:after="120" w:afterAutospacing="0" w:line="336" w:lineRule="atLeast"/>
              <w:textAlignment w:val="baseline"/>
              <w:rPr>
                <w:rFonts w:ascii="inherit" w:hAnsi="inherit"/>
                <w:color w:val="333333"/>
                <w:sz w:val="20"/>
                <w:szCs w:val="20"/>
                <w:lang w:val="en-US"/>
              </w:rPr>
            </w:pPr>
          </w:p>
          <w:p w:rsidR="00516B0A" w:rsidRPr="000B01A3" w:rsidRDefault="00516B0A" w:rsidP="00516B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2111" w:rsidRDefault="00822111"/>
    <w:sectPr w:rsidR="00822111" w:rsidSect="00411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0659"/>
    <w:multiLevelType w:val="multilevel"/>
    <w:tmpl w:val="5B96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4C271E"/>
    <w:rsid w:val="00363170"/>
    <w:rsid w:val="00411131"/>
    <w:rsid w:val="00493098"/>
    <w:rsid w:val="004C271E"/>
    <w:rsid w:val="00516B0A"/>
    <w:rsid w:val="0057395D"/>
    <w:rsid w:val="00655044"/>
    <w:rsid w:val="00822111"/>
    <w:rsid w:val="008A1E6F"/>
    <w:rsid w:val="00BA3F7D"/>
    <w:rsid w:val="00DF7C55"/>
    <w:rsid w:val="00E0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1E"/>
    <w:pPr>
      <w:spacing w:after="200" w:line="276" w:lineRule="auto"/>
    </w:pPr>
    <w:rPr>
      <w:rFonts w:ascii="Calibri" w:eastAsia="Calibri" w:hAnsi="Calibri" w:cs="Calibri"/>
      <w:lang w:eastAsia="sq-AL"/>
    </w:rPr>
  </w:style>
  <w:style w:type="paragraph" w:styleId="Heading3">
    <w:name w:val="heading 3"/>
    <w:basedOn w:val="Normal"/>
    <w:link w:val="Heading3Char"/>
    <w:uiPriority w:val="9"/>
    <w:qFormat/>
    <w:rsid w:val="008A1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4C271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1E6F"/>
    <w:rPr>
      <w:rFonts w:ascii="Times New Roman" w:eastAsia="Times New Roman" w:hAnsi="Times New Roman" w:cs="Times New Roman"/>
      <w:b/>
      <w:bCs/>
      <w:sz w:val="27"/>
      <w:szCs w:val="27"/>
      <w:lang w:val="de-DE"/>
    </w:rPr>
  </w:style>
  <w:style w:type="paragraph" w:customStyle="1" w:styleId="product-teaser">
    <w:name w:val="product-teaser"/>
    <w:basedOn w:val="Normal"/>
    <w:rsid w:val="008A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character" w:styleId="Hyperlink">
    <w:name w:val="Hyperlink"/>
    <w:basedOn w:val="DefaultParagraphFont"/>
    <w:uiPriority w:val="99"/>
    <w:semiHidden/>
    <w:unhideWhenUsed/>
    <w:rsid w:val="008A1E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A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paragraph" w:customStyle="1" w:styleId="format">
    <w:name w:val="format"/>
    <w:basedOn w:val="Normal"/>
    <w:rsid w:val="008A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8A1E6F"/>
    <w:rPr>
      <w:b/>
      <w:bCs/>
    </w:rPr>
  </w:style>
  <w:style w:type="character" w:customStyle="1" w:styleId="from">
    <w:name w:val="from"/>
    <w:basedOn w:val="DefaultParagraphFont"/>
    <w:rsid w:val="008A1E6F"/>
  </w:style>
  <w:style w:type="character" w:customStyle="1" w:styleId="price">
    <w:name w:val="price"/>
    <w:basedOn w:val="DefaultParagraphFont"/>
    <w:rsid w:val="008A1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7830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027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67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ringer.com/gp/book/97833195463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ringer.com/gp/book/9783319250892" TargetMode="External"/><Relationship Id="rId5" Type="http://schemas.openxmlformats.org/officeDocument/2006/relationships/hyperlink" Target="https://www.springer.com/gp/book/97833193055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</dc:creator>
  <cp:lastModifiedBy>Vlora</cp:lastModifiedBy>
  <cp:revision>2</cp:revision>
  <dcterms:created xsi:type="dcterms:W3CDTF">2021-02-15T20:29:00Z</dcterms:created>
  <dcterms:modified xsi:type="dcterms:W3CDTF">2021-02-15T20:29:00Z</dcterms:modified>
</cp:coreProperties>
</file>