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AD442" w14:textId="77777777" w:rsidR="00F826A2" w:rsidRDefault="00AD6F5C">
      <w:pPr>
        <w:rPr>
          <w:b/>
        </w:rPr>
      </w:pPr>
      <w:r>
        <w:rPr>
          <w:rFonts w:ascii="Calibri" w:eastAsia="Calibri" w:hAnsi="Calibri" w:cs="Calibri"/>
          <w:b/>
          <w:noProof/>
          <w:sz w:val="30"/>
          <w:szCs w:val="30"/>
          <w:u w:val="single"/>
        </w:rPr>
        <w:drawing>
          <wp:inline distT="0" distB="0" distL="0" distR="0" wp14:anchorId="1BF43EDD" wp14:editId="041C6CAB">
            <wp:extent cx="5400675" cy="904875"/>
            <wp:effectExtent l="0" t="0" r="0" b="0"/>
            <wp:docPr id="4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9DDB4A" w14:textId="77777777" w:rsidR="00F826A2" w:rsidRDefault="00AD6F5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FAKULTETI EKONOMIK</w:t>
      </w:r>
    </w:p>
    <w:p w14:paraId="5DF294B3" w14:textId="77777777" w:rsidR="00F826A2" w:rsidRDefault="00F826A2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3E3F89AB" w14:textId="77777777" w:rsidR="00F826A2" w:rsidRDefault="00AD6F5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Syllabus</w:t>
      </w:r>
    </w:p>
    <w:tbl>
      <w:tblPr>
        <w:tblStyle w:val="a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6360"/>
      </w:tblGrid>
      <w:tr w:rsidR="00F826A2" w14:paraId="2CA4FAFD" w14:textId="77777777"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913B84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Të dhëna bazike të lëndës</w:t>
            </w:r>
          </w:p>
        </w:tc>
      </w:tr>
      <w:tr w:rsidR="00F826A2" w14:paraId="4616FC8F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30D" w14:textId="77777777" w:rsidR="00F826A2" w:rsidRDefault="00AD6F5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Titulli i lëndës: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D13" w14:textId="77777777" w:rsidR="00F826A2" w:rsidRDefault="00AD6F5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Marketingu i shërbimeve</w:t>
            </w:r>
          </w:p>
        </w:tc>
      </w:tr>
      <w:tr w:rsidR="00F826A2" w14:paraId="3A772F33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E10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Niveli: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72B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Bachelor</w:t>
            </w:r>
          </w:p>
        </w:tc>
      </w:tr>
      <w:tr w:rsidR="00F826A2" w14:paraId="411BF1A8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824F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Statusi lëndës: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CED0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Zgjedhore</w:t>
            </w:r>
          </w:p>
        </w:tc>
      </w:tr>
      <w:tr w:rsidR="00F826A2" w14:paraId="5C8F08D5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89AE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Viti i studimeve: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546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2020/21</w:t>
            </w:r>
          </w:p>
        </w:tc>
      </w:tr>
      <w:tr w:rsidR="00F826A2" w14:paraId="05651342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BB60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Numri i orëve në javë: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5692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2+1</w:t>
            </w:r>
          </w:p>
        </w:tc>
      </w:tr>
      <w:tr w:rsidR="00F826A2" w14:paraId="09F7275F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73E4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Vlera në kredi – ECTS: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AC0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F826A2" w14:paraId="12535C97" w14:textId="77777777">
        <w:trPr>
          <w:trHeight w:val="45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746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 lokacioniKoha 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85F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Ligjeratat: S 9 - E Enjte  8.00-9,45</w:t>
            </w:r>
          </w:p>
        </w:tc>
      </w:tr>
      <w:tr w:rsidR="00F826A2" w14:paraId="05D599E3" w14:textId="77777777">
        <w:trPr>
          <w:trHeight w:val="38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BC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Mësimëdhënësi i lëndës: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1AC3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Prof. dr. Besim Beqaj</w:t>
            </w:r>
          </w:p>
        </w:tc>
      </w:tr>
      <w:tr w:rsidR="00F826A2" w14:paraId="6BC76C61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448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Detajet kontaktuese: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3E8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besim.beqaj@uni-pr.edu</w:t>
            </w:r>
          </w:p>
        </w:tc>
      </w:tr>
      <w:tr w:rsidR="00F826A2" w14:paraId="76C788C3" w14:textId="77777777"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C95B82D" w14:textId="77777777" w:rsidR="00F826A2" w:rsidRDefault="00F826A2">
            <w:pPr>
              <w:rPr>
                <w:rFonts w:ascii="Arial" w:eastAsia="Arial" w:hAnsi="Arial" w:cs="Arial"/>
                <w:b/>
              </w:rPr>
            </w:pPr>
          </w:p>
        </w:tc>
      </w:tr>
      <w:tr w:rsidR="00F826A2" w14:paraId="193BDE56" w14:textId="77777777">
        <w:trPr>
          <w:trHeight w:val="5177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88B0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Përshkrimi i lëndës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ED9" w14:textId="77777777" w:rsidR="00F826A2" w:rsidRDefault="00AD6F5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Zhvillimi ekonomik në shekullin 21 është duke e ndërruar kahjet me një dinamikë shumë të shpejtë. Tregjet janë të mbushura me shumë produkte të cilat diferencohen për nga niveli i shërbimeve dhe për nga niveli i vlerave reale të tyre për konsumatorin. Shër</w:t>
            </w:r>
            <w:r>
              <w:rPr>
                <w:rFonts w:ascii="Arial" w:eastAsia="Arial" w:hAnsi="Arial" w:cs="Arial"/>
              </w:rPr>
              <w:t>bimet në ekonominë e sotme krijojnë shumicën e vendeve të punës, me shkathtësi dhe pa shkathtësi profesionale. Marketingu i shërbimeve në ekonominë globale behët mjet shumë efikas për komunkim efikas dhe të drejtpërdrejt me klientët dhe me konsumatorët. Kr</w:t>
            </w:r>
            <w:r>
              <w:rPr>
                <w:rFonts w:ascii="Arial" w:eastAsia="Arial" w:hAnsi="Arial" w:cs="Arial"/>
              </w:rPr>
              <w:t>ijimi i markave për treg, trajnimi i ekspertëve të marketingut, marketingu i vlerave, përcaktimi i vlerës dhe çmimit të  shërbimeve, cilësia e shërbimeve etj, përbejnë sfidë por edhe mundësi për ndërmarrjet në treg.</w:t>
            </w:r>
          </w:p>
          <w:p w14:paraId="69146EC9" w14:textId="77777777" w:rsidR="00F826A2" w:rsidRDefault="00F826A2">
            <w:pPr>
              <w:jc w:val="both"/>
              <w:rPr>
                <w:rFonts w:ascii="Arial" w:eastAsia="Arial" w:hAnsi="Arial" w:cs="Arial"/>
              </w:rPr>
            </w:pPr>
          </w:p>
          <w:p w14:paraId="4FEAFAB2" w14:textId="77777777" w:rsidR="00F826A2" w:rsidRDefault="00AD6F5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Në ekonominë e tregut në vendet e zhvil</w:t>
            </w:r>
            <w:r>
              <w:rPr>
                <w:rFonts w:ascii="Arial" w:eastAsia="Arial" w:hAnsi="Arial" w:cs="Arial"/>
              </w:rPr>
              <w:t>luara veprimtaritë shërbyese përbejnë pjesën më të ndjeshme dhe më profitabile të zhvillimit ekonomik. Resurset humane, teknologjia informative, inovacionet, turizmi, institucionet financiare dhe jofinanciare, komunikacioni si dhe tregtia në përgjithësi, p</w:t>
            </w:r>
            <w:r>
              <w:rPr>
                <w:rFonts w:ascii="Arial" w:eastAsia="Arial" w:hAnsi="Arial" w:cs="Arial"/>
              </w:rPr>
              <w:t>araqesin fuqinë konkurruese për ndërmarrjet e vogla, të mesme dhe të mëdha si dhe për ndërmarrjet multinacionale.</w:t>
            </w:r>
          </w:p>
          <w:p w14:paraId="04A06B2A" w14:textId="77777777" w:rsidR="00F826A2" w:rsidRDefault="00F826A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826A2" w14:paraId="6D0B060A" w14:textId="77777777">
        <w:trPr>
          <w:trHeight w:val="40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45F0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Rezultatet e pritura të nxënies: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09B" w14:textId="77777777" w:rsidR="00F826A2" w:rsidRDefault="00AD6F5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 kompletimin e suksesshëm të lëndës, studenti do të jetë në gjendje:</w:t>
            </w:r>
          </w:p>
          <w:p w14:paraId="45E9F1E5" w14:textId="77777777" w:rsidR="00F826A2" w:rsidRDefault="00AD6F5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Të diskutojë për sfidat dhe ambientin  e marketingut të veprimtarive shërbyese</w:t>
            </w:r>
          </w:p>
          <w:p w14:paraId="3AF1B423" w14:textId="77777777" w:rsidR="00F826A2" w:rsidRDefault="00AD6F5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Të kuptojë evoluimin e zhvillimeve ekonomike me theks në veprimtaritë shërbyese</w:t>
            </w:r>
          </w:p>
          <w:p w14:paraId="6598634D" w14:textId="77777777" w:rsidR="00F826A2" w:rsidRDefault="00AD6F5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Të dallojë përparësitë dhe</w:t>
            </w:r>
            <w:r>
              <w:rPr>
                <w:rFonts w:ascii="Arial" w:eastAsia="Arial" w:hAnsi="Arial" w:cs="Arial"/>
              </w:rPr>
              <w:t xml:space="preserve"> mangësitë konkuruese të ndërmarrjeve të cilat konkurojnë me veprimtari shërbyese në treg</w:t>
            </w:r>
          </w:p>
          <w:p w14:paraId="222670D8" w14:textId="77777777" w:rsidR="00F826A2" w:rsidRDefault="00AD6F5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Të diskutojë proceset globale dhe për rendësinë e marketingut ndërkombëtar të shërbimeve</w:t>
            </w:r>
          </w:p>
          <w:p w14:paraId="37C3C937" w14:textId="77777777" w:rsidR="00F826A2" w:rsidRDefault="00AD6F5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Të përshkruajë ndikimin e marketingut në biznesin global dhe suksesin e ekono</w:t>
            </w:r>
            <w:r>
              <w:rPr>
                <w:rFonts w:ascii="Arial" w:eastAsia="Arial" w:hAnsi="Arial" w:cs="Arial"/>
              </w:rPr>
              <w:t>mive nacionale.</w:t>
            </w:r>
          </w:p>
        </w:tc>
      </w:tr>
      <w:tr w:rsidR="00F826A2" w14:paraId="4FCC67C0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D46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Metodologjia e mësimëdhënies: 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7925" w14:textId="77777777" w:rsidR="00F826A2" w:rsidRDefault="00AD6F5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Ligjeratat do të jenë të konceptuara në atë mënyrë që pjesëmarrja e studentëve në diskutime të jetë sa më e madhe.  Bashkëbisedimi si dhe prezantimi i punimeve në klasë do krijojnë vlerë shtesë për studentët. Do të favorizohet puna ekipore. Leximi i litera</w:t>
            </w:r>
            <w:r>
              <w:rPr>
                <w:rFonts w:ascii="Arial" w:eastAsia="Arial" w:hAnsi="Arial" w:cs="Arial"/>
              </w:rPr>
              <w:t>turës sa më të gjërë si dhe artikujve të ndryeshëm lidhur me trendet e marketingut të shërbimeve paraqet përparësi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</w:p>
          <w:p w14:paraId="54655DCD" w14:textId="77777777" w:rsidR="00F826A2" w:rsidRDefault="00F826A2">
            <w:pPr>
              <w:rPr>
                <w:rFonts w:ascii="Arial" w:eastAsia="Arial" w:hAnsi="Arial" w:cs="Arial"/>
                <w:b/>
              </w:rPr>
            </w:pPr>
          </w:p>
        </w:tc>
      </w:tr>
      <w:tr w:rsidR="00F826A2" w14:paraId="20AC5393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843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Metodat e vlerësimit: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88A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Vlerësimi i studentëve do behët në tri mënyra:</w:t>
            </w:r>
          </w:p>
          <w:p w14:paraId="32ED85E6" w14:textId="77777777" w:rsidR="00F826A2" w:rsidRDefault="00AD6F5C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Vlerësimi në klasë gjatë ligjeratave në bazë të angazhimit të studen</w:t>
            </w:r>
            <w:r>
              <w:rPr>
                <w:rFonts w:ascii="Arial" w:eastAsia="Arial" w:hAnsi="Arial" w:cs="Arial"/>
              </w:rPr>
              <w:t>tëve</w:t>
            </w:r>
          </w:p>
          <w:p w14:paraId="5D369222" w14:textId="77777777" w:rsidR="00F826A2" w:rsidRDefault="00AD6F5C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Vlerësimi me teste: testi i parë  java e 7-të dhe testi i dytë java 14-të</w:t>
            </w:r>
          </w:p>
          <w:p w14:paraId="11910A6E" w14:textId="77777777" w:rsidR="00F826A2" w:rsidRDefault="00AD6F5C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Provimi i përgjithshëm me shkrim sipas afateve të përcktuara nga Fakulteti.</w:t>
            </w:r>
          </w:p>
          <w:p w14:paraId="0449DCE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Notë kaluese në teste dhe provim konsiderohet nëse 60% e pyetjeve përgjigjen saktë.</w:t>
            </w:r>
          </w:p>
        </w:tc>
      </w:tr>
      <w:tr w:rsidR="00F826A2" w14:paraId="6F29C1CF" w14:textId="77777777"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0EF716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Literatura </w:t>
            </w:r>
          </w:p>
        </w:tc>
      </w:tr>
      <w:tr w:rsidR="00F826A2" w14:paraId="2FCA53D1" w14:textId="77777777">
        <w:trPr>
          <w:trHeight w:val="7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298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Literatura bazë: 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1661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Shpëtim Çerri: Marketingu i Shërbimeve, EXTRA-R, Tiranë, 2011</w:t>
            </w:r>
          </w:p>
        </w:tc>
      </w:tr>
      <w:tr w:rsidR="00F826A2" w14:paraId="3BE64215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4D3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Literatura shtesë: 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2EE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Philip Kotler, Hermawan Kartajya &amp;Iwan Setiawan: Marketing 3.0, John Wilez &amp;Sons, INC Hoboken, New Jersey 2010.</w:t>
            </w:r>
          </w:p>
          <w:p w14:paraId="0CB14D1B" w14:textId="77777777" w:rsidR="00F826A2" w:rsidRDefault="00F826A2">
            <w:pPr>
              <w:rPr>
                <w:rFonts w:ascii="Arial" w:eastAsia="Arial" w:hAnsi="Arial" w:cs="Arial"/>
              </w:rPr>
            </w:pPr>
          </w:p>
          <w:p w14:paraId="08E7B3B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Philip Kotler, Gary Amstrong: Parimet e Marketingut</w:t>
            </w:r>
          </w:p>
        </w:tc>
      </w:tr>
    </w:tbl>
    <w:p w14:paraId="0B81E7DD" w14:textId="77777777" w:rsidR="00F826A2" w:rsidRDefault="00F826A2">
      <w:pPr>
        <w:rPr>
          <w:rFonts w:ascii="Arial" w:eastAsia="Arial" w:hAnsi="Arial" w:cs="Arial"/>
          <w:b/>
        </w:rPr>
      </w:pPr>
    </w:p>
    <w:p w14:paraId="11A8C0A9" w14:textId="77777777" w:rsidR="00F826A2" w:rsidRDefault="00F826A2">
      <w:pPr>
        <w:rPr>
          <w:rFonts w:ascii="Arial" w:eastAsia="Arial" w:hAnsi="Arial" w:cs="Arial"/>
          <w:b/>
        </w:rPr>
      </w:pPr>
    </w:p>
    <w:p w14:paraId="11F3CFCA" w14:textId="77777777" w:rsidR="00F826A2" w:rsidRDefault="00F826A2">
      <w:pPr>
        <w:rPr>
          <w:rFonts w:ascii="Arial" w:eastAsia="Arial" w:hAnsi="Arial" w:cs="Arial"/>
          <w:b/>
        </w:rPr>
      </w:pPr>
    </w:p>
    <w:p w14:paraId="51773B4B" w14:textId="77777777" w:rsidR="00F826A2" w:rsidRDefault="00F826A2">
      <w:pPr>
        <w:rPr>
          <w:rFonts w:ascii="Arial" w:eastAsia="Arial" w:hAnsi="Arial" w:cs="Arial"/>
          <w:b/>
        </w:rPr>
      </w:pPr>
    </w:p>
    <w:p w14:paraId="662A8DF3" w14:textId="77777777" w:rsidR="00F826A2" w:rsidRDefault="00F826A2">
      <w:pPr>
        <w:rPr>
          <w:rFonts w:ascii="Arial" w:eastAsia="Arial" w:hAnsi="Arial" w:cs="Arial"/>
          <w:b/>
        </w:rPr>
      </w:pPr>
    </w:p>
    <w:p w14:paraId="09949E17" w14:textId="77777777" w:rsidR="00F826A2" w:rsidRDefault="00F826A2">
      <w:pPr>
        <w:rPr>
          <w:rFonts w:ascii="Arial" w:eastAsia="Arial" w:hAnsi="Arial" w:cs="Arial"/>
          <w:b/>
        </w:rPr>
      </w:pPr>
    </w:p>
    <w:tbl>
      <w:tblPr>
        <w:tblStyle w:val="a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6138"/>
      </w:tblGrid>
      <w:tr w:rsidR="00F826A2" w14:paraId="3AB6F667" w14:textId="7777777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8180AB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Plani i detajizuar i mësimit për një semestër</w:t>
            </w:r>
          </w:p>
          <w:p w14:paraId="7431EF51" w14:textId="77777777" w:rsidR="00F826A2" w:rsidRDefault="00F826A2">
            <w:pPr>
              <w:rPr>
                <w:rFonts w:ascii="Arial" w:eastAsia="Arial" w:hAnsi="Arial" w:cs="Arial"/>
                <w:b/>
              </w:rPr>
            </w:pPr>
          </w:p>
        </w:tc>
      </w:tr>
      <w:tr w:rsidR="00F826A2" w14:paraId="353BE423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17B08D" w14:textId="77777777" w:rsidR="00F826A2" w:rsidRDefault="00F826A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FDCD09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Ligjerata </w:t>
            </w:r>
          </w:p>
        </w:tc>
      </w:tr>
      <w:tr w:rsidR="00F826A2" w14:paraId="0C7AAD82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E90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BB56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Kuptimi i produkteve shërbyese, konsumatorëve dhe tregjeve              </w:t>
            </w:r>
          </w:p>
        </w:tc>
      </w:tr>
      <w:tr w:rsidR="00F826A2" w14:paraId="7AFBF3DC" w14:textId="77777777">
        <w:trPr>
          <w:trHeight w:val="41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0D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0649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Ekonomia dhe natyra e shërbimeve</w:t>
            </w:r>
          </w:p>
        </w:tc>
      </w:tr>
      <w:tr w:rsidR="00F826A2" w14:paraId="5517E8F9" w14:textId="77777777">
        <w:trPr>
          <w:trHeight w:val="36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3ADB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tretë: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7D2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Vlerësimi i mundësive biznesore </w:t>
            </w:r>
          </w:p>
        </w:tc>
      </w:tr>
      <w:tr w:rsidR="00F826A2" w14:paraId="7469AEB3" w14:textId="77777777">
        <w:trPr>
          <w:trHeight w:val="70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6F74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6431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Sjellja e konsumtarëve - procesi i blerjes së shërbimeve dhe pritjet e konsumatorit</w:t>
            </w:r>
          </w:p>
        </w:tc>
      </w:tr>
      <w:tr w:rsidR="00F826A2" w14:paraId="6075F0AE" w14:textId="77777777">
        <w:trPr>
          <w:trHeight w:val="4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EF75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pestë: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AAC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Pozicionimi i shërbimeve më tregjet konkuruese</w:t>
            </w:r>
          </w:p>
        </w:tc>
      </w:tr>
      <w:tr w:rsidR="00F826A2" w14:paraId="2C5CC42E" w14:textId="77777777">
        <w:trPr>
          <w:trHeight w:val="42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25E5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gjashtë: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E23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Cilësia  e shërbimeve</w:t>
            </w:r>
          </w:p>
        </w:tc>
      </w:tr>
      <w:tr w:rsidR="00F826A2" w14:paraId="4FF83D13" w14:textId="77777777">
        <w:trPr>
          <w:trHeight w:val="42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CC7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shtatë: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86DA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Testi i parë</w:t>
            </w:r>
          </w:p>
        </w:tc>
      </w:tr>
      <w:tr w:rsidR="00F826A2" w14:paraId="7288A7D6" w14:textId="77777777">
        <w:trPr>
          <w:trHeight w:val="43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E0B1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tetë: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9129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Evidenca fizike dhe mjedisi i shërbimit </w:t>
            </w:r>
          </w:p>
        </w:tc>
      </w:tr>
      <w:tr w:rsidR="00F826A2" w14:paraId="718F54F1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AF27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nëntë: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976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Roli i punonjësve dhe konsumatorëve në ofrimin e shërbimit</w:t>
            </w:r>
          </w:p>
        </w:tc>
      </w:tr>
      <w:tr w:rsidR="00F826A2" w14:paraId="3E3A6992" w14:textId="77777777">
        <w:trPr>
          <w:trHeight w:val="36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0C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C9D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Zhvillimi dhe disenjimi i shërbimeve të reja </w:t>
            </w:r>
          </w:p>
        </w:tc>
      </w:tr>
      <w:tr w:rsidR="00F826A2" w14:paraId="41B88D6B" w14:textId="77777777">
        <w:trPr>
          <w:trHeight w:val="39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EDAA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Java e njëmbedhjetë: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749D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Marketingu i marrëdhenieve</w:t>
            </w:r>
          </w:p>
        </w:tc>
      </w:tr>
      <w:tr w:rsidR="00F826A2" w14:paraId="3178F4FB" w14:textId="77777777">
        <w:trPr>
          <w:trHeight w:val="3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0861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dymbëdhjetë: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482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Përcaktimi i çmimeve dhe menaxhimi i të hyrave</w:t>
            </w:r>
          </w:p>
        </w:tc>
      </w:tr>
      <w:tr w:rsidR="00F826A2" w14:paraId="22D1D6A3" w14:textId="77777777">
        <w:trPr>
          <w:trHeight w:val="3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1D8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trembëdhjetë: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B16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Kanalet e ofrimit të shërbimeve</w:t>
            </w:r>
          </w:p>
        </w:tc>
      </w:tr>
      <w:tr w:rsidR="00F826A2" w14:paraId="21FA2A0C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F52B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katërmbëdhjetë: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72C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Dështimet dhe rigjenerimi i shërbimeve</w:t>
            </w:r>
          </w:p>
        </w:tc>
      </w:tr>
      <w:tr w:rsidR="00F826A2" w14:paraId="563F82CD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D9E4" w14:textId="77777777" w:rsidR="00F826A2" w:rsidRDefault="00AD6F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Java e pesëmbëdhjetë: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6E6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Testi i dytë</w:t>
            </w:r>
          </w:p>
        </w:tc>
      </w:tr>
    </w:tbl>
    <w:p w14:paraId="5D89C5DE" w14:textId="77777777" w:rsidR="00F826A2" w:rsidRDefault="00F826A2">
      <w:pPr>
        <w:rPr>
          <w:rFonts w:ascii="Arial" w:eastAsia="Arial" w:hAnsi="Arial" w:cs="Arial"/>
          <w:b/>
        </w:rPr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F826A2" w14:paraId="76E57516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78B5DC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Politikat akademike dhe rregullat e mirësjelljes:</w:t>
            </w:r>
          </w:p>
        </w:tc>
      </w:tr>
      <w:tr w:rsidR="00F826A2" w14:paraId="66FFF26D" w14:textId="77777777">
        <w:trPr>
          <w:trHeight w:val="62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C7B9" w14:textId="77777777" w:rsidR="00F826A2" w:rsidRDefault="00AD6F5C">
            <w:pPr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Vijimi i rregullt, saktësia, leximi i materialeve të kërkuara, dhe pjesëmarrja aktive në diskutimet në klasë janë elemente kritike për ketë lëndë</w:t>
            </w:r>
          </w:p>
        </w:tc>
      </w:tr>
    </w:tbl>
    <w:p w14:paraId="040420DC" w14:textId="77777777" w:rsidR="00F826A2" w:rsidRDefault="00F826A2">
      <w:pPr>
        <w:rPr>
          <w:b/>
        </w:rPr>
      </w:pPr>
    </w:p>
    <w:p w14:paraId="2D6D428F" w14:textId="77777777" w:rsidR="00F826A2" w:rsidRDefault="00F826A2">
      <w:pPr>
        <w:rPr>
          <w:b/>
        </w:rPr>
      </w:pPr>
    </w:p>
    <w:p w14:paraId="539F28FC" w14:textId="77777777" w:rsidR="00F826A2" w:rsidRDefault="00F826A2"/>
    <w:sectPr w:rsidR="00F826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24B48"/>
    <w:multiLevelType w:val="multilevel"/>
    <w:tmpl w:val="96804C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A2"/>
    <w:rsid w:val="00AD6F5C"/>
    <w:rsid w:val="00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D379"/>
  <w15:docId w15:val="{18018450-62F6-4513-98B6-C337E77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qFormat/>
    <w:rsid w:val="00684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0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fKPJLMI94MJzLnQT0+I4/J4wTw==">AMUW2mVHABJKrB6WvFrpBFioJlu5gRZQ4/8WpCqLYcutCrX4tU/8Bcqa7cHUAjaBqpBMy/uhFfVbtaf6SAKYbAty1RlSBgSZ1XXeSLeffuaeE8eMEAFH/zEfg+qw3vDgPaw7K2NJ3dWt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</dc:creator>
  <cp:lastModifiedBy>Besim Beqaj</cp:lastModifiedBy>
  <cp:revision>2</cp:revision>
  <dcterms:created xsi:type="dcterms:W3CDTF">2021-03-22T10:42:00Z</dcterms:created>
  <dcterms:modified xsi:type="dcterms:W3CDTF">2021-03-22T10:42:00Z</dcterms:modified>
</cp:coreProperties>
</file>