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FD6D" w14:textId="49775DD1" w:rsidR="006327CB" w:rsidRPr="002B1F32" w:rsidRDefault="00921475">
      <w:pPr>
        <w:rPr>
          <w:rFonts w:asciiTheme="minorHAnsi" w:eastAsia="Book Antiqua" w:hAnsiTheme="minorHAnsi" w:cstheme="minorHAnsi"/>
          <w:b/>
          <w:sz w:val="32"/>
          <w:szCs w:val="32"/>
          <w:u w:val="single"/>
        </w:rPr>
      </w:pPr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Formular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për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SYLLABUS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të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Lëndës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</w:t>
      </w:r>
    </w:p>
    <w:tbl>
      <w:tblPr>
        <w:tblStyle w:val="a2"/>
        <w:tblW w:w="106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7920"/>
      </w:tblGrid>
      <w:tr w:rsidR="006327CB" w:rsidRPr="002B1F32" w14:paraId="10751323" w14:textId="77777777" w:rsidTr="002B1F32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1017FC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dhëna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bazike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</w:tr>
      <w:tr w:rsidR="006327CB" w:rsidRPr="00CC40A9" w14:paraId="01884613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F177" w14:textId="77777777" w:rsidR="006327CB" w:rsidRPr="002B1F32" w:rsidRDefault="0092147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Njësia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493" w14:textId="77777777" w:rsidR="006327CB" w:rsidRPr="00B63225" w:rsidRDefault="00921475">
            <w:pP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Universiteti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Prishtinës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-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Fakulteti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Ekonomik</w:t>
            </w:r>
            <w:proofErr w:type="spellEnd"/>
          </w:p>
        </w:tc>
      </w:tr>
      <w:tr w:rsidR="006327CB" w:rsidRPr="002B1F32" w14:paraId="6B075CEC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2FE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Titulli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E0A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Marketingu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shërbimeve</w:t>
            </w:r>
            <w:proofErr w:type="spellEnd"/>
          </w:p>
        </w:tc>
      </w:tr>
      <w:tr w:rsidR="006327CB" w:rsidRPr="002B1F32" w14:paraId="1C80FA12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BB0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Niveli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98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6327CB" w:rsidRPr="002B1F32" w14:paraId="4A3925CF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54F1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Statusi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5134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Obligative</w:t>
            </w:r>
          </w:p>
        </w:tc>
      </w:tr>
      <w:tr w:rsidR="006327CB" w:rsidRPr="002B1F32" w14:paraId="3429A298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1F3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studimeve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266" w14:textId="233FCC4B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202</w:t>
            </w:r>
            <w:r w:rsidR="007B3B96">
              <w:rPr>
                <w:rFonts w:asciiTheme="minorHAnsi" w:hAnsiTheme="minorHAnsi" w:cstheme="minorHAnsi"/>
                <w:b/>
              </w:rPr>
              <w:t>4</w:t>
            </w:r>
            <w:r w:rsidRPr="002B1F32">
              <w:rPr>
                <w:rFonts w:asciiTheme="minorHAnsi" w:hAnsiTheme="minorHAnsi" w:cstheme="minorHAnsi"/>
                <w:b/>
              </w:rPr>
              <w:t>/202</w:t>
            </w:r>
            <w:r w:rsidR="007B3B9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6327CB" w:rsidRPr="002B1F32" w14:paraId="5DADDCE6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C42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it-IT"/>
              </w:rPr>
            </w:pP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Numri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orëve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në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it-IT"/>
              </w:rPr>
              <w:t>javë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it-IT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BE0D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6327CB" w:rsidRPr="002B1F32" w14:paraId="0AE61479" w14:textId="77777777" w:rsidTr="002B1F32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5E22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Vlera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kredi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– ECTS: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4DA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6327CB" w:rsidRPr="002B1F32" w14:paraId="0E2D7DD4" w14:textId="77777777" w:rsidTr="002B1F32">
        <w:trPr>
          <w:trHeight w:val="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0E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Koha /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lokacioni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F4B" w14:textId="77777777" w:rsidR="006327CB" w:rsidRPr="002B1F32" w:rsidRDefault="006327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27CB" w:rsidRPr="002B1F32" w14:paraId="78C49EC0" w14:textId="77777777" w:rsidTr="002B1F32">
        <w:trPr>
          <w:trHeight w:val="2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1FB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Mësimëdhënësi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3FF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Prof. dr.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asoc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. Besim Beqaj</w:t>
            </w:r>
          </w:p>
        </w:tc>
      </w:tr>
      <w:tr w:rsidR="006327CB" w:rsidRPr="002B1F32" w14:paraId="737FC04E" w14:textId="77777777" w:rsidTr="002B1F32">
        <w:trPr>
          <w:trHeight w:val="3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6AD" w14:textId="77777777" w:rsidR="006327CB" w:rsidRPr="002B1F32" w:rsidRDefault="00921475">
            <w:pPr>
              <w:rPr>
                <w:rFonts w:asciiTheme="minorHAnsi" w:hAnsiTheme="minorHAnsi" w:cstheme="minorHAnsi"/>
                <w:b/>
                <w:vertAlign w:val="superscript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A61F" w14:textId="77777777" w:rsidR="006327CB" w:rsidRPr="00962CB2" w:rsidRDefault="009214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Zhvillimi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ekonomik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shekullin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21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ndërruar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kahjet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dinamikë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shpejtë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janë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mbushura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diferencohen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niveli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niveli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reale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tyre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konsumatorin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sotme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krijojnë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shumicën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vendeve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punës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shkathtësi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pa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shkathtësi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profesionale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globale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behët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efikas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komunkim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efikas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drejtpërdrejt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klientët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konsumatorët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trajnimi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ekspertëve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përcaktimi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vlerës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çmimit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cilësia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resurset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humane,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teknologjia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informative,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inovacionet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turizmi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institucionet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financiare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jofinanciare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komunikacioni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tregtia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përgjithësi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përbejnë</w:t>
            </w:r>
            <w:proofErr w:type="spellEnd"/>
            <w:proofErr w:type="gram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sfidë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mundësi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ndërmarrjet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FE9A60" w14:textId="77777777" w:rsidR="006327CB" w:rsidRPr="00962CB2" w:rsidRDefault="006327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27AC" w14:textId="77777777" w:rsidR="006327CB" w:rsidRPr="00962CB2" w:rsidRDefault="00584214" w:rsidP="0041131B">
            <w:pPr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Tema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tjera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përfshijnë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marrëdhënieve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globalizimin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ofrimin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cilësor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matjen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personalizimin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pavarur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bashkëpunuese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angazhohen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kërkime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962CB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zhvilluar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atribute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vlefshme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zgjidhjen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problemeve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vendimmarrjen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C40A9" w:rsidRPr="002E3CBC" w14:paraId="08BA1289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65EB" w14:textId="05DF5ACC" w:rsidR="00CC40A9" w:rsidRPr="002B1F32" w:rsidRDefault="00CC40A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E76" w14:textId="26A5B2D2" w:rsidR="00CC40A9" w:rsidRPr="00962CB2" w:rsidRDefault="00962CB2" w:rsidP="002B1F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Lënda</w:t>
            </w:r>
            <w:proofErr w:type="spellEnd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fokusuar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zhvillimin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një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kuptimi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thellë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aspekteve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veçanta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marketingut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shërbimeve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mënyrën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si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ato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mund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menaxhohen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promovohen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krijuar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vlerë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klientët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arritur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sukses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treg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6327CB" w:rsidRPr="002B1F32" w14:paraId="2118890F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73D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pritura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nxënies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AA30" w14:textId="77777777" w:rsidR="006327CB" w:rsidRPr="00962CB2" w:rsidRDefault="00921475" w:rsidP="002B1F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kompletimin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suksesshëm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studenti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jetë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gjendje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1EDE4A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Demonstrojë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kuptim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gjerë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ngjashmërive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dallimeve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aktivitetet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bazuara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fizike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242711B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Specifikojë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përzgjedhë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tregje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adekuate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FA09CD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Përgatitë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justifikojë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miks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sistemet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informacionit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organizatat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bazuara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856EB04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Demonstrojë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njohuri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integruese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çështjet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lidhen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produktivitetin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perceptuar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kënaqësinë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klientit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besnikërinë</w:t>
            </w:r>
            <w:proofErr w:type="spellEnd"/>
          </w:p>
          <w:p w14:paraId="6982E7B8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Shfaqë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aftësinë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efektive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brenda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mjedisi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ekipor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0073EE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Zbatojë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teorinë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përkatëse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aftësitë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kërkimore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rastet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studimore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bashkëkohore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rezultatet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përdorur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diskursin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formatet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profesionale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6C557D" w14:textId="1349B26C" w:rsidR="0041131B" w:rsidRPr="00962CB2" w:rsidRDefault="002B1F32" w:rsidP="004113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Kryej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hulumtim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sistemeve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ofrimit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mbledhur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dhënat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sintetizuar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informacionin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dhënë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përfundime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vlefshme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131B" w:rsidRPr="002B1F32" w14:paraId="6493C2A4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676" w14:textId="77777777" w:rsidR="0041131B" w:rsidRDefault="0041131B">
            <w:pPr>
              <w:rPr>
                <w:rFonts w:asciiTheme="minorHAnsi" w:hAnsiTheme="minorHAnsi" w:cstheme="minorHAnsi"/>
                <w:b/>
              </w:rPr>
            </w:pPr>
          </w:p>
          <w:p w14:paraId="7A2077AD" w14:textId="77777777" w:rsidR="0041131B" w:rsidRPr="002B1F32" w:rsidRDefault="004113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2DBF" w14:textId="77777777" w:rsidR="0041131B" w:rsidRPr="00962CB2" w:rsidRDefault="0041131B" w:rsidP="002B1F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27CB" w:rsidRPr="002B1F32" w14:paraId="2829494D" w14:textId="77777777" w:rsidTr="0041131B">
        <w:trPr>
          <w:trHeight w:val="13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E7A5" w14:textId="77777777" w:rsidR="0041131B" w:rsidRDefault="0041131B">
            <w:pPr>
              <w:rPr>
                <w:rFonts w:asciiTheme="minorHAnsi" w:hAnsiTheme="minorHAnsi" w:cstheme="minorHAnsi"/>
                <w:b/>
              </w:rPr>
            </w:pPr>
          </w:p>
          <w:p w14:paraId="5229652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7C8F" w14:textId="77777777" w:rsidR="006327CB" w:rsidRPr="00962CB2" w:rsidRDefault="00921475" w:rsidP="004113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Ligjeratat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jenë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konceptuara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pjesëmarrja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diskutime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jetë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Bashkëbisedimi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prezantimi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krijojnë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shtesë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favorizohet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ekipore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E42A3" w:rsidRPr="002B1F32" w14:paraId="53273AC4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029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Metodat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FC9" w14:textId="77777777" w:rsidR="00DE42A3" w:rsidRPr="00962CB2" w:rsidRDefault="00DE42A3" w:rsidP="00D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proofErr w:type="spellStart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</w:t>
            </w:r>
            <w:proofErr w:type="spellEnd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vlerësimit</w:t>
            </w:r>
            <w:proofErr w:type="spellEnd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është</w:t>
            </w:r>
            <w:proofErr w:type="spellEnd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si </w:t>
            </w:r>
            <w:proofErr w:type="spellStart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vijim</w:t>
            </w:r>
            <w:proofErr w:type="spellEnd"/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:</w:t>
            </w:r>
          </w:p>
          <w:p w14:paraId="2233D229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Prezantimi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punimit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seminarik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: 20</w:t>
            </w:r>
            <w:proofErr w:type="gram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%  -</w:t>
            </w:r>
            <w:proofErr w:type="gram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Studenti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bashkëpunim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me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asistentin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zgjedh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një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temë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për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punimin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seminarik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atë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prezanton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 xml:space="preserve"> para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studentëve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.</w:t>
            </w:r>
          </w:p>
          <w:p w14:paraId="391234F4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Testi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parë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semestral: 30 %</w:t>
            </w:r>
          </w:p>
          <w:p w14:paraId="0A86481D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Testi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dytë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semestral: 30%</w:t>
            </w:r>
          </w:p>
          <w:p w14:paraId="5C894159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Pjesëmarrja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aktive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>: 20%</w:t>
            </w:r>
          </w:p>
          <w:p w14:paraId="189CD1BF" w14:textId="77777777" w:rsidR="00DE42A3" w:rsidRPr="00962CB2" w:rsidRDefault="00DE42A3" w:rsidP="00D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DE42A3" w:rsidRPr="002B1F32" w14:paraId="45FAB9D4" w14:textId="77777777" w:rsidTr="002B1F32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065BC1" w14:textId="77777777" w:rsidR="00DE42A3" w:rsidRPr="00962CB2" w:rsidRDefault="00DE42A3" w:rsidP="00DE42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E42A3" w:rsidRPr="002B1F32" w14:paraId="46D9CA53" w14:textId="77777777" w:rsidTr="002B1F32">
        <w:trPr>
          <w:trHeight w:val="40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521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809" w14:textId="77777777" w:rsidR="00DE42A3" w:rsidRPr="00962CB2" w:rsidRDefault="00DE42A3" w:rsidP="00DE42A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Shpëtim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Çerri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EXTRA-R,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Tiranë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, 2011</w:t>
            </w:r>
          </w:p>
          <w:p w14:paraId="75A49AF6" w14:textId="77777777" w:rsidR="003D477C" w:rsidRPr="00962CB2" w:rsidRDefault="003D477C" w:rsidP="00DE42A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Style w:val="author"/>
                <w:rFonts w:ascii="Arial" w:hAnsi="Arial" w:cs="Arial"/>
                <w:color w:val="0F1111"/>
                <w:sz w:val="22"/>
                <w:szCs w:val="22"/>
                <w:shd w:val="clear" w:color="auto" w:fill="FFFFFF"/>
              </w:rPr>
              <w:t>Jochen Wirtz &amp; Christopher Lovelock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Services marketing:  People, Technology, Strategy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(9</w:t>
            </w:r>
            <w:r w:rsidRPr="00962C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Edition). World Scientific 2021</w:t>
            </w:r>
          </w:p>
        </w:tc>
      </w:tr>
      <w:tr w:rsidR="00DE42A3" w:rsidRPr="002B1F32" w14:paraId="393BEF44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ED7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3C08" w14:textId="77777777" w:rsidR="00DE42A3" w:rsidRPr="00962CB2" w:rsidRDefault="00DE42A3" w:rsidP="003D47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Philip Kotler, Hermawan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Kartajya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&amp;Iwan Setiawan: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"https://www.amazon.com/Marketing-4-0-Moving-Traditional-Digital/dp/1119341205" </w:instrTex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Marketing 5.0: Technology for Humanity, 2021</w:t>
            </w:r>
          </w:p>
          <w:p w14:paraId="696FB3BF" w14:textId="77777777" w:rsidR="00DE42A3" w:rsidRPr="00962CB2" w:rsidRDefault="00DE42A3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Philip Kotler, Gary A</w:t>
            </w:r>
            <w:r w:rsidR="003D477C" w:rsidRPr="00962CB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mstrong: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Parimet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Marketingut</w:t>
            </w:r>
            <w:proofErr w:type="spellEnd"/>
          </w:p>
          <w:p w14:paraId="30DB9B47" w14:textId="70E2520D" w:rsidR="00971D4E" w:rsidRPr="00962CB2" w:rsidRDefault="00971D4E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Beqaj and all</w:t>
            </w:r>
            <w:r w:rsidR="00775F6A"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75F6A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Consumer Satisfaction on Online Services in Kosovo</w:t>
            </w:r>
            <w:r w:rsidR="006440D6" w:rsidRPr="00962CB2">
              <w:rPr>
                <w:rFonts w:asciiTheme="minorHAnsi" w:hAnsiTheme="minorHAnsi" w:cstheme="minorHAnsi"/>
                <w:sz w:val="22"/>
                <w:szCs w:val="22"/>
              </w:rPr>
              <w:t>, ZIREB</w:t>
            </w:r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  <w:p w14:paraId="5756D526" w14:textId="69BF6E6A" w:rsidR="00DC7AD9" w:rsidRPr="00962CB2" w:rsidRDefault="00DC7AD9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Beqaj and all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Consumer evaluations of e-services: A perceived risk perception in financial </w:t>
            </w:r>
            <w:proofErr w:type="gram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institutions</w:t>
            </w:r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proofErr w:type="spellStart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>Ekonomski</w:t>
            </w:r>
            <w:proofErr w:type="spellEnd"/>
            <w:proofErr w:type="gramEnd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>vjesni</w:t>
            </w:r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proofErr w:type="spellEnd"/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, 2022</w:t>
            </w:r>
          </w:p>
        </w:tc>
      </w:tr>
    </w:tbl>
    <w:p w14:paraId="4B56E316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5F52A599" w14:textId="77777777" w:rsidR="0041131B" w:rsidRDefault="0041131B">
      <w:pPr>
        <w:rPr>
          <w:rFonts w:asciiTheme="minorHAnsi" w:eastAsia="Calibri" w:hAnsiTheme="minorHAnsi" w:cstheme="minorHAnsi"/>
        </w:rPr>
      </w:pPr>
    </w:p>
    <w:p w14:paraId="00A7B9EC" w14:textId="77777777" w:rsidR="0041131B" w:rsidRDefault="0041131B">
      <w:pPr>
        <w:rPr>
          <w:rFonts w:asciiTheme="minorHAnsi" w:eastAsia="Calibri" w:hAnsiTheme="minorHAnsi" w:cstheme="minorHAnsi"/>
        </w:rPr>
      </w:pPr>
    </w:p>
    <w:p w14:paraId="3D945652" w14:textId="77777777" w:rsidR="0041131B" w:rsidRPr="002B1F32" w:rsidRDefault="0041131B">
      <w:pPr>
        <w:rPr>
          <w:rFonts w:asciiTheme="minorHAnsi" w:eastAsia="Calibri" w:hAnsiTheme="minorHAnsi" w:cstheme="minorHAnsi"/>
        </w:rPr>
      </w:pPr>
    </w:p>
    <w:tbl>
      <w:tblPr>
        <w:tblStyle w:val="a3"/>
        <w:tblW w:w="106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025"/>
        <w:gridCol w:w="1755"/>
        <w:gridCol w:w="3613"/>
      </w:tblGrid>
      <w:tr w:rsidR="006327CB" w:rsidRPr="002B1F32" w14:paraId="3482853B" w14:textId="77777777" w:rsidTr="0041131B">
        <w:tc>
          <w:tcPr>
            <w:tcW w:w="10620" w:type="dxa"/>
            <w:gridSpan w:val="4"/>
            <w:shd w:val="clear" w:color="auto" w:fill="B8CCE4"/>
          </w:tcPr>
          <w:p w14:paraId="7EC05B7B" w14:textId="77777777" w:rsidR="006327CB" w:rsidRPr="002B1F32" w:rsidRDefault="00921475">
            <w:pPr>
              <w:rPr>
                <w:rFonts w:asciiTheme="minorHAnsi" w:hAnsiTheme="minorHAnsi" w:cstheme="minorHAnsi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Kontributi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ngarkesёn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studentit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gram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(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gj</w:t>
            </w:r>
            <w:proofErr w:type="gram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qё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duhet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korrespondoj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me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rezultatet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nxёnit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studentit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)</w:t>
            </w:r>
          </w:p>
        </w:tc>
      </w:tr>
      <w:tr w:rsidR="006327CB" w:rsidRPr="002B1F32" w14:paraId="3FB0883A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B8CCE4"/>
          </w:tcPr>
          <w:p w14:paraId="0E3DF28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Aktiviteti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98E6442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Orë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66A926C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Ditë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javë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 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B8CCE4"/>
          </w:tcPr>
          <w:p w14:paraId="02422C7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Gjithësej</w:t>
            </w:r>
            <w:proofErr w:type="spellEnd"/>
          </w:p>
        </w:tc>
      </w:tr>
      <w:tr w:rsidR="006327CB" w:rsidRPr="002B1F32" w14:paraId="4AD57D42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266FF5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5EE7D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F16D0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3F0E03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6327CB" w:rsidRPr="002B1F32" w14:paraId="1F226D0B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B33356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957860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7FCB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1E73D2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10F4BCC3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06BE115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AC3F5A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072621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704E8FEF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7CB" w:rsidRPr="002B1F32" w14:paraId="7231C82B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17FA3EE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Kontaktet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mësimdhënësin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4C41B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81F7D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230E2F1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662F9041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AD8FDA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87B606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5EF398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1BB41252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7CB" w:rsidRPr="002B1F32" w14:paraId="02D97BBC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49BDFDD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0982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9984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32730D7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5CB070F0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6C6C906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ED50C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40050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50CF21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43BA29D6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7E98871" w14:textId="77777777" w:rsidR="006327CB" w:rsidRPr="00B63225" w:rsidRDefault="00921475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Koha e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studimit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vetanak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të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studentit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në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bibliotekë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ose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në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shtëpi</w:t>
            </w:r>
            <w:proofErr w:type="spellEnd"/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44E6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E0F99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DD51CAF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6327CB" w:rsidRPr="002B1F32" w14:paraId="685B3D15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57E3BC6D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C0789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F0E4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78336FF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327CB" w:rsidRPr="002B1F32" w14:paraId="4EA67848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0F432D44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kaluar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vlerësim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teste,kuiz</w:t>
            </w:r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,provim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final)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C4CF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641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6816D2E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327CB" w:rsidRPr="002B1F32" w14:paraId="3FCD0922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6361519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  <w:p w14:paraId="2783521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00B9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F9D9F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3E2C2D2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327CB" w:rsidRPr="002B1F32" w14:paraId="6DA41531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D9D9D9"/>
          </w:tcPr>
          <w:p w14:paraId="37E440A2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90542D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FA2D93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D9D9D9"/>
          </w:tcPr>
          <w:p w14:paraId="21B3111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4ACDF794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5A9FCF7E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3FE7EFBD" w14:textId="77777777" w:rsidR="0041131B" w:rsidRPr="002B1F32" w:rsidRDefault="0041131B">
      <w:pPr>
        <w:rPr>
          <w:rFonts w:asciiTheme="minorHAnsi" w:hAnsiTheme="minorHAnsi" w:cstheme="minorHAnsi"/>
          <w:b/>
        </w:rPr>
      </w:pPr>
    </w:p>
    <w:tbl>
      <w:tblPr>
        <w:tblStyle w:val="a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7080"/>
      </w:tblGrid>
      <w:tr w:rsidR="006327CB" w:rsidRPr="002B1F32" w14:paraId="4C5C0381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E4ECC4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Plani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detajizuar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për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një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semester</w:t>
            </w:r>
          </w:p>
        </w:tc>
      </w:tr>
      <w:tr w:rsidR="006327CB" w:rsidRPr="002B1F32" w14:paraId="240313F4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FF3FB6" w14:textId="77777777" w:rsidR="006327CB" w:rsidRPr="002B1F32" w:rsidRDefault="006327C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B3BE668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Ligjerata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327CB" w:rsidRPr="00CC40A9" w14:paraId="1D580D67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35C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parë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159" w14:textId="77777777" w:rsidR="006327CB" w:rsidRPr="00B63225" w:rsidRDefault="00921475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Kuptimi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produkteve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shërbyese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,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konsumatorëve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tregjeve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             </w:t>
            </w:r>
          </w:p>
        </w:tc>
      </w:tr>
      <w:tr w:rsidR="006327CB" w:rsidRPr="002B1F32" w14:paraId="210FA77D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97D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dytë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EC7" w14:textId="77777777" w:rsidR="006327CB" w:rsidRPr="002B1F32" w:rsidRDefault="00FB438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Krijimi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ekonominë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</w:rPr>
              <w:t>shërbimeve</w:t>
            </w:r>
            <w:proofErr w:type="spellEnd"/>
          </w:p>
        </w:tc>
      </w:tr>
      <w:tr w:rsidR="006327CB" w:rsidRPr="00CC40A9" w14:paraId="5BA0F033" w14:textId="77777777">
        <w:trPr>
          <w:trHeight w:val="2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F2A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669" w14:textId="4EEA41D2" w:rsidR="006327CB" w:rsidRPr="00447400" w:rsidRDefault="00B63225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Kuptimi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konsumatorëve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-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procesi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blerjës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dhe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pritjet</w:t>
            </w:r>
            <w:proofErr w:type="spellEnd"/>
            <w:r w:rsidRPr="00B63225">
              <w:rPr>
                <w:rFonts w:asciiTheme="minorHAnsi" w:hAnsiTheme="minorHAnsi" w:cstheme="minorHAnsi"/>
                <w:lang w:val="it-IT"/>
              </w:rPr>
              <w:t xml:space="preserve"> e </w:t>
            </w:r>
            <w:proofErr w:type="spellStart"/>
            <w:r w:rsidRPr="00B63225">
              <w:rPr>
                <w:rFonts w:asciiTheme="minorHAnsi" w:hAnsiTheme="minorHAnsi" w:cstheme="minorHAnsi"/>
                <w:lang w:val="it-IT"/>
              </w:rPr>
              <w:t>tyre</w:t>
            </w:r>
            <w:proofErr w:type="spellEnd"/>
          </w:p>
        </w:tc>
      </w:tr>
      <w:tr w:rsidR="00E3726B" w:rsidRPr="002B1F32" w14:paraId="1D7079FE" w14:textId="77777777" w:rsidTr="004C135E">
        <w:trPr>
          <w:trHeight w:val="30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CE5C" w14:textId="77777777" w:rsidR="00E3726B" w:rsidRPr="00E3726B" w:rsidRDefault="00E3726B" w:rsidP="00E3726B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katërt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8699" w14:textId="77777777" w:rsidR="00E3726B" w:rsidRPr="002B1F32" w:rsidRDefault="00E3726B" w:rsidP="00E3726B">
            <w:pPr>
              <w:rPr>
                <w:rFonts w:asciiTheme="minorHAnsi" w:hAnsiTheme="minorHAnsi" w:cstheme="minorHAnsi"/>
              </w:rPr>
            </w:pPr>
            <w:proofErr w:type="spellStart"/>
            <w:r w:rsidRPr="002B1F32">
              <w:rPr>
                <w:rFonts w:asciiTheme="minorHAnsi" w:hAnsiTheme="minorHAnsi" w:cstheme="minorHAnsi"/>
              </w:rPr>
              <w:t>Pozicionimi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shërbimeve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më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tregjet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konkuruese</w:t>
            </w:r>
            <w:proofErr w:type="spellEnd"/>
          </w:p>
        </w:tc>
      </w:tr>
      <w:tr w:rsidR="00E3726B" w:rsidRPr="002B1F32" w14:paraId="664F033A" w14:textId="77777777">
        <w:trPr>
          <w:trHeight w:val="32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04" w14:textId="77777777" w:rsidR="00E3726B" w:rsidRPr="002B1F32" w:rsidRDefault="00E3726B" w:rsidP="00E3726B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pestë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B600" w14:textId="548DD6EB" w:rsidR="00E3726B" w:rsidRPr="00793343" w:rsidRDefault="00793343" w:rsidP="00E3726B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</w:rPr>
              <w:t>Cil</w:t>
            </w:r>
            <w:r>
              <w:rPr>
                <w:rFonts w:asciiTheme="minorHAnsi" w:hAnsiTheme="minorHAnsi" w:cstheme="minorHAnsi"/>
                <w:lang w:val="sq-AL"/>
              </w:rPr>
              <w:t>ësia e shërbimeve</w:t>
            </w:r>
          </w:p>
        </w:tc>
      </w:tr>
      <w:tr w:rsidR="00D858B8" w:rsidRPr="00CC40A9" w14:paraId="6641D466" w14:textId="77777777">
        <w:trPr>
          <w:trHeight w:val="34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7A0" w14:textId="16B0ACFE" w:rsidR="00D858B8" w:rsidRPr="002B1F32" w:rsidRDefault="00D858B8" w:rsidP="00D858B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gjashtë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737" w14:textId="0092E657" w:rsidR="00D858B8" w:rsidRPr="00417018" w:rsidRDefault="00417018" w:rsidP="00D858B8">
            <w:pPr>
              <w:rPr>
                <w:rFonts w:asciiTheme="minorHAnsi" w:hAnsiTheme="minorHAnsi" w:cstheme="minorHAnsi"/>
                <w:b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Evidenca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fizike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dhe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mjedisi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shërbimit</w:t>
            </w:r>
            <w:proofErr w:type="spellEnd"/>
          </w:p>
        </w:tc>
      </w:tr>
      <w:tr w:rsidR="00D858B8" w:rsidRPr="002B1F32" w14:paraId="45231383" w14:textId="77777777">
        <w:trPr>
          <w:trHeight w:val="34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133" w14:textId="12E950C3" w:rsidR="00D858B8" w:rsidRPr="002B1F32" w:rsidRDefault="00D858B8" w:rsidP="00D858B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shtatë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EF0" w14:textId="77777777" w:rsidR="00D858B8" w:rsidRPr="002B1F32" w:rsidRDefault="00D858B8" w:rsidP="00D858B8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Testi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pare</w:t>
            </w:r>
          </w:p>
        </w:tc>
      </w:tr>
      <w:tr w:rsidR="00417018" w:rsidRPr="00CC40A9" w14:paraId="6D58D084" w14:textId="77777777">
        <w:trPr>
          <w:trHeight w:val="29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4E4" w14:textId="1BCBFD11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675B" w14:textId="001BCA91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Roli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punonjësve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dhe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konsumatorëve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në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ofrimin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e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shërbimit</w:t>
            </w:r>
            <w:proofErr w:type="spellEnd"/>
          </w:p>
        </w:tc>
      </w:tr>
      <w:tr w:rsidR="00417018" w:rsidRPr="00CC40A9" w14:paraId="53AB7392" w14:textId="77777777">
        <w:trPr>
          <w:trHeight w:val="28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5C95" w14:textId="7BB83FCD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nëntë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60B8" w14:textId="4536D5B2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Zhvillimi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dhe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disenjimi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shërbimeve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të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reja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</w:p>
        </w:tc>
      </w:tr>
      <w:tr w:rsidR="00417018" w:rsidRPr="00B458F8" w14:paraId="11197295" w14:textId="77777777">
        <w:trPr>
          <w:trHeight w:val="28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B33" w14:textId="66749860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AB3" w14:textId="63B0F045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</w:rPr>
              <w:t>Marketingu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marrëdhenieve</w:t>
            </w:r>
            <w:proofErr w:type="spellEnd"/>
          </w:p>
        </w:tc>
      </w:tr>
      <w:tr w:rsidR="00417018" w:rsidRPr="00CC40A9" w14:paraId="72E0C4AE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7188" w14:textId="22069349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njëmbedhjetë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91B" w14:textId="15FE70CB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Përcaktimi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çmimeve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dhe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menaxhimi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të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hyrave</w:t>
            </w:r>
            <w:proofErr w:type="spellEnd"/>
          </w:p>
        </w:tc>
      </w:tr>
      <w:tr w:rsidR="00417018" w:rsidRPr="00B458F8" w14:paraId="06729278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3B6D" w14:textId="714D2D62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dymbëdhjetë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93F3" w14:textId="5D39DA89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</w:rPr>
              <w:t>Kanalet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e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ofrimit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të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shërbimeve</w:t>
            </w:r>
            <w:proofErr w:type="spellEnd"/>
          </w:p>
        </w:tc>
      </w:tr>
      <w:tr w:rsidR="00417018" w:rsidRPr="00CC40A9" w14:paraId="40C0F07A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BA1E" w14:textId="38D30EF3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F767" w14:textId="0F819BDB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Dështimet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dhe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rigjenerimi</w:t>
            </w:r>
            <w:proofErr w:type="spellEnd"/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 i </w:t>
            </w:r>
            <w:proofErr w:type="spellStart"/>
            <w:r w:rsidRPr="00417018">
              <w:rPr>
                <w:rFonts w:asciiTheme="minorHAnsi" w:eastAsia="Arial" w:hAnsiTheme="minorHAnsi" w:cstheme="minorHAnsi"/>
                <w:lang w:val="it-IT"/>
              </w:rPr>
              <w:t>shërbimeve</w:t>
            </w:r>
            <w:proofErr w:type="spellEnd"/>
          </w:p>
        </w:tc>
      </w:tr>
      <w:tr w:rsidR="00417018" w:rsidRPr="00FC28C0" w14:paraId="18F92B5D" w14:textId="77777777">
        <w:trPr>
          <w:trHeight w:val="26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BCA" w14:textId="13F14DFB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katërmbëdhjetë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6B8F" w14:textId="7DE15793" w:rsidR="00417018" w:rsidRPr="00417018" w:rsidRDefault="00316DCB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Prezantim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punimeve</w:t>
            </w:r>
            <w:proofErr w:type="spellEnd"/>
          </w:p>
        </w:tc>
      </w:tr>
      <w:tr w:rsidR="00417018" w:rsidRPr="00D858B8" w14:paraId="3305E9EA" w14:textId="77777777">
        <w:trPr>
          <w:trHeight w:val="2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D2B" w14:textId="2B495786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pesëmbëdhjetë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ECF" w14:textId="6CCC80E3" w:rsidR="00417018" w:rsidRPr="00D858B8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Testi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dytë</w:t>
            </w:r>
          </w:p>
        </w:tc>
      </w:tr>
      <w:tr w:rsidR="00417018" w:rsidRPr="002B1F32" w14:paraId="7E8FBB64" w14:textId="77777777">
        <w:trPr>
          <w:trHeight w:val="32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120" w14:textId="10D4D002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4E" w14:textId="352BCFB7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</w:p>
        </w:tc>
      </w:tr>
    </w:tbl>
    <w:p w14:paraId="4E1B70D3" w14:textId="77777777" w:rsidR="006327CB" w:rsidRPr="002B1F32" w:rsidRDefault="006327CB">
      <w:pPr>
        <w:rPr>
          <w:rFonts w:asciiTheme="minorHAnsi" w:eastAsia="Arial" w:hAnsiTheme="minorHAnsi" w:cstheme="minorHAnsi"/>
          <w:b/>
        </w:rPr>
      </w:pPr>
    </w:p>
    <w:tbl>
      <w:tblPr>
        <w:tblStyle w:val="a5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6327CB" w:rsidRPr="00CC40A9" w14:paraId="3918BE08" w14:textId="77777777"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C426FF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Politikat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akademike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dhe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rregullat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e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mirësjelljes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>:</w:t>
            </w:r>
          </w:p>
        </w:tc>
      </w:tr>
      <w:tr w:rsidR="006327CB" w:rsidRPr="00CC40A9" w14:paraId="60883201" w14:textId="77777777">
        <w:trPr>
          <w:trHeight w:val="62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17FF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de-DE"/>
              </w:rPr>
            </w:pPr>
            <w:bookmarkStart w:id="0" w:name="_heading=h.gjdgxs" w:colFirst="0" w:colLast="0"/>
            <w:bookmarkEnd w:id="0"/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Vijimi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rregullt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,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saktësia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,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leximi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i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materialeve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të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kërkuara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,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dhe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pjesëmarrja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aktive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në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diskutimet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në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klasë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janë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elemente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kritike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për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ketë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B63225">
              <w:rPr>
                <w:rFonts w:asciiTheme="minorHAnsi" w:hAnsiTheme="minorHAnsi" w:cstheme="minorHAnsi"/>
                <w:b/>
                <w:lang w:val="de-DE"/>
              </w:rPr>
              <w:t>lëndë</w:t>
            </w:r>
            <w:proofErr w:type="spellEnd"/>
            <w:r w:rsidRPr="00B63225">
              <w:rPr>
                <w:rFonts w:asciiTheme="minorHAnsi" w:hAnsiTheme="minorHAnsi" w:cstheme="minorHAnsi"/>
                <w:b/>
                <w:lang w:val="de-DE"/>
              </w:rPr>
              <w:t>.</w:t>
            </w:r>
          </w:p>
        </w:tc>
      </w:tr>
    </w:tbl>
    <w:p w14:paraId="63F33C2F" w14:textId="77777777" w:rsidR="006327CB" w:rsidRPr="00B63225" w:rsidRDefault="006327CB">
      <w:pPr>
        <w:rPr>
          <w:rFonts w:asciiTheme="minorHAnsi" w:hAnsiTheme="minorHAnsi" w:cstheme="minorHAnsi"/>
          <w:lang w:val="de-DE"/>
        </w:rPr>
      </w:pPr>
    </w:p>
    <w:p w14:paraId="0558BF87" w14:textId="77777777" w:rsidR="002A3D6A" w:rsidRPr="00B63225" w:rsidRDefault="002A3D6A">
      <w:pPr>
        <w:rPr>
          <w:rFonts w:asciiTheme="minorHAnsi" w:hAnsiTheme="minorHAnsi" w:cstheme="minorHAnsi"/>
          <w:lang w:val="de-DE"/>
        </w:rPr>
      </w:pPr>
    </w:p>
    <w:sectPr w:rsidR="002A3D6A" w:rsidRPr="00B63225">
      <w:pgSz w:w="12240" w:h="15840"/>
      <w:pgMar w:top="864" w:right="1080" w:bottom="864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E3C"/>
    <w:multiLevelType w:val="multilevel"/>
    <w:tmpl w:val="4D6A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67BEE"/>
    <w:multiLevelType w:val="multilevel"/>
    <w:tmpl w:val="56CAD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6F4295"/>
    <w:multiLevelType w:val="multilevel"/>
    <w:tmpl w:val="02141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1B32A5"/>
    <w:multiLevelType w:val="multilevel"/>
    <w:tmpl w:val="33D4C31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C4598"/>
    <w:multiLevelType w:val="hybridMultilevel"/>
    <w:tmpl w:val="A84C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162F"/>
    <w:multiLevelType w:val="hybridMultilevel"/>
    <w:tmpl w:val="90F6B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163802">
    <w:abstractNumId w:val="2"/>
  </w:num>
  <w:num w:numId="2" w16cid:durableId="950551544">
    <w:abstractNumId w:val="3"/>
  </w:num>
  <w:num w:numId="3" w16cid:durableId="902984967">
    <w:abstractNumId w:val="1"/>
  </w:num>
  <w:num w:numId="4" w16cid:durableId="1777089991">
    <w:abstractNumId w:val="0"/>
  </w:num>
  <w:num w:numId="5" w16cid:durableId="1734813809">
    <w:abstractNumId w:val="6"/>
  </w:num>
  <w:num w:numId="6" w16cid:durableId="811408089">
    <w:abstractNumId w:val="5"/>
  </w:num>
  <w:num w:numId="7" w16cid:durableId="1760523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CB"/>
    <w:rsid w:val="00083507"/>
    <w:rsid w:val="000E397D"/>
    <w:rsid w:val="001571DB"/>
    <w:rsid w:val="002A3D6A"/>
    <w:rsid w:val="002B1F32"/>
    <w:rsid w:val="002E3CBC"/>
    <w:rsid w:val="00316DCB"/>
    <w:rsid w:val="003D477C"/>
    <w:rsid w:val="0041131B"/>
    <w:rsid w:val="00417018"/>
    <w:rsid w:val="00447400"/>
    <w:rsid w:val="004C135E"/>
    <w:rsid w:val="005341DF"/>
    <w:rsid w:val="00584214"/>
    <w:rsid w:val="006327CB"/>
    <w:rsid w:val="006440D6"/>
    <w:rsid w:val="006C6881"/>
    <w:rsid w:val="006F3681"/>
    <w:rsid w:val="00775F6A"/>
    <w:rsid w:val="00793343"/>
    <w:rsid w:val="007B3B96"/>
    <w:rsid w:val="008945EF"/>
    <w:rsid w:val="00921475"/>
    <w:rsid w:val="00926D55"/>
    <w:rsid w:val="00962CB2"/>
    <w:rsid w:val="00971D4E"/>
    <w:rsid w:val="009E216B"/>
    <w:rsid w:val="00B41401"/>
    <w:rsid w:val="00B458F8"/>
    <w:rsid w:val="00B63225"/>
    <w:rsid w:val="00C744FB"/>
    <w:rsid w:val="00CC40A9"/>
    <w:rsid w:val="00D858B8"/>
    <w:rsid w:val="00DC2AE6"/>
    <w:rsid w:val="00DC7AD9"/>
    <w:rsid w:val="00DE42A3"/>
    <w:rsid w:val="00E3726B"/>
    <w:rsid w:val="00F10CA8"/>
    <w:rsid w:val="00FB4388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7B7"/>
  <w15:docId w15:val="{F9673A27-69F2-4E79-BD10-7A34CA06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84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0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3D6A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2A3D6A"/>
    <w:pPr>
      <w:ind w:left="720"/>
      <w:contextualSpacing/>
    </w:pPr>
  </w:style>
  <w:style w:type="character" w:customStyle="1" w:styleId="fw-semibold">
    <w:name w:val="fw-semibold"/>
    <w:basedOn w:val="DefaultParagraphFont"/>
    <w:rsid w:val="00921475"/>
  </w:style>
  <w:style w:type="character" w:customStyle="1" w:styleId="fw-light">
    <w:name w:val="fw-light"/>
    <w:basedOn w:val="DefaultParagraphFont"/>
    <w:rsid w:val="00921475"/>
  </w:style>
  <w:style w:type="character" w:customStyle="1" w:styleId="me-2">
    <w:name w:val="me-2"/>
    <w:basedOn w:val="DefaultParagraphFont"/>
    <w:rsid w:val="00921475"/>
  </w:style>
  <w:style w:type="character" w:customStyle="1" w:styleId="a-size-extra-large">
    <w:name w:val="a-size-extra-large"/>
    <w:basedOn w:val="DefaultParagraphFont"/>
    <w:rsid w:val="003D477C"/>
  </w:style>
  <w:style w:type="character" w:customStyle="1" w:styleId="a-size-large">
    <w:name w:val="a-size-large"/>
    <w:basedOn w:val="DefaultParagraphFont"/>
    <w:rsid w:val="003D477C"/>
  </w:style>
  <w:style w:type="character" w:customStyle="1" w:styleId="author">
    <w:name w:val="author"/>
    <w:basedOn w:val="DefaultParagraphFont"/>
    <w:rsid w:val="003D477C"/>
  </w:style>
  <w:style w:type="character" w:customStyle="1" w:styleId="a-color-secondary">
    <w:name w:val="a-color-secondary"/>
    <w:basedOn w:val="DefaultParagraphFont"/>
    <w:rsid w:val="003D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kVGDNGdkpuJ6GObcG55XLZw4MQ==">AMUW2mXH3GKsD9OYn/A46N20UCqESRkKeys6gq/Qw0+CxXeB6MQtRej3XBL6Q2oX9kE5WT3TUJTVWTq59up6rLL1nMh1dVwblokgT72Q6gXa72I2hSHbx3C3elnzakC4Yuo6wvhTIZx1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</dc:creator>
  <cp:lastModifiedBy>Besim Beqaj</cp:lastModifiedBy>
  <cp:revision>24</cp:revision>
  <cp:lastPrinted>2025-01-26T14:29:00Z</cp:lastPrinted>
  <dcterms:created xsi:type="dcterms:W3CDTF">2024-02-25T09:50:00Z</dcterms:created>
  <dcterms:modified xsi:type="dcterms:W3CDTF">2025-03-12T18:51:00Z</dcterms:modified>
</cp:coreProperties>
</file>