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2FBD0" w14:textId="77777777" w:rsidR="00000D06" w:rsidRDefault="003F4BAB">
      <w:pPr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</w:p>
    <w:p w14:paraId="29931FB9" w14:textId="77777777" w:rsidR="00000D06" w:rsidRDefault="00000D06">
      <w:pPr>
        <w:rPr>
          <w:rFonts w:ascii="Calibri" w:eastAsia="Calibri" w:hAnsi="Calibri" w:cs="Calibri"/>
        </w:rPr>
      </w:pPr>
    </w:p>
    <w:tbl>
      <w:tblPr>
        <w:tblStyle w:val="a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2025"/>
        <w:gridCol w:w="1758"/>
        <w:gridCol w:w="2270"/>
      </w:tblGrid>
      <w:tr w:rsidR="00000D06" w14:paraId="600792EC" w14:textId="77777777">
        <w:tc>
          <w:tcPr>
            <w:tcW w:w="9108" w:type="dxa"/>
            <w:gridSpan w:val="4"/>
            <w:shd w:val="clear" w:color="auto" w:fill="D9D9D9"/>
          </w:tcPr>
          <w:p w14:paraId="0C34C8CA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</w:tr>
      <w:tr w:rsidR="00000D06" w14:paraId="2BE0FA2F" w14:textId="77777777">
        <w:tc>
          <w:tcPr>
            <w:tcW w:w="3055" w:type="dxa"/>
          </w:tcPr>
          <w:p w14:paraId="1D9C41A7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6053" w:type="dxa"/>
            <w:gridSpan w:val="3"/>
          </w:tcPr>
          <w:p w14:paraId="0E8F55F3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ekonomik</w:t>
            </w:r>
            <w:proofErr w:type="spellEnd"/>
          </w:p>
        </w:tc>
      </w:tr>
      <w:tr w:rsidR="00000D06" w14:paraId="347CE101" w14:textId="77777777">
        <w:tc>
          <w:tcPr>
            <w:tcW w:w="3055" w:type="dxa"/>
          </w:tcPr>
          <w:p w14:paraId="70EAABAC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75C8D413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Shitja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negocimi</w:t>
            </w:r>
            <w:proofErr w:type="spellEnd"/>
          </w:p>
        </w:tc>
      </w:tr>
      <w:tr w:rsidR="00000D06" w14:paraId="04625991" w14:textId="77777777">
        <w:tc>
          <w:tcPr>
            <w:tcW w:w="3055" w:type="dxa"/>
          </w:tcPr>
          <w:p w14:paraId="35D09FD5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1F907843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Master</w:t>
            </w:r>
          </w:p>
        </w:tc>
      </w:tr>
      <w:tr w:rsidR="00000D06" w14:paraId="6B4EDAD1" w14:textId="77777777">
        <w:tc>
          <w:tcPr>
            <w:tcW w:w="3055" w:type="dxa"/>
          </w:tcPr>
          <w:p w14:paraId="4C12BE22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0614E982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Zgjedhore</w:t>
            </w:r>
            <w:proofErr w:type="spellEnd"/>
          </w:p>
        </w:tc>
      </w:tr>
      <w:tr w:rsidR="00000D06" w14:paraId="2ACCA140" w14:textId="77777777">
        <w:tc>
          <w:tcPr>
            <w:tcW w:w="3055" w:type="dxa"/>
          </w:tcPr>
          <w:p w14:paraId="4B2D85C7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2C71F4E4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I |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II</w:t>
            </w:r>
          </w:p>
        </w:tc>
      </w:tr>
      <w:tr w:rsidR="00000D06" w14:paraId="52601ADE" w14:textId="77777777">
        <w:tc>
          <w:tcPr>
            <w:tcW w:w="3055" w:type="dxa"/>
          </w:tcPr>
          <w:p w14:paraId="0752E69A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3F4BAB">
              <w:rPr>
                <w:rFonts w:ascii="Calibri" w:eastAsia="Calibri" w:hAnsi="Calibri" w:cs="Calibri"/>
                <w:b/>
                <w:color w:val="000000"/>
                <w:lang w:val="it-IT"/>
              </w:rPr>
              <w:t>Numri i orëve në javë:</w:t>
            </w:r>
          </w:p>
        </w:tc>
        <w:tc>
          <w:tcPr>
            <w:tcW w:w="6053" w:type="dxa"/>
            <w:gridSpan w:val="3"/>
          </w:tcPr>
          <w:p w14:paraId="126546F7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2+10</w:t>
            </w:r>
          </w:p>
        </w:tc>
      </w:tr>
      <w:tr w:rsidR="00000D06" w14:paraId="6EAB21A7" w14:textId="77777777">
        <w:tc>
          <w:tcPr>
            <w:tcW w:w="3055" w:type="dxa"/>
          </w:tcPr>
          <w:p w14:paraId="4BF385C6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ECTS:</w:t>
            </w:r>
          </w:p>
        </w:tc>
        <w:tc>
          <w:tcPr>
            <w:tcW w:w="6053" w:type="dxa"/>
            <w:gridSpan w:val="3"/>
          </w:tcPr>
          <w:p w14:paraId="585FCF93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000D06" w14:paraId="0CCE04FB" w14:textId="77777777">
        <w:tc>
          <w:tcPr>
            <w:tcW w:w="3055" w:type="dxa"/>
          </w:tcPr>
          <w:p w14:paraId="3636E90C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7397420E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</w:rPr>
              <w:t>enjte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 18,30</w:t>
            </w:r>
            <w:r>
              <w:rPr>
                <w:rFonts w:ascii="Calibri" w:eastAsia="Calibri" w:hAnsi="Calibri" w:cs="Calibri"/>
                <w:b/>
              </w:rPr>
              <w:t xml:space="preserve"> - 20,00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 S</w:t>
            </w:r>
            <w:r>
              <w:rPr>
                <w:rFonts w:ascii="Calibri" w:eastAsia="Calibri" w:hAnsi="Calibri" w:cs="Calibri"/>
                <w:b/>
              </w:rPr>
              <w:t>9</w:t>
            </w:r>
          </w:p>
        </w:tc>
      </w:tr>
      <w:tr w:rsidR="00000D06" w14:paraId="7D539550" w14:textId="77777777">
        <w:tc>
          <w:tcPr>
            <w:tcW w:w="3055" w:type="dxa"/>
          </w:tcPr>
          <w:p w14:paraId="56A1C841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178C52DD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Prof. Assoc. dr.  Besim Beqaj</w:t>
            </w:r>
          </w:p>
        </w:tc>
      </w:tr>
      <w:tr w:rsidR="00000D06" w14:paraId="0495ACFA" w14:textId="77777777">
        <w:tc>
          <w:tcPr>
            <w:tcW w:w="3055" w:type="dxa"/>
          </w:tcPr>
          <w:p w14:paraId="0A9424A3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6053" w:type="dxa"/>
            <w:gridSpan w:val="3"/>
          </w:tcPr>
          <w:p w14:paraId="704E3D61" w14:textId="77777777" w:rsidR="00000D06" w:rsidRDefault="00B36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hyperlink r:id="rId7">
              <w:r w:rsidR="003F4BAB">
                <w:rPr>
                  <w:rFonts w:ascii="Calibri" w:eastAsia="Calibri" w:hAnsi="Calibri" w:cs="Calibri"/>
                  <w:b/>
                  <w:color w:val="000000"/>
                  <w:u w:val="single"/>
                </w:rPr>
                <w:t>besim.beqaj@uni-pr.edu</w:t>
              </w:r>
            </w:hyperlink>
          </w:p>
        </w:tc>
      </w:tr>
      <w:tr w:rsidR="00000D06" w14:paraId="595BA251" w14:textId="77777777">
        <w:tc>
          <w:tcPr>
            <w:tcW w:w="9108" w:type="dxa"/>
            <w:gridSpan w:val="4"/>
            <w:shd w:val="clear" w:color="auto" w:fill="D9D9D9"/>
          </w:tcPr>
          <w:p w14:paraId="7D19944F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00D06" w14:paraId="497091F8" w14:textId="77777777">
        <w:tc>
          <w:tcPr>
            <w:tcW w:w="3055" w:type="dxa"/>
          </w:tcPr>
          <w:p w14:paraId="2B6EF4F0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6053" w:type="dxa"/>
            <w:gridSpan w:val="3"/>
          </w:tcPr>
          <w:p w14:paraId="5AB76A29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Kjo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leksione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ekonomisë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moderne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depërtimit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fushën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menanxhimit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brendshme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jashtme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ligjeratave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shqyrtimit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materialeve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diskutimeve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marrin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metodologjinë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format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efektive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përfituara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kjo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efektin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klientët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mundësinë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marrëdhenjieve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afatgjata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ta.</w:t>
            </w:r>
          </w:p>
        </w:tc>
      </w:tr>
      <w:tr w:rsidR="00000D06" w14:paraId="0B76ADFD" w14:textId="77777777">
        <w:tc>
          <w:tcPr>
            <w:tcW w:w="3055" w:type="dxa"/>
          </w:tcPr>
          <w:p w14:paraId="7E9CA038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Qëllimet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59BB8F56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fokusohet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avancuara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fushën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aftësitë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analizë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cila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refletonte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Ndihmon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çmimeve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përshatshme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synuara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Orienton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emocioneve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përdorimin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levave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dalllimeve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ndërkulturore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biznesin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ndërkombëtar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00D06" w14:paraId="6065174A" w14:textId="77777777">
        <w:tc>
          <w:tcPr>
            <w:tcW w:w="3055" w:type="dxa"/>
          </w:tcPr>
          <w:p w14:paraId="62FD6AEC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2EFBB96D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0A054E56" w14:textId="77777777" w:rsidR="00000D06" w:rsidRDefault="003F4B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kalsifikoj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ndikues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89AF484" w14:textId="77777777" w:rsidR="00000D06" w:rsidRDefault="003F4B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ësoj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burimet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fuqisë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ndikimin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</w:p>
          <w:p w14:paraId="3BA31311" w14:textId="77777777" w:rsidR="00000D06" w:rsidRDefault="003F4B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negocues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përbyllje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A1F45F8" w14:textId="77777777" w:rsidR="00000D06" w:rsidRDefault="003F4B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zhvillimet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teknologjike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proccsin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CCC3049" w14:textId="77777777" w:rsidR="00000D06" w:rsidRDefault="003F4B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zhvillojë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aftësi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komunkim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klientët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zgjedhur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problememt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synuara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</w:tr>
      <w:tr w:rsidR="00000D06" w14:paraId="7F4FB646" w14:textId="77777777">
        <w:tc>
          <w:tcPr>
            <w:tcW w:w="9108" w:type="dxa"/>
            <w:gridSpan w:val="4"/>
            <w:shd w:val="clear" w:color="auto" w:fill="D9D9D9"/>
          </w:tcPr>
          <w:p w14:paraId="213B699F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00D06" w14:paraId="30983AF1" w14:textId="77777777">
        <w:tc>
          <w:tcPr>
            <w:tcW w:w="9108" w:type="dxa"/>
            <w:gridSpan w:val="4"/>
            <w:shd w:val="clear" w:color="auto" w:fill="D9D9D9"/>
          </w:tcPr>
          <w:p w14:paraId="3010A081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8EA3F1F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D843BF7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4FD32F1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(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gjё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korrespondoj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000D06" w14:paraId="18E76DAF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D9D9D9"/>
          </w:tcPr>
          <w:p w14:paraId="5B19FEE6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54A51C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4ED7B2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D9D9D9"/>
          </w:tcPr>
          <w:p w14:paraId="14B5AE2B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000D06" w14:paraId="3B3B2408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01677FAF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9A1D62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663D61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3E4D6C29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00D06" w14:paraId="29123467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66E21727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9F219E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D953D6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4D71FD60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3E887D16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3A7115CE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5E5721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4157EC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42D69E6C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1DFA548F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153390DB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48EF8E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1B1E28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1660E33D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1D2F1BAB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278AAAAC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C24F38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65DCCD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48D48CEC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205F4D7E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3345321C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A01E7D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BE4B5F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345E4A90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2F3A8E4B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032CAE6F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2C9760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8252B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3C76A8E8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:rsidRPr="00B54462" w14:paraId="6FF7D158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7471AE0E" w14:textId="77777777" w:rsidR="00000D06" w:rsidRPr="003F4BAB" w:rsidRDefault="003F4BAB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2F54FC" w14:textId="77777777" w:rsidR="00000D06" w:rsidRPr="003F4BAB" w:rsidRDefault="00000D0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C11CD" w14:textId="77777777" w:rsidR="00000D06" w:rsidRPr="003F4BAB" w:rsidRDefault="00000D0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47A3BF89" w14:textId="77777777" w:rsidR="00000D06" w:rsidRPr="003F4BAB" w:rsidRDefault="00000D0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</w:tr>
      <w:tr w:rsidR="00000D06" w14:paraId="4C0FF785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1127105D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AB68C6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DF351F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22059ACA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419C1DDD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1B9795BD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teste,kuiz,provim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584722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ADA42A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6A7FBDAA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70C547C3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FFFFFF"/>
          </w:tcPr>
          <w:p w14:paraId="1D3291D6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Projektet,prezentimet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38117D75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06CC9F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E49E72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FFFFFF"/>
          </w:tcPr>
          <w:p w14:paraId="429F351C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77A62954" w14:textId="77777777">
        <w:tc>
          <w:tcPr>
            <w:tcW w:w="3055" w:type="dxa"/>
            <w:tcBorders>
              <w:right w:val="single" w:sz="4" w:space="0" w:color="000000"/>
            </w:tcBorders>
            <w:shd w:val="clear" w:color="auto" w:fill="D9D9D9"/>
          </w:tcPr>
          <w:p w14:paraId="5B5F06D0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9546E1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CD2677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D9D9D9"/>
          </w:tcPr>
          <w:p w14:paraId="2D497F52" w14:textId="77777777" w:rsidR="00000D06" w:rsidRDefault="00000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0D06" w14:paraId="4CC1C555" w14:textId="77777777">
        <w:tc>
          <w:tcPr>
            <w:tcW w:w="3055" w:type="dxa"/>
          </w:tcPr>
          <w:p w14:paraId="3C8C72BA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6053" w:type="dxa"/>
            <w:gridSpan w:val="3"/>
          </w:tcPr>
          <w:p w14:paraId="731A231B" w14:textId="72DC4B1C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Ligjeratat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realizohen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formë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ligjeratave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seminarike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analiza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rasteve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luajtje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rolit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tjera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individuale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puna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artikujve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ndryeshëm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trendet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00D06" w14:paraId="5893ECBA" w14:textId="77777777">
        <w:tc>
          <w:tcPr>
            <w:tcW w:w="3055" w:type="dxa"/>
          </w:tcPr>
          <w:p w14:paraId="40BC37E7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053" w:type="dxa"/>
            <w:gridSpan w:val="3"/>
          </w:tcPr>
          <w:p w14:paraId="0FB97396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00D06" w14:paraId="0609EDE2" w14:textId="77777777">
        <w:tc>
          <w:tcPr>
            <w:tcW w:w="3055" w:type="dxa"/>
          </w:tcPr>
          <w:p w14:paraId="3DED6DFE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053" w:type="dxa"/>
            <w:gridSpan w:val="3"/>
          </w:tcPr>
          <w:p w14:paraId="58A17B9E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 e vlerësimit është si në vijim</w:t>
            </w:r>
          </w:p>
          <w:p w14:paraId="46104E24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Vlerësimi gjatë gjithë semestrit: </w:t>
            </w:r>
            <w:r w:rsidRPr="003F4BAB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val="it-IT"/>
              </w:rPr>
              <w:t>Kjo metodë e vlerësimit bazohet në këto komponente:</w:t>
            </w:r>
          </w:p>
          <w:p w14:paraId="7A928A93" w14:textId="77777777" w:rsidR="00000D06" w:rsidRPr="003F4BAB" w:rsidRDefault="003F4B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- Testi I-rë</w:t>
            </w:r>
            <w:r w:rsidRPr="003F4BAB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val="it-IT"/>
              </w:rPr>
              <w:t xml:space="preserve"> që do të organizohet në javën e VII-të të ligjeratave,</w:t>
            </w: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62DB1EE3" w14:textId="77777777" w:rsidR="00000D06" w:rsidRPr="003F4BAB" w:rsidRDefault="003F4B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-</w:t>
            </w:r>
            <w:r w:rsidRPr="003F4BAB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val="it-IT"/>
              </w:rPr>
              <w:t xml:space="preserve">  </w:t>
            </w: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Testi i II</w:t>
            </w:r>
            <w:r w:rsidRPr="003F4BAB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val="it-IT"/>
              </w:rPr>
              <w:t>-të që do të organizohet në javën e XIV-të të ligjeratave,</w:t>
            </w:r>
          </w:p>
          <w:p w14:paraId="0B3CE37A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  <w:lang w:val="it-IT"/>
              </w:rPr>
            </w:pPr>
            <w:r w:rsidRPr="003F4BAB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val="it-IT"/>
              </w:rPr>
              <w:t xml:space="preserve">- </w:t>
            </w: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Pjesëmarrja aktive në ligjerata dhe ushtrime</w:t>
            </w:r>
          </w:p>
          <w:p w14:paraId="39EF8035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Pjesëmarrja e rregullt ne ligjerata, ushtrime</w:t>
            </w:r>
            <w:r w:rsidRPr="003F4BAB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përmes:</w:t>
            </w:r>
          </w:p>
          <w:p w14:paraId="341656A2" w14:textId="77777777" w:rsidR="00000D06" w:rsidRDefault="003F4B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Debateve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ushtrime</w:t>
            </w:r>
            <w:proofErr w:type="spellEnd"/>
          </w:p>
          <w:p w14:paraId="58065579" w14:textId="77777777" w:rsidR="00000D06" w:rsidRDefault="003F4B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punimit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final: 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rast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studimor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punim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seminarik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(1 punim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rast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studimor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000D06" w14:paraId="24F959D1" w14:textId="77777777">
        <w:tc>
          <w:tcPr>
            <w:tcW w:w="9108" w:type="dxa"/>
            <w:gridSpan w:val="4"/>
            <w:shd w:val="clear" w:color="auto" w:fill="D9D9D9"/>
          </w:tcPr>
          <w:p w14:paraId="45F7B24B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4A7FD41E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000D06" w14:paraId="2AA67B63" w14:textId="77777777">
        <w:tc>
          <w:tcPr>
            <w:tcW w:w="3055" w:type="dxa"/>
          </w:tcPr>
          <w:p w14:paraId="0CF77561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6053" w:type="dxa"/>
            <w:gridSpan w:val="3"/>
          </w:tcPr>
          <w:p w14:paraId="0C5EC489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SELL 4th edition by Ingram, Thomas N., LaForge, Raymond(Buddy) W., Avila, Ramon published by Cengage Learning (2014</w:t>
            </w:r>
          </w:p>
        </w:tc>
      </w:tr>
      <w:tr w:rsidR="00000D06" w14:paraId="6D8E60AD" w14:textId="77777777">
        <w:tc>
          <w:tcPr>
            <w:tcW w:w="3055" w:type="dxa"/>
          </w:tcPr>
          <w:p w14:paraId="4FD8409B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6053" w:type="dxa"/>
            <w:gridSpan w:val="3"/>
          </w:tcPr>
          <w:p w14:paraId="36336AA1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A1FC3EA" w14:textId="77777777" w:rsidR="00000D06" w:rsidRDefault="00000D06">
      <w:pPr>
        <w:rPr>
          <w:rFonts w:ascii="Calibri" w:eastAsia="Calibri" w:hAnsi="Calibri" w:cs="Calibri"/>
        </w:rPr>
      </w:pPr>
    </w:p>
    <w:tbl>
      <w:tblPr>
        <w:tblStyle w:val="a0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6360"/>
      </w:tblGrid>
      <w:tr w:rsidR="00000D06" w:rsidRPr="00B54462" w14:paraId="6A909E92" w14:textId="77777777">
        <w:tc>
          <w:tcPr>
            <w:tcW w:w="9105" w:type="dxa"/>
            <w:gridSpan w:val="2"/>
            <w:shd w:val="clear" w:color="auto" w:fill="D9D9D9"/>
          </w:tcPr>
          <w:p w14:paraId="7FAB8D3E" w14:textId="77777777" w:rsidR="00000D06" w:rsidRPr="003F4BAB" w:rsidRDefault="00000D06">
            <w:pPr>
              <w:rPr>
                <w:rFonts w:ascii="Calibri" w:eastAsia="Calibri" w:hAnsi="Calibri" w:cs="Calibri"/>
                <w:lang w:val="it-IT"/>
              </w:rPr>
            </w:pPr>
          </w:p>
          <w:p w14:paraId="73568E4A" w14:textId="77777777" w:rsidR="00000D06" w:rsidRPr="003F4BAB" w:rsidRDefault="003F4BAB">
            <w:pPr>
              <w:rPr>
                <w:rFonts w:ascii="Calibri" w:eastAsia="Calibri" w:hAnsi="Calibri" w:cs="Calibri"/>
                <w:lang w:val="it-IT"/>
              </w:rPr>
            </w:pPr>
            <w:r w:rsidRPr="003F4BAB">
              <w:rPr>
                <w:rFonts w:ascii="Calibri" w:eastAsia="Calibri" w:hAnsi="Calibri" w:cs="Calibri"/>
                <w:b/>
                <w:lang w:val="it-IT"/>
              </w:rPr>
              <w:t xml:space="preserve">Plani i dizejnuar i mësimit:  </w:t>
            </w:r>
          </w:p>
          <w:p w14:paraId="5A9D9602" w14:textId="77777777" w:rsidR="00000D06" w:rsidRPr="003F4BAB" w:rsidRDefault="00000D06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000D06" w14:paraId="533BAA36" w14:textId="77777777">
        <w:tc>
          <w:tcPr>
            <w:tcW w:w="2745" w:type="dxa"/>
            <w:shd w:val="clear" w:color="auto" w:fill="D9D9D9"/>
          </w:tcPr>
          <w:p w14:paraId="49202AB2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360" w:type="dxa"/>
            <w:shd w:val="clear" w:color="auto" w:fill="D9D9D9"/>
          </w:tcPr>
          <w:p w14:paraId="7212B877" w14:textId="77777777" w:rsidR="00000D06" w:rsidRDefault="003F4BA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</w:p>
        </w:tc>
      </w:tr>
      <w:tr w:rsidR="00000D06" w:rsidRPr="00B54462" w14:paraId="2E81DE0D" w14:textId="77777777">
        <w:tc>
          <w:tcPr>
            <w:tcW w:w="2745" w:type="dxa"/>
          </w:tcPr>
          <w:p w14:paraId="32FDB28F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60" w:type="dxa"/>
          </w:tcPr>
          <w:p w14:paraId="49B7E2BA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  <w:t>Kuptimi dhe definimi i shitjes përsonale dhe negocimit</w:t>
            </w:r>
          </w:p>
        </w:tc>
      </w:tr>
      <w:tr w:rsidR="00000D06" w:rsidRPr="00B54462" w14:paraId="2BBFE172" w14:textId="77777777">
        <w:tc>
          <w:tcPr>
            <w:tcW w:w="2745" w:type="dxa"/>
          </w:tcPr>
          <w:p w14:paraId="47306274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60" w:type="dxa"/>
          </w:tcPr>
          <w:p w14:paraId="263DCBCB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  <w:t>Shitjet si funksion dhe profesion i biznesit</w:t>
            </w:r>
          </w:p>
        </w:tc>
      </w:tr>
      <w:tr w:rsidR="00000D06" w:rsidRPr="00B54462" w14:paraId="7955936E" w14:textId="77777777">
        <w:tc>
          <w:tcPr>
            <w:tcW w:w="2745" w:type="dxa"/>
          </w:tcPr>
          <w:p w14:paraId="7B389CD1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360" w:type="dxa"/>
          </w:tcPr>
          <w:p w14:paraId="45E4E5ED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Njohja e produkteve, tregjeve dhe klientëve si elemente profesionale të shitjeve </w:t>
            </w:r>
          </w:p>
        </w:tc>
      </w:tr>
      <w:tr w:rsidR="00000D06" w14:paraId="623D1231" w14:textId="77777777">
        <w:tc>
          <w:tcPr>
            <w:tcW w:w="2745" w:type="dxa"/>
          </w:tcPr>
          <w:p w14:paraId="6305D719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60" w:type="dxa"/>
          </w:tcPr>
          <w:p w14:paraId="7219C8E6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Roli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etikës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mjedisit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</w:t>
            </w:r>
            <w:proofErr w:type="spellEnd"/>
          </w:p>
        </w:tc>
      </w:tr>
      <w:tr w:rsidR="00000D06" w14:paraId="4C22A4B3" w14:textId="77777777">
        <w:tc>
          <w:tcPr>
            <w:tcW w:w="2745" w:type="dxa"/>
          </w:tcPr>
          <w:p w14:paraId="5BEFDEB4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60" w:type="dxa"/>
          </w:tcPr>
          <w:p w14:paraId="1C3F97BA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ndërpërsonal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negociatat</w:t>
            </w:r>
            <w:proofErr w:type="spellEnd"/>
          </w:p>
          <w:p w14:paraId="4EAC8978" w14:textId="77777777" w:rsidR="00000D06" w:rsidRDefault="000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00D06" w:rsidRPr="00B54462" w14:paraId="1CD4E38D" w14:textId="77777777">
        <w:tc>
          <w:tcPr>
            <w:tcW w:w="2745" w:type="dxa"/>
          </w:tcPr>
          <w:p w14:paraId="68153447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360" w:type="dxa"/>
          </w:tcPr>
          <w:p w14:paraId="10836C0D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Elementet e procesit të shitjes</w:t>
            </w:r>
          </w:p>
        </w:tc>
      </w:tr>
      <w:tr w:rsidR="00000D06" w14:paraId="4674223F" w14:textId="77777777">
        <w:tc>
          <w:tcPr>
            <w:tcW w:w="2745" w:type="dxa"/>
          </w:tcPr>
          <w:p w14:paraId="2E2A4DDF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60" w:type="dxa"/>
          </w:tcPr>
          <w:p w14:paraId="27FA3FF3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semestral</w:t>
            </w:r>
          </w:p>
        </w:tc>
      </w:tr>
      <w:tr w:rsidR="00000D06" w14:paraId="445B1202" w14:textId="77777777">
        <w:tc>
          <w:tcPr>
            <w:tcW w:w="2745" w:type="dxa"/>
          </w:tcPr>
          <w:p w14:paraId="7052A3F9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60" w:type="dxa"/>
          </w:tcPr>
          <w:p w14:paraId="2D698689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Gjetja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klientëve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vizitë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shitjeje</w:t>
            </w:r>
            <w:proofErr w:type="spellEnd"/>
          </w:p>
        </w:tc>
      </w:tr>
      <w:tr w:rsidR="00000D06" w:rsidRPr="00B54462" w14:paraId="67447035" w14:textId="77777777">
        <w:tc>
          <w:tcPr>
            <w:tcW w:w="2745" w:type="dxa"/>
          </w:tcPr>
          <w:p w14:paraId="74CEA134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60" w:type="dxa"/>
          </w:tcPr>
          <w:p w14:paraId="360B36DC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Vizita e shitjeve: prezantimi, hulumtimi i situatës dhe prezantimi i shitjeve</w:t>
            </w:r>
          </w:p>
        </w:tc>
      </w:tr>
      <w:tr w:rsidR="00000D06" w:rsidRPr="00B54462" w14:paraId="2756A3A1" w14:textId="77777777">
        <w:tc>
          <w:tcPr>
            <w:tcW w:w="2745" w:type="dxa"/>
          </w:tcPr>
          <w:p w14:paraId="47919CBC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60" w:type="dxa"/>
          </w:tcPr>
          <w:p w14:paraId="3836BF53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Forcimi i preznatimit të shitjeve</w:t>
            </w:r>
          </w:p>
        </w:tc>
      </w:tr>
      <w:tr w:rsidR="00000D06" w14:paraId="331BE337" w14:textId="77777777">
        <w:tc>
          <w:tcPr>
            <w:tcW w:w="2745" w:type="dxa"/>
          </w:tcPr>
          <w:p w14:paraId="41D00E1C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njëmbedhjetë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60" w:type="dxa"/>
          </w:tcPr>
          <w:p w14:paraId="65BA31F8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Përgjigja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ndaj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ankesave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klientëve</w:t>
            </w:r>
            <w:proofErr w:type="spellEnd"/>
          </w:p>
        </w:tc>
      </w:tr>
      <w:tr w:rsidR="00000D06" w14:paraId="1EAC79BF" w14:textId="77777777">
        <w:tc>
          <w:tcPr>
            <w:tcW w:w="2745" w:type="dxa"/>
          </w:tcPr>
          <w:p w14:paraId="4FE892F1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360" w:type="dxa"/>
          </w:tcPr>
          <w:p w14:paraId="2859F8DA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shërbimet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</w:p>
        </w:tc>
      </w:tr>
      <w:tr w:rsidR="00000D06" w14:paraId="133EC547" w14:textId="77777777">
        <w:tc>
          <w:tcPr>
            <w:tcW w:w="2745" w:type="dxa"/>
          </w:tcPr>
          <w:p w14:paraId="59C750DA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360" w:type="dxa"/>
          </w:tcPr>
          <w:p w14:paraId="4E75AB70" w14:textId="77777777" w:rsidR="00000D06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Konceptet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themelore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fushat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</w:p>
        </w:tc>
      </w:tr>
      <w:tr w:rsidR="00000D06" w:rsidRPr="00B54462" w14:paraId="38C52560" w14:textId="77777777">
        <w:tc>
          <w:tcPr>
            <w:tcW w:w="2745" w:type="dxa"/>
          </w:tcPr>
          <w:p w14:paraId="6A22E33F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360" w:type="dxa"/>
          </w:tcPr>
          <w:p w14:paraId="5774D967" w14:textId="77777777" w:rsidR="00000D06" w:rsidRPr="003F4BAB" w:rsidRDefault="003F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3F4BA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Përgaditja për negociata dhe procesi i negociatave</w:t>
            </w:r>
          </w:p>
        </w:tc>
      </w:tr>
      <w:tr w:rsidR="00000D06" w14:paraId="33622627" w14:textId="77777777">
        <w:tc>
          <w:tcPr>
            <w:tcW w:w="2745" w:type="dxa"/>
          </w:tcPr>
          <w:p w14:paraId="7E37AF5C" w14:textId="77777777" w:rsidR="00000D06" w:rsidRDefault="003F4B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360" w:type="dxa"/>
          </w:tcPr>
          <w:p w14:paraId="394F544F" w14:textId="77777777" w:rsidR="00000D06" w:rsidRDefault="003F4BA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semestral</w:t>
            </w:r>
          </w:p>
        </w:tc>
      </w:tr>
    </w:tbl>
    <w:p w14:paraId="575E7CA2" w14:textId="77777777" w:rsidR="00000D06" w:rsidRDefault="00000D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EE04437" w14:textId="77777777" w:rsidR="00000D06" w:rsidRDefault="00000D06">
      <w:pPr>
        <w:rPr>
          <w:rFonts w:ascii="Calibri" w:eastAsia="Calibri" w:hAnsi="Calibri" w:cs="Calibri"/>
        </w:rPr>
      </w:pPr>
    </w:p>
    <w:tbl>
      <w:tblPr>
        <w:tblStyle w:val="a1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D06" w:rsidRPr="00B54462" w14:paraId="64433283" w14:textId="77777777">
        <w:tc>
          <w:tcPr>
            <w:tcW w:w="8856" w:type="dxa"/>
            <w:shd w:val="clear" w:color="auto" w:fill="D9D9D9"/>
          </w:tcPr>
          <w:p w14:paraId="5CA5EB5D" w14:textId="77777777" w:rsidR="00000D06" w:rsidRPr="003F4BAB" w:rsidRDefault="003F4BAB">
            <w:pPr>
              <w:jc w:val="center"/>
              <w:rPr>
                <w:rFonts w:ascii="Calibri" w:eastAsia="Calibri" w:hAnsi="Calibri" w:cs="Calibri"/>
                <w:lang w:val="de-DE"/>
              </w:rPr>
            </w:pPr>
            <w:r w:rsidRPr="003F4BAB">
              <w:rPr>
                <w:rFonts w:ascii="Calibri" w:eastAsia="Calibri" w:hAnsi="Calibri" w:cs="Calibri"/>
                <w:b/>
                <w:lang w:val="de-DE"/>
              </w:rPr>
              <w:t>Politikat akademike dhe rregullat e mirësjelljes:</w:t>
            </w:r>
          </w:p>
        </w:tc>
      </w:tr>
      <w:tr w:rsidR="00000D06" w:rsidRPr="00B54462" w14:paraId="6F3C2C10" w14:textId="77777777">
        <w:trPr>
          <w:trHeight w:val="1088"/>
        </w:trPr>
        <w:tc>
          <w:tcPr>
            <w:tcW w:w="8856" w:type="dxa"/>
          </w:tcPr>
          <w:p w14:paraId="00F5C2BB" w14:textId="77777777" w:rsidR="00000D06" w:rsidRPr="003F4BAB" w:rsidRDefault="003F4BAB">
            <w:pPr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3F4BAB">
              <w:rPr>
                <w:rFonts w:ascii="Calibri" w:eastAsia="Calibri" w:hAnsi="Calibri" w:cs="Calibri"/>
                <w:sz w:val="22"/>
                <w:szCs w:val="22"/>
                <w:lang w:val="de-DE"/>
              </w:rPr>
              <w:t xml:space="preserve">Vijimi i rregullt, saktësia, leximi i materialeve të kërkuara, dhe pjesëmarrja aktive në diskutimet në klasë janë elemente kritike për ketë lëndë. </w:t>
            </w:r>
          </w:p>
        </w:tc>
      </w:tr>
    </w:tbl>
    <w:p w14:paraId="7273617D" w14:textId="77777777" w:rsidR="00000D06" w:rsidRPr="003F4BAB" w:rsidRDefault="00000D06">
      <w:pPr>
        <w:rPr>
          <w:rFonts w:ascii="Calibri" w:eastAsia="Calibri" w:hAnsi="Calibri" w:cs="Calibri"/>
          <w:sz w:val="28"/>
          <w:szCs w:val="28"/>
          <w:lang w:val="de-DE"/>
        </w:rPr>
      </w:pPr>
    </w:p>
    <w:sectPr w:rsidR="00000D06" w:rsidRPr="003F4BA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1F901" w14:textId="77777777" w:rsidR="00B36AFA" w:rsidRDefault="00B36AFA">
      <w:r>
        <w:separator/>
      </w:r>
    </w:p>
  </w:endnote>
  <w:endnote w:type="continuationSeparator" w:id="0">
    <w:p w14:paraId="3E26D325" w14:textId="77777777" w:rsidR="00B36AFA" w:rsidRDefault="00B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55" w14:textId="77777777" w:rsidR="00000D06" w:rsidRDefault="003F4B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3B6F3E" w14:textId="77777777" w:rsidR="00000D06" w:rsidRDefault="00000D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61A85" w14:textId="77777777" w:rsidR="00000D06" w:rsidRDefault="003F4B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D742241" w14:textId="77777777" w:rsidR="00000D06" w:rsidRDefault="00000D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BB51B" w14:textId="77777777" w:rsidR="00B36AFA" w:rsidRDefault="00B36AFA">
      <w:r>
        <w:separator/>
      </w:r>
    </w:p>
  </w:footnote>
  <w:footnote w:type="continuationSeparator" w:id="0">
    <w:p w14:paraId="3B457838" w14:textId="77777777" w:rsidR="00B36AFA" w:rsidRDefault="00B36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C4F0A"/>
    <w:multiLevelType w:val="multilevel"/>
    <w:tmpl w:val="E6B683E2"/>
    <w:lvl w:ilvl="0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89D769F"/>
    <w:multiLevelType w:val="multilevel"/>
    <w:tmpl w:val="2C5054C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27262F8"/>
    <w:multiLevelType w:val="multilevel"/>
    <w:tmpl w:val="3924655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06"/>
    <w:rsid w:val="00000D06"/>
    <w:rsid w:val="003F4BAB"/>
    <w:rsid w:val="00B36AFA"/>
    <w:rsid w:val="00B54462"/>
    <w:rsid w:val="00D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82A4"/>
  <w15:docId w15:val="{14EE2BBF-2F6F-410A-A527-11F61585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sim.beq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Beqaj</dc:creator>
  <cp:lastModifiedBy>Besim Beqaj</cp:lastModifiedBy>
  <cp:revision>3</cp:revision>
  <dcterms:created xsi:type="dcterms:W3CDTF">2021-03-04T17:27:00Z</dcterms:created>
  <dcterms:modified xsi:type="dcterms:W3CDTF">2021-03-04T17:44:00Z</dcterms:modified>
</cp:coreProperties>
</file>